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E4D6" w14:textId="059E722B" w:rsidR="00E203C2" w:rsidRDefault="00E203C2" w:rsidP="00E203C2">
      <w:bookmarkStart w:id="0" w:name="_GoBack"/>
      <w:bookmarkEnd w:id="0"/>
      <w:r>
        <w:rPr>
          <w:noProof/>
          <w:lang w:eastAsia="en-GB" w:bidi="ar-SA"/>
        </w:rPr>
        <w:drawing>
          <wp:inline distT="0" distB="0" distL="0" distR="0" wp14:anchorId="7E7C4D4A" wp14:editId="2A8E9F22">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5B8CEA5" w14:textId="77777777" w:rsidR="00E203C2" w:rsidRDefault="00E203C2" w:rsidP="00E203C2"/>
    <w:p w14:paraId="0DDC4ECF" w14:textId="65BE4A73" w:rsidR="00092CDA" w:rsidRPr="00C912B6" w:rsidRDefault="00092CDA" w:rsidP="00690206">
      <w:pPr>
        <w:pStyle w:val="FSTitle"/>
        <w:rPr>
          <w:b/>
        </w:rPr>
      </w:pPr>
      <w:r w:rsidRPr="005B7A73">
        <w:rPr>
          <w:b/>
        </w:rPr>
        <w:t>S</w:t>
      </w:r>
      <w:r w:rsidR="00B12F1E" w:rsidRPr="005B7A73">
        <w:rPr>
          <w:b/>
        </w:rPr>
        <w:t>upporting document</w:t>
      </w:r>
      <w:r w:rsidRPr="005B7A73">
        <w:rPr>
          <w:b/>
        </w:rPr>
        <w:t xml:space="preserve"> </w:t>
      </w:r>
      <w:r w:rsidR="00AD6441">
        <w:rPr>
          <w:b/>
        </w:rPr>
        <w:t>1</w:t>
      </w:r>
    </w:p>
    <w:p w14:paraId="57C81DE2" w14:textId="77777777" w:rsidR="00BA24E2" w:rsidRPr="00C912B6" w:rsidRDefault="00BA24E2" w:rsidP="00E203C2"/>
    <w:p w14:paraId="332F5A44" w14:textId="294A54DD" w:rsidR="00D056F1" w:rsidRPr="00C912B6" w:rsidRDefault="00E22F6A" w:rsidP="00690206">
      <w:pPr>
        <w:pStyle w:val="FSTitle"/>
      </w:pPr>
      <w:r>
        <w:t xml:space="preserve">Risk </w:t>
      </w:r>
      <w:r w:rsidR="00A32E6A">
        <w:t>and technical</w:t>
      </w:r>
      <w:r w:rsidR="00ED2602">
        <w:t xml:space="preserve"> </w:t>
      </w:r>
      <w:r w:rsidR="00C912B6" w:rsidRPr="00C912B6">
        <w:t>ass</w:t>
      </w:r>
      <w:r w:rsidR="00320839" w:rsidRPr="00C912B6">
        <w:t>essment</w:t>
      </w:r>
      <w:r w:rsidR="006B5EBE" w:rsidRPr="00C912B6">
        <w:t xml:space="preserve"> – </w:t>
      </w:r>
      <w:r w:rsidR="00D056F1" w:rsidRPr="00C912B6">
        <w:t>A</w:t>
      </w:r>
      <w:r w:rsidR="00B12F1E" w:rsidRPr="00C912B6">
        <w:t>pplication</w:t>
      </w:r>
      <w:r w:rsidR="00C912B6" w:rsidRPr="00C912B6">
        <w:t xml:space="preserve"> A1102</w:t>
      </w:r>
    </w:p>
    <w:p w14:paraId="3AA6C383" w14:textId="77777777" w:rsidR="00E203C2" w:rsidRPr="00C912B6" w:rsidRDefault="00E203C2" w:rsidP="00690206"/>
    <w:p w14:paraId="2AA74624" w14:textId="77777777" w:rsidR="00D056F1" w:rsidRPr="00C912B6" w:rsidRDefault="00C912B6" w:rsidP="00690206">
      <w:pPr>
        <w:pStyle w:val="FSTitle"/>
      </w:pPr>
      <w:r w:rsidRPr="00C912B6">
        <w:t>L-carnitine in food</w:t>
      </w:r>
    </w:p>
    <w:p w14:paraId="6E3AACD7" w14:textId="77777777" w:rsidR="00E203C2" w:rsidRPr="00B37BF0" w:rsidRDefault="00E203C2" w:rsidP="00E203C2">
      <w:pPr>
        <w:pBdr>
          <w:bottom w:val="single" w:sz="12" w:space="1" w:color="auto"/>
        </w:pBdr>
        <w:spacing w:line="280" w:lineRule="exact"/>
        <w:rPr>
          <w:rFonts w:cs="Arial"/>
          <w:bCs/>
        </w:rPr>
      </w:pPr>
    </w:p>
    <w:p w14:paraId="5C05A52C" w14:textId="77777777" w:rsidR="00E203C2" w:rsidRPr="00B37BF0" w:rsidRDefault="00E203C2" w:rsidP="00E203C2"/>
    <w:p w14:paraId="5AD1C3DB" w14:textId="26FB29A8" w:rsidR="00092CDA" w:rsidRDefault="00092CDA" w:rsidP="00DF6690">
      <w:pPr>
        <w:pStyle w:val="Heading1"/>
        <w:spacing w:before="0"/>
      </w:pPr>
      <w:bookmarkStart w:id="1" w:name="_Toc286391001"/>
      <w:bookmarkStart w:id="2" w:name="_Toc300933414"/>
      <w:bookmarkStart w:id="3" w:name="_Toc518372072"/>
      <w:bookmarkStart w:id="4" w:name="_Toc520888207"/>
      <w:r w:rsidRPr="00092CDA">
        <w:t xml:space="preserve">Executive </w:t>
      </w:r>
      <w:r w:rsidR="00B12F1E">
        <w:t>s</w:t>
      </w:r>
      <w:r w:rsidRPr="00092CDA">
        <w:t>ummary</w:t>
      </w:r>
      <w:bookmarkEnd w:id="1"/>
      <w:bookmarkEnd w:id="2"/>
      <w:bookmarkEnd w:id="3"/>
      <w:bookmarkEnd w:id="4"/>
    </w:p>
    <w:p w14:paraId="0A0DCD32" w14:textId="4102D056" w:rsidR="00785714" w:rsidRDefault="00785714" w:rsidP="00785714">
      <w:pPr>
        <w:pStyle w:val="CommentText"/>
        <w:rPr>
          <w:sz w:val="22"/>
          <w:szCs w:val="22"/>
        </w:rPr>
      </w:pPr>
      <w:r w:rsidRPr="002D591B">
        <w:rPr>
          <w:sz w:val="22"/>
          <w:szCs w:val="22"/>
          <w:lang w:bidi="ar-SA"/>
        </w:rPr>
        <w:t xml:space="preserve">This </w:t>
      </w:r>
      <w:r w:rsidR="00E202CC">
        <w:rPr>
          <w:sz w:val="22"/>
          <w:szCs w:val="22"/>
        </w:rPr>
        <w:t>application</w:t>
      </w:r>
      <w:r w:rsidRPr="002D591B">
        <w:rPr>
          <w:sz w:val="22"/>
          <w:szCs w:val="22"/>
        </w:rPr>
        <w:t xml:space="preserve"> seeks permission for the voluntary addition of L-carnitine and L-carnitine-L-tartrate, as nutritive substances, to a range of general purpose and special purpose foods. </w:t>
      </w:r>
    </w:p>
    <w:p w14:paraId="4E85C025" w14:textId="77777777" w:rsidR="00785714" w:rsidRDefault="00785714" w:rsidP="00785714">
      <w:pPr>
        <w:pStyle w:val="CommentText"/>
        <w:rPr>
          <w:sz w:val="22"/>
          <w:szCs w:val="22"/>
        </w:rPr>
      </w:pPr>
    </w:p>
    <w:p w14:paraId="7C293920" w14:textId="0ACE3561" w:rsidR="00785714" w:rsidRPr="002D591B" w:rsidRDefault="00785714" w:rsidP="00785714">
      <w:pPr>
        <w:pStyle w:val="CommentText"/>
        <w:rPr>
          <w:sz w:val="22"/>
          <w:szCs w:val="22"/>
        </w:rPr>
      </w:pPr>
      <w:r>
        <w:rPr>
          <w:sz w:val="22"/>
          <w:szCs w:val="22"/>
          <w:lang w:bidi="ar-SA"/>
        </w:rPr>
        <w:t>The</w:t>
      </w:r>
      <w:r w:rsidRPr="002D591B">
        <w:rPr>
          <w:sz w:val="22"/>
          <w:szCs w:val="22"/>
          <w:lang w:bidi="ar-SA"/>
        </w:rPr>
        <w:t xml:space="preserve"> risk and technical assessment includes</w:t>
      </w:r>
      <w:r>
        <w:rPr>
          <w:sz w:val="22"/>
          <w:szCs w:val="22"/>
          <w:lang w:bidi="ar-SA"/>
        </w:rPr>
        <w:t>: (i)</w:t>
      </w:r>
      <w:r w:rsidRPr="002D591B">
        <w:rPr>
          <w:sz w:val="22"/>
          <w:szCs w:val="22"/>
          <w:lang w:bidi="ar-SA"/>
        </w:rPr>
        <w:t xml:space="preserve"> a </w:t>
      </w:r>
      <w:r w:rsidRPr="002D591B">
        <w:rPr>
          <w:sz w:val="22"/>
          <w:szCs w:val="22"/>
        </w:rPr>
        <w:t>food technology assessment of L-carnitine and L-carnitine-L-</w:t>
      </w:r>
      <w:r>
        <w:rPr>
          <w:sz w:val="22"/>
          <w:szCs w:val="22"/>
        </w:rPr>
        <w:t>tartrate;</w:t>
      </w:r>
      <w:r w:rsidRPr="002D591B">
        <w:rPr>
          <w:sz w:val="22"/>
          <w:szCs w:val="22"/>
        </w:rPr>
        <w:t xml:space="preserve"> </w:t>
      </w:r>
      <w:r>
        <w:rPr>
          <w:sz w:val="22"/>
          <w:szCs w:val="22"/>
        </w:rPr>
        <w:t>(ii) a</w:t>
      </w:r>
      <w:r w:rsidRPr="00AD216D">
        <w:rPr>
          <w:sz w:val="22"/>
          <w:szCs w:val="22"/>
        </w:rPr>
        <w:t xml:space="preserve"> hazard assessment to identify potential adverse effects</w:t>
      </w:r>
      <w:r>
        <w:rPr>
          <w:sz w:val="22"/>
          <w:szCs w:val="22"/>
        </w:rPr>
        <w:t xml:space="preserve"> associated with L-carnitine intake</w:t>
      </w:r>
      <w:r w:rsidRPr="00AD216D">
        <w:rPr>
          <w:sz w:val="22"/>
          <w:szCs w:val="22"/>
        </w:rPr>
        <w:t>, the intake levels associated with any such effects, and an estimate of a safe upper level of intake</w:t>
      </w:r>
      <w:r>
        <w:rPr>
          <w:sz w:val="22"/>
          <w:szCs w:val="22"/>
        </w:rPr>
        <w:t xml:space="preserve">; (iii) </w:t>
      </w:r>
      <w:r w:rsidRPr="002D591B">
        <w:rPr>
          <w:sz w:val="22"/>
          <w:szCs w:val="22"/>
        </w:rPr>
        <w:t xml:space="preserve">a dietary intake assessment to </w:t>
      </w:r>
      <w:r>
        <w:rPr>
          <w:sz w:val="22"/>
          <w:szCs w:val="22"/>
        </w:rPr>
        <w:t>e</w:t>
      </w:r>
      <w:r w:rsidRPr="002D591B">
        <w:rPr>
          <w:sz w:val="22"/>
          <w:szCs w:val="22"/>
        </w:rPr>
        <w:t>stimate the total dietary intake of L-carnitine and L-</w:t>
      </w:r>
      <w:r>
        <w:rPr>
          <w:sz w:val="22"/>
          <w:szCs w:val="22"/>
        </w:rPr>
        <w:t>carnitine-L-tartrate</w:t>
      </w:r>
      <w:r w:rsidRPr="002D591B">
        <w:rPr>
          <w:sz w:val="22"/>
          <w:szCs w:val="22"/>
        </w:rPr>
        <w:t xml:space="preserve"> </w:t>
      </w:r>
      <w:r>
        <w:rPr>
          <w:sz w:val="22"/>
          <w:szCs w:val="22"/>
        </w:rPr>
        <w:t>due to</w:t>
      </w:r>
      <w:r w:rsidRPr="002D591B">
        <w:rPr>
          <w:sz w:val="22"/>
          <w:szCs w:val="22"/>
        </w:rPr>
        <w:t xml:space="preserve"> baseline intake and intake resulting from </w:t>
      </w:r>
      <w:r>
        <w:rPr>
          <w:sz w:val="22"/>
          <w:szCs w:val="22"/>
        </w:rPr>
        <w:t xml:space="preserve">the </w:t>
      </w:r>
      <w:r w:rsidRPr="002D591B">
        <w:rPr>
          <w:sz w:val="22"/>
          <w:szCs w:val="22"/>
        </w:rPr>
        <w:t xml:space="preserve">addition </w:t>
      </w:r>
      <w:r>
        <w:rPr>
          <w:sz w:val="22"/>
          <w:szCs w:val="22"/>
        </w:rPr>
        <w:t xml:space="preserve">of </w:t>
      </w:r>
      <w:r w:rsidRPr="00421363">
        <w:rPr>
          <w:sz w:val="22"/>
          <w:szCs w:val="22"/>
        </w:rPr>
        <w:t xml:space="preserve">L-carnitine </w:t>
      </w:r>
      <w:r w:rsidRPr="002D591B">
        <w:rPr>
          <w:sz w:val="22"/>
          <w:szCs w:val="22"/>
        </w:rPr>
        <w:t>to the proposed foods</w:t>
      </w:r>
      <w:r>
        <w:rPr>
          <w:sz w:val="22"/>
          <w:szCs w:val="22"/>
        </w:rPr>
        <w:t xml:space="preserve">; and (iv) a risk characterisation comparing </w:t>
      </w:r>
      <w:r w:rsidRPr="002D591B">
        <w:rPr>
          <w:sz w:val="22"/>
          <w:szCs w:val="22"/>
        </w:rPr>
        <w:t xml:space="preserve">dietary intake levels </w:t>
      </w:r>
      <w:r>
        <w:rPr>
          <w:sz w:val="22"/>
          <w:szCs w:val="22"/>
        </w:rPr>
        <w:t xml:space="preserve">(at baseline and under a possible addition scenario) </w:t>
      </w:r>
      <w:r w:rsidRPr="002D591B">
        <w:rPr>
          <w:sz w:val="22"/>
          <w:szCs w:val="22"/>
        </w:rPr>
        <w:t xml:space="preserve">with </w:t>
      </w:r>
      <w:r>
        <w:rPr>
          <w:sz w:val="22"/>
          <w:szCs w:val="22"/>
        </w:rPr>
        <w:t>the highest intake</w:t>
      </w:r>
      <w:r w:rsidRPr="002D591B">
        <w:rPr>
          <w:sz w:val="22"/>
          <w:szCs w:val="22"/>
        </w:rPr>
        <w:t xml:space="preserve"> associated with </w:t>
      </w:r>
      <w:r>
        <w:rPr>
          <w:sz w:val="22"/>
          <w:szCs w:val="22"/>
        </w:rPr>
        <w:t xml:space="preserve">no </w:t>
      </w:r>
      <w:r w:rsidRPr="002D591B">
        <w:rPr>
          <w:sz w:val="22"/>
          <w:szCs w:val="22"/>
        </w:rPr>
        <w:t>adverse effects</w:t>
      </w:r>
      <w:r>
        <w:rPr>
          <w:sz w:val="22"/>
          <w:szCs w:val="22"/>
        </w:rPr>
        <w:t xml:space="preserve"> in human studies.</w:t>
      </w:r>
    </w:p>
    <w:p w14:paraId="54816E8B" w14:textId="77777777" w:rsidR="00785714" w:rsidRPr="002D591B" w:rsidRDefault="00785714" w:rsidP="00785714">
      <w:pPr>
        <w:rPr>
          <w:rFonts w:eastAsia="Calibri"/>
          <w:szCs w:val="22"/>
          <w:lang w:bidi="ar-SA"/>
        </w:rPr>
      </w:pPr>
    </w:p>
    <w:p w14:paraId="047AB652" w14:textId="77777777" w:rsidR="00785714" w:rsidRPr="00823719" w:rsidRDefault="00785714" w:rsidP="00785714">
      <w:pPr>
        <w:rPr>
          <w:lang w:bidi="ar-SA"/>
        </w:rPr>
      </w:pPr>
      <w:r>
        <w:rPr>
          <w:lang w:bidi="ar-SA"/>
        </w:rPr>
        <w:t xml:space="preserve">The </w:t>
      </w:r>
      <w:r w:rsidRPr="00823719">
        <w:rPr>
          <w:lang w:bidi="ar-SA"/>
        </w:rPr>
        <w:t>food</w:t>
      </w:r>
      <w:r>
        <w:rPr>
          <w:lang w:bidi="ar-SA"/>
        </w:rPr>
        <w:t xml:space="preserve"> technology assessment concluded</w:t>
      </w:r>
      <w:r w:rsidRPr="00823719">
        <w:rPr>
          <w:lang w:bidi="ar-SA"/>
        </w:rPr>
        <w:t xml:space="preserve"> that </w:t>
      </w:r>
      <w:r>
        <w:rPr>
          <w:lang w:bidi="ar-SA"/>
        </w:rPr>
        <w:t>the</w:t>
      </w:r>
      <w:r w:rsidRPr="00823719">
        <w:rPr>
          <w:lang w:bidi="ar-SA"/>
        </w:rPr>
        <w:t xml:space="preserve"> L-carnitine and L-</w:t>
      </w:r>
      <w:r>
        <w:rPr>
          <w:lang w:bidi="ar-SA"/>
        </w:rPr>
        <w:t>carnitine-L-tartrate</w:t>
      </w:r>
      <w:r w:rsidRPr="00823719">
        <w:rPr>
          <w:lang w:bidi="ar-SA"/>
        </w:rPr>
        <w:t xml:space="preserve"> </w:t>
      </w:r>
      <w:r>
        <w:rPr>
          <w:lang w:bidi="ar-SA"/>
        </w:rPr>
        <w:t xml:space="preserve">substances proposed for addition to foods </w:t>
      </w:r>
      <w:r w:rsidRPr="00823719">
        <w:rPr>
          <w:lang w:bidi="ar-SA"/>
        </w:rPr>
        <w:t xml:space="preserve">are well </w:t>
      </w:r>
      <w:r>
        <w:rPr>
          <w:lang w:bidi="ar-SA"/>
        </w:rPr>
        <w:t>characterised,</w:t>
      </w:r>
      <w:r w:rsidRPr="00823719">
        <w:rPr>
          <w:lang w:bidi="ar-SA"/>
        </w:rPr>
        <w:t xml:space="preserve"> </w:t>
      </w:r>
      <w:r>
        <w:rPr>
          <w:lang w:bidi="ar-SA"/>
        </w:rPr>
        <w:t xml:space="preserve">with appropriate specifications and </w:t>
      </w:r>
      <w:r w:rsidRPr="00823719">
        <w:rPr>
          <w:lang w:bidi="ar-SA"/>
        </w:rPr>
        <w:t xml:space="preserve">methods </w:t>
      </w:r>
      <w:r>
        <w:rPr>
          <w:lang w:bidi="ar-SA"/>
        </w:rPr>
        <w:t>of analysis</w:t>
      </w:r>
      <w:r w:rsidRPr="00823719">
        <w:rPr>
          <w:lang w:bidi="ar-SA"/>
        </w:rPr>
        <w:t xml:space="preserve">. The two substances are </w:t>
      </w:r>
      <w:r>
        <w:rPr>
          <w:lang w:bidi="ar-SA"/>
        </w:rPr>
        <w:t xml:space="preserve">highly soluble in water with acceptable stability and would be </w:t>
      </w:r>
      <w:r w:rsidRPr="00823719">
        <w:rPr>
          <w:lang w:bidi="ar-SA"/>
        </w:rPr>
        <w:t xml:space="preserve">expected to be readily incorporated into various food matrices. </w:t>
      </w:r>
    </w:p>
    <w:p w14:paraId="72B129E0" w14:textId="77777777" w:rsidR="00785714" w:rsidRDefault="00785714" w:rsidP="00785714">
      <w:pPr>
        <w:rPr>
          <w:rFonts w:eastAsia="Calibri"/>
          <w:szCs w:val="22"/>
          <w:lang w:bidi="ar-SA"/>
        </w:rPr>
      </w:pPr>
    </w:p>
    <w:p w14:paraId="11A05829" w14:textId="26EBE4B0" w:rsidR="00785714" w:rsidRDefault="00785714" w:rsidP="00785714">
      <w:pPr>
        <w:rPr>
          <w:rFonts w:eastAsia="Calibri"/>
          <w:szCs w:val="22"/>
          <w:lang w:bidi="ar-SA"/>
        </w:rPr>
      </w:pPr>
      <w:r>
        <w:rPr>
          <w:rFonts w:eastAsia="Calibri"/>
          <w:szCs w:val="22"/>
          <w:lang w:bidi="ar-SA"/>
        </w:rPr>
        <w:t xml:space="preserve">The hazard assessment considered information on the physiology, biochemistry and </w:t>
      </w:r>
      <w:r w:rsidR="00A74C75">
        <w:rPr>
          <w:rFonts w:eastAsia="Calibri"/>
          <w:szCs w:val="22"/>
          <w:lang w:bidi="ar-SA"/>
        </w:rPr>
        <w:t>pharmacokinetics of L-carnitine,</w:t>
      </w:r>
      <w:r w:rsidRPr="00302936">
        <w:t xml:space="preserve"> </w:t>
      </w:r>
      <w:r w:rsidRPr="00302936">
        <w:rPr>
          <w:rFonts w:eastAsia="Calibri"/>
          <w:szCs w:val="22"/>
          <w:lang w:bidi="ar-SA"/>
        </w:rPr>
        <w:t>L-carnitine-L-tartrate</w:t>
      </w:r>
      <w:r>
        <w:rPr>
          <w:rFonts w:eastAsia="Calibri"/>
          <w:szCs w:val="22"/>
          <w:lang w:bidi="ar-SA"/>
        </w:rPr>
        <w:t>, L-carnitine chloride</w:t>
      </w:r>
      <w:r w:rsidR="00A74C75">
        <w:rPr>
          <w:rFonts w:eastAsia="Calibri"/>
          <w:szCs w:val="22"/>
          <w:lang w:bidi="ar-SA"/>
        </w:rPr>
        <w:t>, acetyl L-carnitine</w:t>
      </w:r>
      <w:r>
        <w:rPr>
          <w:rFonts w:eastAsia="Calibri"/>
          <w:szCs w:val="22"/>
          <w:lang w:bidi="ar-SA"/>
        </w:rPr>
        <w:t xml:space="preserve"> and</w:t>
      </w:r>
      <w:r w:rsidRPr="00302936">
        <w:rPr>
          <w:rFonts w:eastAsia="Calibri"/>
          <w:szCs w:val="22"/>
          <w:lang w:bidi="ar-SA"/>
        </w:rPr>
        <w:t xml:space="preserve"> </w:t>
      </w:r>
      <w:r>
        <w:rPr>
          <w:rFonts w:eastAsia="Calibri"/>
          <w:szCs w:val="22"/>
          <w:lang w:bidi="ar-SA"/>
        </w:rPr>
        <w:t>data from animal and human studies investigating a wide range of parameters relevant to safety</w:t>
      </w:r>
      <w:r w:rsidRPr="006E39FF">
        <w:rPr>
          <w:rFonts w:eastAsia="Calibri"/>
          <w:i/>
          <w:szCs w:val="22"/>
          <w:lang w:bidi="ar-SA"/>
        </w:rPr>
        <w:t>. In vitro</w:t>
      </w:r>
      <w:r>
        <w:rPr>
          <w:rFonts w:eastAsia="Calibri"/>
          <w:szCs w:val="22"/>
          <w:lang w:bidi="ar-SA"/>
        </w:rPr>
        <w:t xml:space="preserve"> and</w:t>
      </w:r>
      <w:r w:rsidRPr="00FA1FFB">
        <w:rPr>
          <w:rFonts w:eastAsia="Calibri"/>
          <w:szCs w:val="22"/>
          <w:lang w:bidi="ar-SA"/>
        </w:rPr>
        <w:t xml:space="preserve"> animal</w:t>
      </w:r>
      <w:r>
        <w:rPr>
          <w:rFonts w:eastAsia="Calibri"/>
          <w:szCs w:val="22"/>
          <w:lang w:bidi="ar-SA"/>
        </w:rPr>
        <w:t xml:space="preserve"> </w:t>
      </w:r>
      <w:r w:rsidRPr="00FA1FFB">
        <w:rPr>
          <w:rFonts w:eastAsia="Calibri"/>
          <w:szCs w:val="22"/>
          <w:lang w:bidi="ar-SA"/>
        </w:rPr>
        <w:t>s</w:t>
      </w:r>
      <w:r>
        <w:rPr>
          <w:rFonts w:eastAsia="Calibri"/>
          <w:szCs w:val="22"/>
          <w:lang w:bidi="ar-SA"/>
        </w:rPr>
        <w:t>tudies</w:t>
      </w:r>
      <w:r w:rsidRPr="00FA1FFB">
        <w:rPr>
          <w:rFonts w:eastAsia="Calibri"/>
          <w:szCs w:val="22"/>
          <w:lang w:bidi="ar-SA"/>
        </w:rPr>
        <w:t xml:space="preserve"> showed that L-carnitine and L-carnitine chloride are not genotoxic and are of low acute </w:t>
      </w:r>
      <w:r>
        <w:rPr>
          <w:rFonts w:eastAsia="Calibri"/>
          <w:szCs w:val="22"/>
          <w:lang w:bidi="ar-SA"/>
        </w:rPr>
        <w:t xml:space="preserve">oral </w:t>
      </w:r>
      <w:r w:rsidRPr="00FA1FFB">
        <w:rPr>
          <w:rFonts w:eastAsia="Calibri"/>
          <w:szCs w:val="22"/>
          <w:lang w:bidi="ar-SA"/>
        </w:rPr>
        <w:t>toxicity. A subchronic dietary toxicity study in rats did not show any adverse effects at doses of up to 3934 mg/kg bw/day L-carnitine-L-tartrate in males, and 50</w:t>
      </w:r>
      <w:r>
        <w:rPr>
          <w:rFonts w:eastAsia="Calibri"/>
          <w:szCs w:val="22"/>
          <w:lang w:bidi="ar-SA"/>
        </w:rPr>
        <w:t>42 mg/kg bw/day in females. While some</w:t>
      </w:r>
      <w:r w:rsidRPr="00FA1FFB">
        <w:rPr>
          <w:rFonts w:eastAsia="Calibri"/>
          <w:szCs w:val="22"/>
          <w:lang w:bidi="ar-SA"/>
        </w:rPr>
        <w:t xml:space="preserve"> </w:t>
      </w:r>
      <w:r>
        <w:rPr>
          <w:rFonts w:eastAsia="Calibri"/>
          <w:szCs w:val="22"/>
          <w:lang w:bidi="ar-SA"/>
        </w:rPr>
        <w:t xml:space="preserve">adverse </w:t>
      </w:r>
      <w:r w:rsidRPr="00FA1FFB">
        <w:rPr>
          <w:rFonts w:eastAsia="Calibri"/>
          <w:szCs w:val="22"/>
          <w:lang w:bidi="ar-SA"/>
        </w:rPr>
        <w:t xml:space="preserve">effects </w:t>
      </w:r>
      <w:r>
        <w:rPr>
          <w:rFonts w:eastAsia="Calibri"/>
          <w:szCs w:val="22"/>
          <w:lang w:bidi="ar-SA"/>
        </w:rPr>
        <w:t xml:space="preserve">were observed in repeated dose animal studies using L-carnitine chloride these are most </w:t>
      </w:r>
      <w:r w:rsidRPr="00FA1FFB">
        <w:rPr>
          <w:rFonts w:eastAsia="Calibri"/>
          <w:szCs w:val="22"/>
          <w:lang w:bidi="ar-SA"/>
        </w:rPr>
        <w:t>likely to be attributable to the chloride ion</w:t>
      </w:r>
      <w:r>
        <w:rPr>
          <w:rFonts w:eastAsia="Calibri"/>
          <w:szCs w:val="22"/>
          <w:lang w:bidi="ar-SA"/>
        </w:rPr>
        <w:t xml:space="preserve">, and therefore are not relevant to the safety of L-carnitine or </w:t>
      </w:r>
      <w:r w:rsidRPr="00C226D0">
        <w:rPr>
          <w:rFonts w:eastAsia="Calibri"/>
          <w:szCs w:val="22"/>
          <w:lang w:bidi="ar-SA"/>
        </w:rPr>
        <w:t>L-carnitine-L-tartrate</w:t>
      </w:r>
      <w:r w:rsidRPr="00FA1FFB">
        <w:rPr>
          <w:rFonts w:eastAsia="Calibri"/>
          <w:szCs w:val="22"/>
          <w:lang w:bidi="ar-SA"/>
        </w:rPr>
        <w:t xml:space="preserve">. The available evidence supports </w:t>
      </w:r>
      <w:r>
        <w:rPr>
          <w:rFonts w:eastAsia="Calibri"/>
          <w:szCs w:val="22"/>
          <w:lang w:bidi="ar-SA"/>
        </w:rPr>
        <w:t xml:space="preserve">a conclusion </w:t>
      </w:r>
      <w:r w:rsidRPr="00FA1FFB">
        <w:rPr>
          <w:rFonts w:eastAsia="Calibri"/>
          <w:szCs w:val="22"/>
          <w:lang w:bidi="ar-SA"/>
        </w:rPr>
        <w:t>that L-carnitine and its salts are not likely to be carcinogenic</w:t>
      </w:r>
      <w:r>
        <w:rPr>
          <w:rFonts w:eastAsia="Calibri"/>
          <w:szCs w:val="22"/>
          <w:lang w:bidi="ar-SA"/>
        </w:rPr>
        <w:t>,</w:t>
      </w:r>
      <w:r w:rsidRPr="00FA1FFB">
        <w:rPr>
          <w:rFonts w:eastAsia="Calibri"/>
          <w:szCs w:val="22"/>
          <w:lang w:bidi="ar-SA"/>
        </w:rPr>
        <w:t xml:space="preserve"> or reproductive or developmental toxicants.</w:t>
      </w:r>
      <w:r w:rsidRPr="00357E2E">
        <w:rPr>
          <w:rFonts w:eastAsia="Calibri"/>
          <w:szCs w:val="22"/>
          <w:lang w:bidi="ar-SA"/>
        </w:rPr>
        <w:t xml:space="preserve"> </w:t>
      </w:r>
    </w:p>
    <w:p w14:paraId="4F62D205" w14:textId="77777777" w:rsidR="00785714" w:rsidRDefault="00785714" w:rsidP="00785714">
      <w:pPr>
        <w:rPr>
          <w:rFonts w:eastAsia="Calibri"/>
          <w:szCs w:val="22"/>
          <w:lang w:bidi="ar-SA"/>
        </w:rPr>
      </w:pPr>
    </w:p>
    <w:p w14:paraId="2962E6A9" w14:textId="55084618" w:rsidR="002F010F" w:rsidRDefault="00785714" w:rsidP="00D94355">
      <w:pPr>
        <w:widowControl/>
        <w:rPr>
          <w:rFonts w:eastAsia="Calibri"/>
          <w:szCs w:val="22"/>
          <w:lang w:bidi="ar-SA"/>
        </w:rPr>
      </w:pPr>
      <w:r>
        <w:rPr>
          <w:rFonts w:eastAsia="Calibri"/>
          <w:szCs w:val="22"/>
          <w:lang w:bidi="ar-SA"/>
        </w:rPr>
        <w:t xml:space="preserve">In human studies, </w:t>
      </w:r>
      <w:r w:rsidR="00982EE7">
        <w:rPr>
          <w:rFonts w:eastAsia="Calibri"/>
          <w:szCs w:val="22"/>
          <w:lang w:bidi="ar-SA"/>
        </w:rPr>
        <w:t xml:space="preserve">oral </w:t>
      </w:r>
      <w:r>
        <w:rPr>
          <w:rFonts w:eastAsia="Calibri"/>
          <w:szCs w:val="22"/>
          <w:lang w:bidi="ar-SA"/>
        </w:rPr>
        <w:t>L-carnitine doses as high as 7 g/day for durations of up to 12 months have been investigated</w:t>
      </w:r>
      <w:r w:rsidRPr="001E71EF">
        <w:rPr>
          <w:rFonts w:eastAsia="Calibri"/>
          <w:szCs w:val="22"/>
          <w:lang w:bidi="ar-SA"/>
        </w:rPr>
        <w:t>,</w:t>
      </w:r>
      <w:r>
        <w:rPr>
          <w:rFonts w:eastAsia="Calibri"/>
          <w:szCs w:val="22"/>
          <w:lang w:bidi="ar-SA"/>
        </w:rPr>
        <w:t xml:space="preserve"> including in studies in </w:t>
      </w:r>
      <w:r w:rsidRPr="001E71EF">
        <w:rPr>
          <w:rFonts w:eastAsia="Calibri"/>
          <w:szCs w:val="22"/>
          <w:lang w:bidi="ar-SA"/>
        </w:rPr>
        <w:t>elderly</w:t>
      </w:r>
      <w:r>
        <w:rPr>
          <w:rFonts w:eastAsia="Calibri"/>
          <w:szCs w:val="22"/>
          <w:lang w:bidi="ar-SA"/>
        </w:rPr>
        <w:t xml:space="preserve"> subjects</w:t>
      </w:r>
      <w:r w:rsidRPr="001E71EF">
        <w:rPr>
          <w:rFonts w:eastAsia="Calibri"/>
          <w:szCs w:val="22"/>
          <w:lang w:bidi="ar-SA"/>
        </w:rPr>
        <w:t xml:space="preserve">, and </w:t>
      </w:r>
      <w:r>
        <w:rPr>
          <w:rFonts w:eastAsia="Calibri"/>
          <w:szCs w:val="22"/>
          <w:lang w:bidi="ar-SA"/>
        </w:rPr>
        <w:t xml:space="preserve">in </w:t>
      </w:r>
      <w:r w:rsidRPr="001E71EF">
        <w:rPr>
          <w:rFonts w:eastAsia="Calibri"/>
          <w:szCs w:val="22"/>
          <w:lang w:bidi="ar-SA"/>
        </w:rPr>
        <w:t>pregnant women</w:t>
      </w:r>
      <w:r w:rsidR="00796483">
        <w:rPr>
          <w:rFonts w:eastAsia="Calibri"/>
          <w:szCs w:val="22"/>
          <w:lang w:bidi="ar-SA"/>
        </w:rPr>
        <w:t>.</w:t>
      </w:r>
      <w:r w:rsidR="00796483" w:rsidRPr="00796483">
        <w:t xml:space="preserve"> </w:t>
      </w:r>
      <w:r w:rsidR="00796483" w:rsidRPr="00796483">
        <w:rPr>
          <w:rFonts w:eastAsia="Calibri"/>
          <w:szCs w:val="22"/>
          <w:lang w:bidi="ar-SA"/>
        </w:rPr>
        <w:t xml:space="preserve">L-carnitine </w:t>
      </w:r>
      <w:r w:rsidR="00796483">
        <w:rPr>
          <w:rFonts w:eastAsia="Calibri"/>
          <w:szCs w:val="22"/>
          <w:lang w:bidi="ar-SA"/>
        </w:rPr>
        <w:t>bioavailability</w:t>
      </w:r>
      <w:r w:rsidR="00796483" w:rsidRPr="00796483">
        <w:rPr>
          <w:rFonts w:eastAsia="Calibri"/>
          <w:szCs w:val="22"/>
          <w:lang w:bidi="ar-SA"/>
        </w:rPr>
        <w:t xml:space="preserve"> declines markedly with dose and no systemic toxicity has been </w:t>
      </w:r>
      <w:r w:rsidR="00983925" w:rsidRPr="00796483">
        <w:rPr>
          <w:rFonts w:eastAsia="Calibri"/>
          <w:szCs w:val="22"/>
          <w:lang w:bidi="ar-SA"/>
        </w:rPr>
        <w:t>observed. No</w:t>
      </w:r>
      <w:r w:rsidRPr="001E71EF">
        <w:rPr>
          <w:rFonts w:eastAsia="Calibri"/>
          <w:szCs w:val="22"/>
          <w:lang w:bidi="ar-SA"/>
        </w:rPr>
        <w:t xml:space="preserve"> adverse </w:t>
      </w:r>
      <w:r>
        <w:rPr>
          <w:rFonts w:eastAsia="Calibri"/>
          <w:szCs w:val="22"/>
          <w:lang w:bidi="ar-SA"/>
        </w:rPr>
        <w:t xml:space="preserve">effects attributable to L-carnitine intake have been identified at doses of up to 3 g/day. </w:t>
      </w:r>
      <w:r w:rsidRPr="001E71EF">
        <w:rPr>
          <w:rFonts w:eastAsia="Calibri"/>
          <w:szCs w:val="22"/>
          <w:lang w:bidi="ar-SA"/>
        </w:rPr>
        <w:t xml:space="preserve">At doses </w:t>
      </w:r>
      <w:r w:rsidR="00983925">
        <w:rPr>
          <w:rFonts w:eastAsia="Calibri" w:cs="Arial"/>
          <w:szCs w:val="22"/>
          <w:lang w:bidi="ar-SA"/>
        </w:rPr>
        <w:t>≥</w:t>
      </w:r>
      <w:r w:rsidR="00983925">
        <w:rPr>
          <w:rFonts w:eastAsia="Calibri"/>
          <w:szCs w:val="22"/>
          <w:lang w:bidi="ar-SA"/>
        </w:rPr>
        <w:t xml:space="preserve"> </w:t>
      </w:r>
      <w:r w:rsidRPr="001E71EF">
        <w:rPr>
          <w:rFonts w:eastAsia="Calibri"/>
          <w:szCs w:val="22"/>
          <w:lang w:bidi="ar-SA"/>
        </w:rPr>
        <w:t>3 g/day</w:t>
      </w:r>
      <w:r>
        <w:rPr>
          <w:rFonts w:eastAsia="Calibri"/>
          <w:szCs w:val="22"/>
          <w:lang w:bidi="ar-SA"/>
        </w:rPr>
        <w:t>,</w:t>
      </w:r>
      <w:r w:rsidRPr="001E71EF">
        <w:rPr>
          <w:rFonts w:eastAsia="Calibri"/>
          <w:szCs w:val="22"/>
          <w:lang w:bidi="ar-SA"/>
        </w:rPr>
        <w:t xml:space="preserve"> nausea</w:t>
      </w:r>
      <w:r>
        <w:rPr>
          <w:rFonts w:eastAsia="Calibri"/>
          <w:szCs w:val="22"/>
          <w:lang w:bidi="ar-SA"/>
        </w:rPr>
        <w:t>,</w:t>
      </w:r>
      <w:r w:rsidRPr="001E71EF">
        <w:rPr>
          <w:rFonts w:eastAsia="Calibri"/>
          <w:szCs w:val="22"/>
          <w:lang w:bidi="ar-SA"/>
        </w:rPr>
        <w:t xml:space="preserve"> gastrointestinal disturbances</w:t>
      </w:r>
      <w:r>
        <w:rPr>
          <w:rFonts w:eastAsia="Calibri"/>
          <w:szCs w:val="22"/>
          <w:lang w:bidi="ar-SA"/>
        </w:rPr>
        <w:t>, and</w:t>
      </w:r>
      <w:r w:rsidRPr="001E71EF">
        <w:rPr>
          <w:rFonts w:eastAsia="Calibri"/>
          <w:szCs w:val="22"/>
          <w:lang w:bidi="ar-SA"/>
        </w:rPr>
        <w:t xml:space="preserve"> </w:t>
      </w:r>
      <w:r>
        <w:rPr>
          <w:rFonts w:eastAsia="Calibri"/>
          <w:szCs w:val="22"/>
          <w:lang w:bidi="ar-SA"/>
        </w:rPr>
        <w:t>f</w:t>
      </w:r>
      <w:r w:rsidRPr="00514A89">
        <w:rPr>
          <w:rFonts w:eastAsia="Calibri"/>
          <w:szCs w:val="22"/>
          <w:lang w:bidi="ar-SA"/>
        </w:rPr>
        <w:t>ishy body and/or urine odour</w:t>
      </w:r>
      <w:r w:rsidR="001B3AAD">
        <w:rPr>
          <w:rFonts w:eastAsia="Calibri"/>
          <w:szCs w:val="22"/>
          <w:lang w:bidi="ar-SA"/>
        </w:rPr>
        <w:t xml:space="preserve"> have been observed</w:t>
      </w:r>
      <w:r>
        <w:rPr>
          <w:rFonts w:eastAsia="Calibri"/>
          <w:szCs w:val="22"/>
          <w:lang w:bidi="ar-SA"/>
        </w:rPr>
        <w:t xml:space="preserve">. </w:t>
      </w:r>
      <w:r w:rsidR="001B3AAD">
        <w:rPr>
          <w:rFonts w:eastAsia="Calibri"/>
          <w:szCs w:val="22"/>
          <w:lang w:bidi="ar-SA"/>
        </w:rPr>
        <w:t>However, t</w:t>
      </w:r>
      <w:r w:rsidR="00877BD4">
        <w:rPr>
          <w:rFonts w:eastAsia="Calibri"/>
          <w:szCs w:val="22"/>
          <w:lang w:bidi="ar-SA"/>
        </w:rPr>
        <w:t>hese effects are mild</w:t>
      </w:r>
      <w:r w:rsidR="002C16E5" w:rsidRPr="002C16E5">
        <w:rPr>
          <w:rFonts w:eastAsia="Calibri"/>
          <w:szCs w:val="22"/>
          <w:lang w:bidi="ar-SA"/>
        </w:rPr>
        <w:t xml:space="preserve"> in severity</w:t>
      </w:r>
      <w:r w:rsidR="00877BD4">
        <w:rPr>
          <w:rFonts w:eastAsia="Calibri"/>
          <w:szCs w:val="22"/>
          <w:lang w:bidi="ar-SA"/>
        </w:rPr>
        <w:t xml:space="preserve"> and </w:t>
      </w:r>
      <w:r w:rsidR="00796483">
        <w:rPr>
          <w:rFonts w:eastAsia="Calibri"/>
          <w:szCs w:val="22"/>
          <w:lang w:bidi="ar-SA"/>
        </w:rPr>
        <w:t xml:space="preserve">have </w:t>
      </w:r>
      <w:r w:rsidR="00877BD4">
        <w:rPr>
          <w:rFonts w:eastAsia="Calibri"/>
          <w:szCs w:val="22"/>
          <w:lang w:bidi="ar-SA"/>
        </w:rPr>
        <w:t>rarely warrant</w:t>
      </w:r>
      <w:r w:rsidR="00796483">
        <w:rPr>
          <w:rFonts w:eastAsia="Calibri"/>
          <w:szCs w:val="22"/>
          <w:lang w:bidi="ar-SA"/>
        </w:rPr>
        <w:t>ed</w:t>
      </w:r>
      <w:r w:rsidR="00877BD4">
        <w:rPr>
          <w:rFonts w:eastAsia="Calibri"/>
          <w:szCs w:val="22"/>
          <w:lang w:bidi="ar-SA"/>
        </w:rPr>
        <w:t xml:space="preserve"> cessation of dosing in clinical studies</w:t>
      </w:r>
      <w:r w:rsidR="002C16E5">
        <w:rPr>
          <w:rFonts w:eastAsia="Calibri"/>
          <w:szCs w:val="22"/>
          <w:lang w:bidi="ar-SA"/>
        </w:rPr>
        <w:t>.</w:t>
      </w:r>
      <w:r w:rsidR="002C16E5" w:rsidRPr="002C16E5">
        <w:rPr>
          <w:rFonts w:eastAsia="Calibri"/>
          <w:szCs w:val="22"/>
          <w:lang w:bidi="ar-SA"/>
        </w:rPr>
        <w:t xml:space="preserve"> </w:t>
      </w:r>
      <w:r w:rsidR="002F010F" w:rsidRPr="002F010F">
        <w:rPr>
          <w:rFonts w:eastAsia="Calibri"/>
          <w:szCs w:val="22"/>
          <w:lang w:bidi="ar-SA"/>
        </w:rPr>
        <w:t xml:space="preserve">The favourable safety profile of </w:t>
      </w:r>
      <w:r w:rsidR="002F010F" w:rsidRPr="002F010F">
        <w:rPr>
          <w:rFonts w:eastAsia="Calibri"/>
          <w:szCs w:val="22"/>
          <w:lang w:bidi="ar-SA"/>
        </w:rPr>
        <w:lastRenderedPageBreak/>
        <w:t>L-carnitine is supported by clinical trials using intravenous administration which can achieve substantially greater systemic exposure than the oral route.</w:t>
      </w:r>
      <w:r w:rsidR="002F010F">
        <w:rPr>
          <w:rFonts w:eastAsia="Calibri"/>
          <w:szCs w:val="22"/>
          <w:lang w:bidi="ar-SA"/>
        </w:rPr>
        <w:t xml:space="preserve"> </w:t>
      </w:r>
    </w:p>
    <w:p w14:paraId="15C06D57" w14:textId="77777777" w:rsidR="00796483" w:rsidRDefault="00796483" w:rsidP="00816B7B">
      <w:pPr>
        <w:rPr>
          <w:rFonts w:eastAsia="Calibri"/>
          <w:szCs w:val="22"/>
          <w:lang w:bidi="ar-SA"/>
        </w:rPr>
      </w:pPr>
    </w:p>
    <w:p w14:paraId="1E38AC48" w14:textId="402216D4" w:rsidR="002F010F" w:rsidRDefault="00785714" w:rsidP="00816B7B">
      <w:r>
        <w:rPr>
          <w:rFonts w:eastAsia="Calibri"/>
          <w:szCs w:val="22"/>
          <w:lang w:bidi="ar-SA"/>
        </w:rPr>
        <w:t xml:space="preserve">Recently published studies </w:t>
      </w:r>
      <w:r w:rsidRPr="00AD216D">
        <w:rPr>
          <w:rFonts w:eastAsia="Calibri"/>
          <w:szCs w:val="22"/>
          <w:lang w:bidi="ar-SA"/>
        </w:rPr>
        <w:t>have raised potential concerns for an increased risk of cardiovascular disease due to a metabolite of L-carnitine</w:t>
      </w:r>
      <w:r>
        <w:rPr>
          <w:rFonts w:eastAsia="Calibri"/>
          <w:szCs w:val="22"/>
          <w:lang w:bidi="ar-SA"/>
        </w:rPr>
        <w:t xml:space="preserve"> (</w:t>
      </w:r>
      <w:r w:rsidR="00B30898">
        <w:rPr>
          <w:lang w:val="en"/>
        </w:rPr>
        <w:t xml:space="preserve">trimethylamine </w:t>
      </w:r>
      <w:r w:rsidR="00B30898">
        <w:rPr>
          <w:i/>
          <w:iCs/>
          <w:lang w:val="en"/>
        </w:rPr>
        <w:t>N</w:t>
      </w:r>
      <w:r w:rsidR="00B30898">
        <w:rPr>
          <w:lang w:val="en"/>
        </w:rPr>
        <w:t xml:space="preserve">-oxide, </w:t>
      </w:r>
      <w:r>
        <w:rPr>
          <w:rFonts w:eastAsia="Calibri"/>
          <w:szCs w:val="22"/>
          <w:lang w:bidi="ar-SA"/>
        </w:rPr>
        <w:t>TMAO)</w:t>
      </w:r>
      <w:r w:rsidRPr="00AD216D">
        <w:rPr>
          <w:rFonts w:eastAsia="Calibri"/>
          <w:szCs w:val="22"/>
          <w:lang w:bidi="ar-SA"/>
        </w:rPr>
        <w:t xml:space="preserve">. FSANZ has considered the relevant scientific literature and concludes that the </w:t>
      </w:r>
      <w:r w:rsidR="003B30BA">
        <w:rPr>
          <w:rFonts w:eastAsia="Calibri"/>
          <w:szCs w:val="22"/>
          <w:lang w:bidi="ar-SA"/>
        </w:rPr>
        <w:t xml:space="preserve">current </w:t>
      </w:r>
      <w:r w:rsidRPr="00AD216D">
        <w:rPr>
          <w:rFonts w:eastAsia="Calibri"/>
          <w:szCs w:val="22"/>
          <w:lang w:bidi="ar-SA"/>
        </w:rPr>
        <w:t>evidence does not</w:t>
      </w:r>
      <w:r w:rsidR="00A907DA">
        <w:rPr>
          <w:rFonts w:eastAsia="Calibri"/>
          <w:szCs w:val="22"/>
          <w:lang w:bidi="ar-SA"/>
        </w:rPr>
        <w:t xml:space="preserve"> </w:t>
      </w:r>
      <w:r w:rsidRPr="00AD216D">
        <w:rPr>
          <w:rFonts w:eastAsia="Calibri"/>
          <w:szCs w:val="22"/>
          <w:lang w:bidi="ar-SA"/>
        </w:rPr>
        <w:t>support TMAO playing a causal role in initiating or promoting adverse cardiovascular effects</w:t>
      </w:r>
      <w:r>
        <w:rPr>
          <w:rFonts w:eastAsia="Calibri"/>
          <w:szCs w:val="22"/>
          <w:lang w:bidi="ar-SA"/>
        </w:rPr>
        <w:t>.</w:t>
      </w:r>
      <w:r w:rsidR="00816B7B" w:rsidRPr="00816B7B">
        <w:t xml:space="preserve"> </w:t>
      </w:r>
    </w:p>
    <w:p w14:paraId="6D3C2E5F" w14:textId="77777777" w:rsidR="002F010F" w:rsidRDefault="002F010F" w:rsidP="00816B7B"/>
    <w:p w14:paraId="1D1FDB57" w14:textId="1142D3BE" w:rsidR="00785714" w:rsidRPr="00816B7B" w:rsidRDefault="00816B7B" w:rsidP="00816B7B">
      <w:pPr>
        <w:rPr>
          <w:rFonts w:eastAsia="Calibri"/>
          <w:szCs w:val="22"/>
          <w:lang w:bidi="ar-SA"/>
        </w:rPr>
      </w:pPr>
      <w:r>
        <w:rPr>
          <w:rFonts w:eastAsia="Calibri"/>
          <w:szCs w:val="22"/>
          <w:lang w:bidi="ar-SA"/>
        </w:rPr>
        <w:t>I</w:t>
      </w:r>
      <w:r w:rsidRPr="00816B7B">
        <w:rPr>
          <w:rFonts w:eastAsia="Calibri"/>
          <w:szCs w:val="22"/>
          <w:lang w:bidi="ar-SA"/>
        </w:rPr>
        <w:t>t is concluded that intake of L-carnitine up to 3 g/day is not a</w:t>
      </w:r>
      <w:r w:rsidR="00611477">
        <w:rPr>
          <w:rFonts w:eastAsia="Calibri"/>
          <w:szCs w:val="22"/>
          <w:lang w:bidi="ar-SA"/>
        </w:rPr>
        <w:t>ssociated with adverse effects.</w:t>
      </w:r>
      <w:r w:rsidRPr="00816B7B">
        <w:rPr>
          <w:rFonts w:eastAsia="Calibri"/>
          <w:szCs w:val="22"/>
          <w:lang w:bidi="ar-SA"/>
        </w:rPr>
        <w:t xml:space="preserve"> At higher doses, up to the maximum tested oral dose of 7 g/day, only minor adverse effects have been observed with no evidence of systemic toxicity.</w:t>
      </w:r>
    </w:p>
    <w:p w14:paraId="6A2E640E" w14:textId="77777777" w:rsidR="00785714" w:rsidRDefault="00785714" w:rsidP="00785714">
      <w:pPr>
        <w:rPr>
          <w:rFonts w:eastAsia="Calibri"/>
          <w:szCs w:val="22"/>
          <w:lang w:bidi="ar-SA"/>
        </w:rPr>
      </w:pPr>
    </w:p>
    <w:p w14:paraId="7C276583" w14:textId="429070FE" w:rsidR="00D95F7B" w:rsidRDefault="00785714" w:rsidP="00D95F7B">
      <w:r w:rsidRPr="002B6E00">
        <w:t xml:space="preserve">The dietary intake </w:t>
      </w:r>
      <w:r>
        <w:t xml:space="preserve">assessment </w:t>
      </w:r>
      <w:r w:rsidRPr="002B6E00">
        <w:t>accounted for naturally occurring L-carnitine concentrations in foods, the maximum levels for existing L-carnitine permissions,</w:t>
      </w:r>
      <w:r>
        <w:t xml:space="preserve"> and the additional </w:t>
      </w:r>
      <w:r w:rsidRPr="002B6E00">
        <w:t>permissions requested by the Applicant.</w:t>
      </w:r>
      <w:r>
        <w:t xml:space="preserve"> Modelling was conducted for a number of scenarios.</w:t>
      </w:r>
      <w:r w:rsidR="00A137B4">
        <w:t xml:space="preserve"> </w:t>
      </w:r>
      <w:r w:rsidRPr="00C73B09">
        <w:t xml:space="preserve">For the </w:t>
      </w:r>
      <w:r w:rsidR="00590F7F">
        <w:t>B</w:t>
      </w:r>
      <w:r w:rsidRPr="00590F7F">
        <w:rPr>
          <w:i/>
        </w:rPr>
        <w:t>aseline</w:t>
      </w:r>
      <w:r w:rsidRPr="0084501E">
        <w:t xml:space="preserve"> s</w:t>
      </w:r>
      <w:r>
        <w:t xml:space="preserve">cenario, which </w:t>
      </w:r>
      <w:r w:rsidRPr="00C73B09">
        <w:t>includes naturally occurring L-carnitine and the current permissions for L-carnitine addition in formulated supplementary sports foods</w:t>
      </w:r>
      <w:r>
        <w:t>, t</w:t>
      </w:r>
      <w:r w:rsidRPr="00C73B09">
        <w:t xml:space="preserve">he </w:t>
      </w:r>
      <w:r>
        <w:t xml:space="preserve">range of </w:t>
      </w:r>
      <w:r w:rsidRPr="00C73B09">
        <w:t xml:space="preserve">estimated dietary intakes of L-carnitine for </w:t>
      </w:r>
      <w:r>
        <w:t xml:space="preserve">various </w:t>
      </w:r>
      <w:r w:rsidRPr="00C73B09">
        <w:t xml:space="preserve">Australian age groups </w:t>
      </w:r>
      <w:r w:rsidR="00A137B4">
        <w:t>is</w:t>
      </w:r>
      <w:r w:rsidRPr="00C73B09">
        <w:t xml:space="preserve"> </w:t>
      </w:r>
      <w:r w:rsidR="002A1EDD">
        <w:t>38</w:t>
      </w:r>
      <w:r w:rsidRPr="00C73B09">
        <w:t>–</w:t>
      </w:r>
      <w:r w:rsidR="00A137B4">
        <w:t>7</w:t>
      </w:r>
      <w:r w:rsidR="002A1EDD">
        <w:t>1</w:t>
      </w:r>
      <w:r w:rsidR="00A137B4">
        <w:t> </w:t>
      </w:r>
      <w:r w:rsidRPr="00C73B09">
        <w:t>mg/day</w:t>
      </w:r>
      <w:r>
        <w:t xml:space="preserve"> (mean) and</w:t>
      </w:r>
      <w:r w:rsidRPr="00C73B09">
        <w:t xml:space="preserve"> </w:t>
      </w:r>
      <w:r w:rsidR="002A1EDD">
        <w:t>73</w:t>
      </w:r>
      <w:r>
        <w:t>–</w:t>
      </w:r>
      <w:r w:rsidR="002A1EDD">
        <w:t>138</w:t>
      </w:r>
      <w:r>
        <w:t> </w:t>
      </w:r>
      <w:r w:rsidRPr="00C73B09">
        <w:t>mg/day</w:t>
      </w:r>
      <w:r>
        <w:t xml:space="preserve"> (P90)</w:t>
      </w:r>
      <w:r w:rsidRPr="00C73B09">
        <w:t>.</w:t>
      </w:r>
    </w:p>
    <w:p w14:paraId="3A4CEDA7" w14:textId="77777777" w:rsidR="00D95F7B" w:rsidRDefault="00D95F7B" w:rsidP="00D95F7B"/>
    <w:p w14:paraId="493C416E" w14:textId="766BF73B" w:rsidR="00503996" w:rsidRPr="00484548" w:rsidRDefault="00503996" w:rsidP="00D95F7B">
      <w:r w:rsidRPr="00484548">
        <w:t xml:space="preserve">The scenario with the highest estimated dietary L-carnitine intakes for all population groups is the </w:t>
      </w:r>
      <w:r w:rsidRPr="00484548">
        <w:rPr>
          <w:i/>
        </w:rPr>
        <w:t>Consumer behaviour</w:t>
      </w:r>
      <w:r w:rsidRPr="00484548">
        <w:t xml:space="preserve"> model that takes into account naturally-occurring L-carnitine concentrations in food plus all permissions requested in the application, at 100% market penetration into each category. The </w:t>
      </w:r>
      <w:r w:rsidR="00D95F7B" w:rsidRPr="00484548">
        <w:t xml:space="preserve">range of </w:t>
      </w:r>
      <w:r w:rsidR="008544D1" w:rsidRPr="00484548">
        <w:t xml:space="preserve">Australian </w:t>
      </w:r>
      <w:r w:rsidRPr="00484548">
        <w:t xml:space="preserve">dietary intakes for </w:t>
      </w:r>
      <w:r w:rsidR="002A1EDD" w:rsidRPr="00484548">
        <w:t xml:space="preserve">all population groups </w:t>
      </w:r>
      <w:r w:rsidR="00FA10E4" w:rsidRPr="00484548">
        <w:t xml:space="preserve">assessed </w:t>
      </w:r>
      <w:r w:rsidR="002A1EDD" w:rsidRPr="00484548">
        <w:t xml:space="preserve">in </w:t>
      </w:r>
      <w:r w:rsidRPr="00484548">
        <w:t xml:space="preserve">this scenario are </w:t>
      </w:r>
      <w:r w:rsidR="00D95F7B" w:rsidRPr="00484548">
        <w:t>288–</w:t>
      </w:r>
      <w:r w:rsidR="008544D1" w:rsidRPr="00484548">
        <w:t>806</w:t>
      </w:r>
      <w:r w:rsidRPr="00484548">
        <w:t xml:space="preserve"> mg/day at the mean and </w:t>
      </w:r>
      <w:r w:rsidR="00D95F7B" w:rsidRPr="00484548">
        <w:t>546–</w:t>
      </w:r>
      <w:r w:rsidR="008544D1" w:rsidRPr="00484548">
        <w:t>1,567</w:t>
      </w:r>
      <w:r w:rsidRPr="00484548">
        <w:t> mg/day at the P90.</w:t>
      </w:r>
      <w:r w:rsidR="00D95F7B" w:rsidRPr="00484548">
        <w:t xml:space="preserve"> </w:t>
      </w:r>
      <w:r w:rsidR="008544D1" w:rsidRPr="00484548">
        <w:t>For New Zealand</w:t>
      </w:r>
      <w:r w:rsidR="001A4D4C" w:rsidRPr="00484548">
        <w:t>,</w:t>
      </w:r>
      <w:r w:rsidR="008544D1" w:rsidRPr="00484548">
        <w:t xml:space="preserve"> the dietary intakes for all population groups</w:t>
      </w:r>
      <w:r w:rsidR="00FA10E4" w:rsidRPr="00484548">
        <w:t xml:space="preserve"> assessed</w:t>
      </w:r>
      <w:r w:rsidR="008544D1" w:rsidRPr="00484548">
        <w:t xml:space="preserve"> in this scenario are 299</w:t>
      </w:r>
      <w:r w:rsidR="00DF510F" w:rsidRPr="00484548">
        <w:t>–</w:t>
      </w:r>
      <w:r w:rsidR="001A4D4C" w:rsidRPr="00484548">
        <w:t>736</w:t>
      </w:r>
      <w:r w:rsidR="008544D1" w:rsidRPr="00484548">
        <w:t xml:space="preserve"> mg/day at the mean and </w:t>
      </w:r>
      <w:r w:rsidR="001A4D4C" w:rsidRPr="00484548">
        <w:t>655</w:t>
      </w:r>
      <w:r w:rsidR="008544D1" w:rsidRPr="00484548">
        <w:t>–1,</w:t>
      </w:r>
      <w:r w:rsidR="001A4D4C" w:rsidRPr="00484548">
        <w:t>384</w:t>
      </w:r>
      <w:r w:rsidR="008544D1" w:rsidRPr="00484548">
        <w:t xml:space="preserve"> mg/day at the P90. </w:t>
      </w:r>
      <w:r w:rsidR="00D61A42" w:rsidRPr="00484548">
        <w:fldChar w:fldCharType="begin" w:fldLock="1"/>
      </w:r>
      <w:r w:rsidR="00D61A42" w:rsidRPr="00484548">
        <w:instrText xml:space="preserve"> DOCPROPERTY bjHeaderBothDocProperty \* MERGEFORMAT </w:instrText>
      </w:r>
      <w:r w:rsidR="00D61A42" w:rsidRPr="00484548">
        <w:fldChar w:fldCharType="end"/>
      </w:r>
    </w:p>
    <w:p w14:paraId="72C92A0C" w14:textId="77777777" w:rsidR="00503996" w:rsidRDefault="00503996" w:rsidP="00785714"/>
    <w:p w14:paraId="6709275F" w14:textId="393845AA" w:rsidR="00785714" w:rsidRDefault="00503996" w:rsidP="00785714">
      <w:r>
        <w:t>For sports food/beverage consumers, t</w:t>
      </w:r>
      <w:r w:rsidR="00785714">
        <w:t xml:space="preserve">he scenario with the highest estimated dietary intakes </w:t>
      </w:r>
      <w:r w:rsidR="001A4D4C">
        <w:t>is</w:t>
      </w:r>
      <w:r w:rsidR="00785714" w:rsidRPr="00C73B09">
        <w:t xml:space="preserve"> L-carnitine intakes from </w:t>
      </w:r>
      <w:r w:rsidR="00785714">
        <w:t>‘</w:t>
      </w:r>
      <w:r w:rsidR="00785714" w:rsidRPr="00C73B09">
        <w:t>Baseline</w:t>
      </w:r>
      <w:r w:rsidR="00785714">
        <w:t xml:space="preserve">’ </w:t>
      </w:r>
      <w:r w:rsidR="001A4D4C">
        <w:t xml:space="preserve">(minus contribution of special purpose foods) plus </w:t>
      </w:r>
      <w:r w:rsidR="00785714" w:rsidRPr="00C73B09">
        <w:t>L-carnitine intakes from the recommended number of serves of sports food/beverage per day</w:t>
      </w:r>
      <w:r w:rsidR="00785714">
        <w:t>,</w:t>
      </w:r>
      <w:r w:rsidR="00785714" w:rsidRPr="00C73B09">
        <w:t xml:space="preserve"> provided by the Applicant (four serves per day to achieve </w:t>
      </w:r>
      <w:r w:rsidR="00785714">
        <w:t xml:space="preserve">a total intake of </w:t>
      </w:r>
      <w:r w:rsidR="00785714" w:rsidRPr="00A137B4">
        <w:t>2</w:t>
      </w:r>
      <w:r w:rsidR="00A137B4" w:rsidRPr="00A137B4">
        <w:t>,</w:t>
      </w:r>
      <w:r w:rsidR="00785714" w:rsidRPr="00A137B4">
        <w:t>000</w:t>
      </w:r>
      <w:r w:rsidR="00785714" w:rsidRPr="00C73B09">
        <w:t xml:space="preserve"> mg L-carnitine per day from sports food</w:t>
      </w:r>
      <w:r w:rsidR="00785714">
        <w:t xml:space="preserve"> </w:t>
      </w:r>
      <w:r w:rsidR="00785714" w:rsidRPr="00C73B09">
        <w:t xml:space="preserve">/ beverages). </w:t>
      </w:r>
      <w:r w:rsidR="00785714" w:rsidRPr="00240F59">
        <w:t>The mean and 90</w:t>
      </w:r>
      <w:r w:rsidR="00785714" w:rsidRPr="00240F59">
        <w:rPr>
          <w:vertAlign w:val="superscript"/>
        </w:rPr>
        <w:t>th</w:t>
      </w:r>
      <w:r w:rsidR="005F0B7C" w:rsidRPr="00240F59">
        <w:t xml:space="preserve"> </w:t>
      </w:r>
      <w:r w:rsidR="00785714" w:rsidRPr="00240F59">
        <w:t xml:space="preserve">percentile dietary intakes </w:t>
      </w:r>
      <w:r w:rsidRPr="00240F59">
        <w:t>c</w:t>
      </w:r>
      <w:r w:rsidR="00785714" w:rsidRPr="00240F59">
        <w:t>ould increase to 2</w:t>
      </w:r>
      <w:r w:rsidR="00A137B4" w:rsidRPr="00240F59">
        <w:t>,</w:t>
      </w:r>
      <w:r w:rsidR="00785714" w:rsidRPr="00240F59">
        <w:t>076–2</w:t>
      </w:r>
      <w:r w:rsidR="00A137B4" w:rsidRPr="00240F59">
        <w:t>,</w:t>
      </w:r>
      <w:r w:rsidR="00785714" w:rsidRPr="00240F59">
        <w:t>081 mg/day and 2</w:t>
      </w:r>
      <w:r w:rsidR="00A137B4" w:rsidRPr="00240F59">
        <w:t>,152</w:t>
      </w:r>
      <w:r w:rsidR="00785714" w:rsidRPr="00240F59">
        <w:t>–2</w:t>
      </w:r>
      <w:r w:rsidR="00A137B4" w:rsidRPr="00240F59">
        <w:t>,218 </w:t>
      </w:r>
      <w:r w:rsidR="00785714" w:rsidRPr="00240F59">
        <w:t xml:space="preserve">mg/day, respectively, under this scenario. This highest estimated </w:t>
      </w:r>
      <w:r w:rsidR="005F0B7C" w:rsidRPr="00240F59">
        <w:t>P90</w:t>
      </w:r>
      <w:r w:rsidR="00785714" w:rsidRPr="00240F59">
        <w:t xml:space="preserve"> intake level (</w:t>
      </w:r>
      <w:r w:rsidR="008658C9" w:rsidRPr="00240F59">
        <w:t>approximately</w:t>
      </w:r>
      <w:r w:rsidR="00785714" w:rsidRPr="00240F59">
        <w:t xml:space="preserve"> 2.</w:t>
      </w:r>
      <w:r w:rsidR="008658C9" w:rsidRPr="00240F59">
        <w:t>2</w:t>
      </w:r>
      <w:r w:rsidR="00785714" w:rsidRPr="00240F59">
        <w:t xml:space="preserve"> g/day) is</w:t>
      </w:r>
      <w:r w:rsidR="000E1AE9" w:rsidRPr="00240F59">
        <w:fldChar w:fldCharType="begin" w:fldLock="1"/>
      </w:r>
      <w:r w:rsidR="000E1AE9" w:rsidRPr="00240F59">
        <w:instrText xml:space="preserve"> DOCPROPERTY bjHeaderBothDocProperty \* MERGEFORMAT </w:instrText>
      </w:r>
      <w:r w:rsidR="000E1AE9" w:rsidRPr="00240F59">
        <w:fldChar w:fldCharType="end"/>
      </w:r>
      <w:r w:rsidR="00785714" w:rsidRPr="00240F59">
        <w:t xml:space="preserve"> below the highest intake of L-carnitine that has not been associated with adverse effects in human</w:t>
      </w:r>
      <w:r w:rsidR="00785714">
        <w:t xml:space="preserve"> studies (</w:t>
      </w:r>
      <w:r w:rsidR="00640273">
        <w:t>3</w:t>
      </w:r>
      <w:r w:rsidR="00785714" w:rsidRPr="009B3944">
        <w:t xml:space="preserve"> g/day</w:t>
      </w:r>
      <w:r w:rsidR="00785714">
        <w:t xml:space="preserve">). Therefore, there are no public health and safety concerns from the addition of L-carnitine / </w:t>
      </w:r>
      <w:r w:rsidR="00785714" w:rsidRPr="009B3944">
        <w:t>L-carnitine-L-tartrate</w:t>
      </w:r>
      <w:r w:rsidR="00785714">
        <w:t xml:space="preserve"> </w:t>
      </w:r>
      <w:r w:rsidR="00785714" w:rsidRPr="009B3944">
        <w:t>to a range of general pu</w:t>
      </w:r>
      <w:r w:rsidR="00785714">
        <w:t xml:space="preserve">rpose and special purpose foods, as requested in the </w:t>
      </w:r>
      <w:r w:rsidR="00E202CC">
        <w:t>application</w:t>
      </w:r>
      <w:r w:rsidR="00785714">
        <w:t>.</w:t>
      </w:r>
    </w:p>
    <w:p w14:paraId="653860E5" w14:textId="77777777" w:rsidR="00785714" w:rsidRDefault="00785714" w:rsidP="00785714">
      <w:pPr>
        <w:widowControl/>
      </w:pPr>
    </w:p>
    <w:p w14:paraId="3EEA14EC" w14:textId="77777777" w:rsidR="00785714" w:rsidRPr="009B3944" w:rsidRDefault="00785714" w:rsidP="00785714">
      <w:pPr>
        <w:widowControl/>
      </w:pPr>
    </w:p>
    <w:p w14:paraId="35317282" w14:textId="77777777" w:rsidR="00785714" w:rsidRPr="003532B3" w:rsidRDefault="00785714" w:rsidP="00785714">
      <w:pPr>
        <w:sectPr w:rsidR="00785714" w:rsidRPr="003532B3" w:rsidSect="00200FB1">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08"/>
          <w:docGrid w:linePitch="360"/>
        </w:sectPr>
      </w:pPr>
    </w:p>
    <w:sdt>
      <w:sdtPr>
        <w:rPr>
          <w:b w:val="0"/>
          <w:bCs w:val="0"/>
          <w:sz w:val="22"/>
          <w:szCs w:val="24"/>
          <w:lang w:bidi="en-US"/>
        </w:rPr>
        <w:id w:val="-592711737"/>
        <w:docPartObj>
          <w:docPartGallery w:val="Table of Contents"/>
          <w:docPartUnique/>
        </w:docPartObj>
      </w:sdtPr>
      <w:sdtEndPr>
        <w:rPr>
          <w:noProof/>
        </w:rPr>
      </w:sdtEndPr>
      <w:sdtContent>
        <w:p w14:paraId="4502B7B9" w14:textId="77777777" w:rsidR="00785714" w:rsidRDefault="00785714" w:rsidP="00785714">
          <w:pPr>
            <w:pStyle w:val="TOCHeading"/>
          </w:pPr>
          <w:r>
            <w:t>Table of Contents</w:t>
          </w:r>
        </w:p>
        <w:p w14:paraId="12F09B4E" w14:textId="25367C38" w:rsidR="00952144" w:rsidRDefault="00785714">
          <w:pPr>
            <w:pStyle w:val="TOC1"/>
            <w:tabs>
              <w:tab w:val="right" w:leader="dot" w:pos="9016"/>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20888207" w:history="1">
            <w:r w:rsidR="00952144" w:rsidRPr="007F514E">
              <w:rPr>
                <w:rStyle w:val="Hyperlink"/>
                <w:noProof/>
              </w:rPr>
              <w:t>Executive summary</w:t>
            </w:r>
            <w:r w:rsidR="00952144">
              <w:rPr>
                <w:noProof/>
                <w:webHidden/>
              </w:rPr>
              <w:tab/>
            </w:r>
            <w:r w:rsidR="00952144">
              <w:rPr>
                <w:noProof/>
                <w:webHidden/>
              </w:rPr>
              <w:fldChar w:fldCharType="begin"/>
            </w:r>
            <w:r w:rsidR="00952144">
              <w:rPr>
                <w:noProof/>
                <w:webHidden/>
              </w:rPr>
              <w:instrText xml:space="preserve"> PAGEREF _Toc520888207 \h </w:instrText>
            </w:r>
            <w:r w:rsidR="00952144">
              <w:rPr>
                <w:noProof/>
                <w:webHidden/>
              </w:rPr>
            </w:r>
            <w:r w:rsidR="00952144">
              <w:rPr>
                <w:noProof/>
                <w:webHidden/>
              </w:rPr>
              <w:fldChar w:fldCharType="separate"/>
            </w:r>
            <w:r w:rsidR="004D1902">
              <w:rPr>
                <w:noProof/>
                <w:webHidden/>
              </w:rPr>
              <w:t>1</w:t>
            </w:r>
            <w:r w:rsidR="00952144">
              <w:rPr>
                <w:noProof/>
                <w:webHidden/>
              </w:rPr>
              <w:fldChar w:fldCharType="end"/>
            </w:r>
          </w:hyperlink>
        </w:p>
        <w:p w14:paraId="3382C818" w14:textId="6AD4358E" w:rsidR="00952144" w:rsidRDefault="007377EA">
          <w:pPr>
            <w:pStyle w:val="TOC1"/>
            <w:tabs>
              <w:tab w:val="left" w:pos="440"/>
              <w:tab w:val="right" w:leader="dot" w:pos="9016"/>
            </w:tabs>
            <w:rPr>
              <w:rFonts w:eastAsiaTheme="minorEastAsia" w:cstheme="minorBidi"/>
              <w:b w:val="0"/>
              <w:bCs w:val="0"/>
              <w:caps w:val="0"/>
              <w:noProof/>
              <w:sz w:val="22"/>
              <w:szCs w:val="22"/>
              <w:lang w:eastAsia="en-GB" w:bidi="ar-SA"/>
            </w:rPr>
          </w:pPr>
          <w:hyperlink w:anchor="_Toc520888208" w:history="1">
            <w:r w:rsidR="00952144" w:rsidRPr="007F514E">
              <w:rPr>
                <w:rStyle w:val="Hyperlink"/>
                <w:rFonts w:ascii="Arial Bold" w:hAnsi="Arial Bold"/>
                <w:smallCaps/>
                <w:noProof/>
              </w:rPr>
              <w:t>1</w:t>
            </w:r>
            <w:r w:rsidR="00952144">
              <w:rPr>
                <w:rFonts w:eastAsiaTheme="minorEastAsia" w:cstheme="minorBidi"/>
                <w:b w:val="0"/>
                <w:bCs w:val="0"/>
                <w:caps w:val="0"/>
                <w:noProof/>
                <w:sz w:val="22"/>
                <w:szCs w:val="22"/>
                <w:lang w:eastAsia="en-GB" w:bidi="ar-SA"/>
              </w:rPr>
              <w:tab/>
            </w:r>
            <w:r w:rsidR="00952144" w:rsidRPr="007F514E">
              <w:rPr>
                <w:rStyle w:val="Hyperlink"/>
                <w:rFonts w:ascii="Arial Bold" w:hAnsi="Arial Bold"/>
                <w:smallCaps/>
                <w:noProof/>
              </w:rPr>
              <w:t>Introduction</w:t>
            </w:r>
            <w:r w:rsidR="00952144">
              <w:rPr>
                <w:noProof/>
                <w:webHidden/>
              </w:rPr>
              <w:tab/>
            </w:r>
            <w:r w:rsidR="00952144">
              <w:rPr>
                <w:noProof/>
                <w:webHidden/>
              </w:rPr>
              <w:fldChar w:fldCharType="begin"/>
            </w:r>
            <w:r w:rsidR="00952144">
              <w:rPr>
                <w:noProof/>
                <w:webHidden/>
              </w:rPr>
              <w:instrText xml:space="preserve"> PAGEREF _Toc520888208 \h </w:instrText>
            </w:r>
            <w:r w:rsidR="00952144">
              <w:rPr>
                <w:noProof/>
                <w:webHidden/>
              </w:rPr>
            </w:r>
            <w:r w:rsidR="00952144">
              <w:rPr>
                <w:noProof/>
                <w:webHidden/>
              </w:rPr>
              <w:fldChar w:fldCharType="separate"/>
            </w:r>
            <w:r w:rsidR="004D1902">
              <w:rPr>
                <w:noProof/>
                <w:webHidden/>
              </w:rPr>
              <w:t>4</w:t>
            </w:r>
            <w:r w:rsidR="00952144">
              <w:rPr>
                <w:noProof/>
                <w:webHidden/>
              </w:rPr>
              <w:fldChar w:fldCharType="end"/>
            </w:r>
          </w:hyperlink>
        </w:p>
        <w:p w14:paraId="3B430282" w14:textId="12B88A4A" w:rsidR="00952144" w:rsidRDefault="007377EA">
          <w:pPr>
            <w:pStyle w:val="TOC1"/>
            <w:tabs>
              <w:tab w:val="left" w:pos="440"/>
              <w:tab w:val="right" w:leader="dot" w:pos="9016"/>
            </w:tabs>
            <w:rPr>
              <w:rFonts w:eastAsiaTheme="minorEastAsia" w:cstheme="minorBidi"/>
              <w:b w:val="0"/>
              <w:bCs w:val="0"/>
              <w:caps w:val="0"/>
              <w:noProof/>
              <w:sz w:val="22"/>
              <w:szCs w:val="22"/>
              <w:lang w:eastAsia="en-GB" w:bidi="ar-SA"/>
            </w:rPr>
          </w:pPr>
          <w:hyperlink w:anchor="_Toc520888209" w:history="1">
            <w:r w:rsidR="00952144" w:rsidRPr="007F514E">
              <w:rPr>
                <w:rStyle w:val="Hyperlink"/>
                <w:rFonts w:ascii="Arial Bold" w:hAnsi="Arial Bold"/>
                <w:smallCaps/>
                <w:noProof/>
              </w:rPr>
              <w:t>2</w:t>
            </w:r>
            <w:r w:rsidR="00952144">
              <w:rPr>
                <w:rFonts w:eastAsiaTheme="minorEastAsia" w:cstheme="minorBidi"/>
                <w:b w:val="0"/>
                <w:bCs w:val="0"/>
                <w:caps w:val="0"/>
                <w:noProof/>
                <w:sz w:val="22"/>
                <w:szCs w:val="22"/>
                <w:lang w:eastAsia="en-GB" w:bidi="ar-SA"/>
              </w:rPr>
              <w:tab/>
            </w:r>
            <w:r w:rsidR="00952144" w:rsidRPr="007F514E">
              <w:rPr>
                <w:rStyle w:val="Hyperlink"/>
                <w:rFonts w:ascii="Arial Bold" w:hAnsi="Arial Bold"/>
                <w:smallCaps/>
                <w:noProof/>
              </w:rPr>
              <w:t>Food Technology assessment</w:t>
            </w:r>
            <w:r w:rsidR="00952144">
              <w:rPr>
                <w:noProof/>
                <w:webHidden/>
              </w:rPr>
              <w:tab/>
            </w:r>
            <w:r w:rsidR="00952144">
              <w:rPr>
                <w:noProof/>
                <w:webHidden/>
              </w:rPr>
              <w:fldChar w:fldCharType="begin"/>
            </w:r>
            <w:r w:rsidR="00952144">
              <w:rPr>
                <w:noProof/>
                <w:webHidden/>
              </w:rPr>
              <w:instrText xml:space="preserve"> PAGEREF _Toc520888209 \h </w:instrText>
            </w:r>
            <w:r w:rsidR="00952144">
              <w:rPr>
                <w:noProof/>
                <w:webHidden/>
              </w:rPr>
            </w:r>
            <w:r w:rsidR="00952144">
              <w:rPr>
                <w:noProof/>
                <w:webHidden/>
              </w:rPr>
              <w:fldChar w:fldCharType="separate"/>
            </w:r>
            <w:r w:rsidR="004D1902">
              <w:rPr>
                <w:noProof/>
                <w:webHidden/>
              </w:rPr>
              <w:t>4</w:t>
            </w:r>
            <w:r w:rsidR="00952144">
              <w:rPr>
                <w:noProof/>
                <w:webHidden/>
              </w:rPr>
              <w:fldChar w:fldCharType="end"/>
            </w:r>
          </w:hyperlink>
        </w:p>
        <w:p w14:paraId="14C3FB23" w14:textId="12B618C4" w:rsidR="00952144" w:rsidRDefault="007377EA">
          <w:pPr>
            <w:pStyle w:val="TOC2"/>
            <w:tabs>
              <w:tab w:val="left" w:pos="880"/>
              <w:tab w:val="right" w:leader="dot" w:pos="9016"/>
            </w:tabs>
            <w:rPr>
              <w:rFonts w:eastAsiaTheme="minorEastAsia" w:cstheme="minorBidi"/>
              <w:smallCaps w:val="0"/>
              <w:noProof/>
              <w:sz w:val="22"/>
              <w:szCs w:val="22"/>
              <w:lang w:eastAsia="en-GB" w:bidi="ar-SA"/>
            </w:rPr>
          </w:pPr>
          <w:hyperlink w:anchor="_Toc520888210" w:history="1">
            <w:r w:rsidR="00952144" w:rsidRPr="007F514E">
              <w:rPr>
                <w:rStyle w:val="Hyperlink"/>
                <w:noProof/>
              </w:rPr>
              <w:t>2.1</w:t>
            </w:r>
            <w:r w:rsidR="00952144">
              <w:rPr>
                <w:rFonts w:eastAsiaTheme="minorEastAsia" w:cstheme="minorBidi"/>
                <w:smallCaps w:val="0"/>
                <w:noProof/>
                <w:sz w:val="22"/>
                <w:szCs w:val="22"/>
                <w:lang w:eastAsia="en-GB" w:bidi="ar-SA"/>
              </w:rPr>
              <w:tab/>
            </w:r>
            <w:r w:rsidR="00952144" w:rsidRPr="007F514E">
              <w:rPr>
                <w:rStyle w:val="Hyperlink"/>
                <w:noProof/>
              </w:rPr>
              <w:t>Chemical structures and properties</w:t>
            </w:r>
            <w:r w:rsidR="00952144">
              <w:rPr>
                <w:noProof/>
                <w:webHidden/>
              </w:rPr>
              <w:tab/>
            </w:r>
            <w:r w:rsidR="00952144">
              <w:rPr>
                <w:noProof/>
                <w:webHidden/>
              </w:rPr>
              <w:fldChar w:fldCharType="begin"/>
            </w:r>
            <w:r w:rsidR="00952144">
              <w:rPr>
                <w:noProof/>
                <w:webHidden/>
              </w:rPr>
              <w:instrText xml:space="preserve"> PAGEREF _Toc520888210 \h </w:instrText>
            </w:r>
            <w:r w:rsidR="00952144">
              <w:rPr>
                <w:noProof/>
                <w:webHidden/>
              </w:rPr>
            </w:r>
            <w:r w:rsidR="00952144">
              <w:rPr>
                <w:noProof/>
                <w:webHidden/>
              </w:rPr>
              <w:fldChar w:fldCharType="separate"/>
            </w:r>
            <w:r w:rsidR="004D1902">
              <w:rPr>
                <w:noProof/>
                <w:webHidden/>
              </w:rPr>
              <w:t>4</w:t>
            </w:r>
            <w:r w:rsidR="00952144">
              <w:rPr>
                <w:noProof/>
                <w:webHidden/>
              </w:rPr>
              <w:fldChar w:fldCharType="end"/>
            </w:r>
          </w:hyperlink>
        </w:p>
        <w:p w14:paraId="3D863340" w14:textId="7BB50ACC" w:rsidR="00952144" w:rsidRDefault="007377EA">
          <w:pPr>
            <w:pStyle w:val="TOC2"/>
            <w:tabs>
              <w:tab w:val="left" w:pos="880"/>
              <w:tab w:val="right" w:leader="dot" w:pos="9016"/>
            </w:tabs>
            <w:rPr>
              <w:rFonts w:eastAsiaTheme="minorEastAsia" w:cstheme="minorBidi"/>
              <w:smallCaps w:val="0"/>
              <w:noProof/>
              <w:sz w:val="22"/>
              <w:szCs w:val="22"/>
              <w:lang w:eastAsia="en-GB" w:bidi="ar-SA"/>
            </w:rPr>
          </w:pPr>
          <w:hyperlink w:anchor="_Toc520888211" w:history="1">
            <w:r w:rsidR="00952144" w:rsidRPr="007F514E">
              <w:rPr>
                <w:rStyle w:val="Hyperlink"/>
                <w:noProof/>
              </w:rPr>
              <w:t>2.2</w:t>
            </w:r>
            <w:r w:rsidR="00952144">
              <w:rPr>
                <w:rFonts w:eastAsiaTheme="minorEastAsia" w:cstheme="minorBidi"/>
                <w:smallCaps w:val="0"/>
                <w:noProof/>
                <w:sz w:val="22"/>
                <w:szCs w:val="22"/>
                <w:lang w:eastAsia="en-GB" w:bidi="ar-SA"/>
              </w:rPr>
              <w:tab/>
            </w:r>
            <w:r w:rsidR="00952144" w:rsidRPr="007F514E">
              <w:rPr>
                <w:rStyle w:val="Hyperlink"/>
                <w:noProof/>
              </w:rPr>
              <w:t>Manufacturing methods</w:t>
            </w:r>
            <w:r w:rsidR="00952144">
              <w:rPr>
                <w:noProof/>
                <w:webHidden/>
              </w:rPr>
              <w:tab/>
            </w:r>
            <w:r w:rsidR="00952144">
              <w:rPr>
                <w:noProof/>
                <w:webHidden/>
              </w:rPr>
              <w:fldChar w:fldCharType="begin"/>
            </w:r>
            <w:r w:rsidR="00952144">
              <w:rPr>
                <w:noProof/>
                <w:webHidden/>
              </w:rPr>
              <w:instrText xml:space="preserve"> PAGEREF _Toc520888211 \h </w:instrText>
            </w:r>
            <w:r w:rsidR="00952144">
              <w:rPr>
                <w:noProof/>
                <w:webHidden/>
              </w:rPr>
            </w:r>
            <w:r w:rsidR="00952144">
              <w:rPr>
                <w:noProof/>
                <w:webHidden/>
              </w:rPr>
              <w:fldChar w:fldCharType="separate"/>
            </w:r>
            <w:r w:rsidR="004D1902">
              <w:rPr>
                <w:noProof/>
                <w:webHidden/>
              </w:rPr>
              <w:t>5</w:t>
            </w:r>
            <w:r w:rsidR="00952144">
              <w:rPr>
                <w:noProof/>
                <w:webHidden/>
              </w:rPr>
              <w:fldChar w:fldCharType="end"/>
            </w:r>
          </w:hyperlink>
        </w:p>
        <w:p w14:paraId="6068E74E" w14:textId="06AB84B8" w:rsidR="00952144" w:rsidRDefault="007377EA">
          <w:pPr>
            <w:pStyle w:val="TOC2"/>
            <w:tabs>
              <w:tab w:val="left" w:pos="880"/>
              <w:tab w:val="right" w:leader="dot" w:pos="9016"/>
            </w:tabs>
            <w:rPr>
              <w:rFonts w:eastAsiaTheme="minorEastAsia" w:cstheme="minorBidi"/>
              <w:smallCaps w:val="0"/>
              <w:noProof/>
              <w:sz w:val="22"/>
              <w:szCs w:val="22"/>
              <w:lang w:eastAsia="en-GB" w:bidi="ar-SA"/>
            </w:rPr>
          </w:pPr>
          <w:hyperlink w:anchor="_Toc520888212" w:history="1">
            <w:r w:rsidR="00952144" w:rsidRPr="007F514E">
              <w:rPr>
                <w:rStyle w:val="Hyperlink"/>
                <w:noProof/>
              </w:rPr>
              <w:t>2.3</w:t>
            </w:r>
            <w:r w:rsidR="00952144">
              <w:rPr>
                <w:rFonts w:eastAsiaTheme="minorEastAsia" w:cstheme="minorBidi"/>
                <w:smallCaps w:val="0"/>
                <w:noProof/>
                <w:sz w:val="22"/>
                <w:szCs w:val="22"/>
                <w:lang w:eastAsia="en-GB" w:bidi="ar-SA"/>
              </w:rPr>
              <w:tab/>
            </w:r>
            <w:r w:rsidR="00952144" w:rsidRPr="007F514E">
              <w:rPr>
                <w:rStyle w:val="Hyperlink"/>
                <w:noProof/>
              </w:rPr>
              <w:t>Analytical methods</w:t>
            </w:r>
            <w:r w:rsidR="00952144">
              <w:rPr>
                <w:noProof/>
                <w:webHidden/>
              </w:rPr>
              <w:tab/>
            </w:r>
            <w:r w:rsidR="00952144">
              <w:rPr>
                <w:noProof/>
                <w:webHidden/>
              </w:rPr>
              <w:fldChar w:fldCharType="begin"/>
            </w:r>
            <w:r w:rsidR="00952144">
              <w:rPr>
                <w:noProof/>
                <w:webHidden/>
              </w:rPr>
              <w:instrText xml:space="preserve"> PAGEREF _Toc520888212 \h </w:instrText>
            </w:r>
            <w:r w:rsidR="00952144">
              <w:rPr>
                <w:noProof/>
                <w:webHidden/>
              </w:rPr>
            </w:r>
            <w:r w:rsidR="00952144">
              <w:rPr>
                <w:noProof/>
                <w:webHidden/>
              </w:rPr>
              <w:fldChar w:fldCharType="separate"/>
            </w:r>
            <w:r w:rsidR="004D1902">
              <w:rPr>
                <w:noProof/>
                <w:webHidden/>
              </w:rPr>
              <w:t>6</w:t>
            </w:r>
            <w:r w:rsidR="00952144">
              <w:rPr>
                <w:noProof/>
                <w:webHidden/>
              </w:rPr>
              <w:fldChar w:fldCharType="end"/>
            </w:r>
          </w:hyperlink>
        </w:p>
        <w:p w14:paraId="337E78FF" w14:textId="05D664E0" w:rsidR="00952144" w:rsidRDefault="007377EA">
          <w:pPr>
            <w:pStyle w:val="TOC2"/>
            <w:tabs>
              <w:tab w:val="left" w:pos="880"/>
              <w:tab w:val="right" w:leader="dot" w:pos="9016"/>
            </w:tabs>
            <w:rPr>
              <w:rFonts w:eastAsiaTheme="minorEastAsia" w:cstheme="minorBidi"/>
              <w:smallCaps w:val="0"/>
              <w:noProof/>
              <w:sz w:val="22"/>
              <w:szCs w:val="22"/>
              <w:lang w:eastAsia="en-GB" w:bidi="ar-SA"/>
            </w:rPr>
          </w:pPr>
          <w:hyperlink w:anchor="_Toc520888213" w:history="1">
            <w:r w:rsidR="00952144" w:rsidRPr="007F514E">
              <w:rPr>
                <w:rStyle w:val="Hyperlink"/>
                <w:noProof/>
              </w:rPr>
              <w:t>2.4</w:t>
            </w:r>
            <w:r w:rsidR="00952144">
              <w:rPr>
                <w:rFonts w:eastAsiaTheme="minorEastAsia" w:cstheme="minorBidi"/>
                <w:smallCaps w:val="0"/>
                <w:noProof/>
                <w:sz w:val="22"/>
                <w:szCs w:val="22"/>
                <w:lang w:eastAsia="en-GB" w:bidi="ar-SA"/>
              </w:rPr>
              <w:tab/>
            </w:r>
            <w:r w:rsidR="00952144" w:rsidRPr="007F514E">
              <w:rPr>
                <w:rStyle w:val="Hyperlink"/>
                <w:noProof/>
              </w:rPr>
              <w:t>Specifications</w:t>
            </w:r>
            <w:r w:rsidR="00952144">
              <w:rPr>
                <w:noProof/>
                <w:webHidden/>
              </w:rPr>
              <w:tab/>
            </w:r>
            <w:r w:rsidR="00952144">
              <w:rPr>
                <w:noProof/>
                <w:webHidden/>
              </w:rPr>
              <w:fldChar w:fldCharType="begin"/>
            </w:r>
            <w:r w:rsidR="00952144">
              <w:rPr>
                <w:noProof/>
                <w:webHidden/>
              </w:rPr>
              <w:instrText xml:space="preserve"> PAGEREF _Toc520888213 \h </w:instrText>
            </w:r>
            <w:r w:rsidR="00952144">
              <w:rPr>
                <w:noProof/>
                <w:webHidden/>
              </w:rPr>
            </w:r>
            <w:r w:rsidR="00952144">
              <w:rPr>
                <w:noProof/>
                <w:webHidden/>
              </w:rPr>
              <w:fldChar w:fldCharType="separate"/>
            </w:r>
            <w:r w:rsidR="004D1902">
              <w:rPr>
                <w:noProof/>
                <w:webHidden/>
              </w:rPr>
              <w:t>6</w:t>
            </w:r>
            <w:r w:rsidR="00952144">
              <w:rPr>
                <w:noProof/>
                <w:webHidden/>
              </w:rPr>
              <w:fldChar w:fldCharType="end"/>
            </w:r>
          </w:hyperlink>
        </w:p>
        <w:p w14:paraId="15F4AA6D" w14:textId="159FFE8E" w:rsidR="00952144" w:rsidRDefault="007377EA">
          <w:pPr>
            <w:pStyle w:val="TOC2"/>
            <w:tabs>
              <w:tab w:val="left" w:pos="880"/>
              <w:tab w:val="right" w:leader="dot" w:pos="9016"/>
            </w:tabs>
            <w:rPr>
              <w:rFonts w:eastAsiaTheme="minorEastAsia" w:cstheme="minorBidi"/>
              <w:smallCaps w:val="0"/>
              <w:noProof/>
              <w:sz w:val="22"/>
              <w:szCs w:val="22"/>
              <w:lang w:eastAsia="en-GB" w:bidi="ar-SA"/>
            </w:rPr>
          </w:pPr>
          <w:hyperlink w:anchor="_Toc520888214" w:history="1">
            <w:r w:rsidR="00952144" w:rsidRPr="007F514E">
              <w:rPr>
                <w:rStyle w:val="Hyperlink"/>
                <w:noProof/>
              </w:rPr>
              <w:t>2.5</w:t>
            </w:r>
            <w:r w:rsidR="00952144">
              <w:rPr>
                <w:rFonts w:eastAsiaTheme="minorEastAsia" w:cstheme="minorBidi"/>
                <w:smallCaps w:val="0"/>
                <w:noProof/>
                <w:sz w:val="22"/>
                <w:szCs w:val="22"/>
                <w:lang w:eastAsia="en-GB" w:bidi="ar-SA"/>
              </w:rPr>
              <w:tab/>
            </w:r>
            <w:r w:rsidR="00952144" w:rsidRPr="007F514E">
              <w:rPr>
                <w:rStyle w:val="Hyperlink"/>
                <w:noProof/>
              </w:rPr>
              <w:t>Stability in food</w:t>
            </w:r>
            <w:r w:rsidR="00952144">
              <w:rPr>
                <w:noProof/>
                <w:webHidden/>
              </w:rPr>
              <w:tab/>
            </w:r>
            <w:r w:rsidR="00952144">
              <w:rPr>
                <w:noProof/>
                <w:webHidden/>
              </w:rPr>
              <w:fldChar w:fldCharType="begin"/>
            </w:r>
            <w:r w:rsidR="00952144">
              <w:rPr>
                <w:noProof/>
                <w:webHidden/>
              </w:rPr>
              <w:instrText xml:space="preserve"> PAGEREF _Toc520888214 \h </w:instrText>
            </w:r>
            <w:r w:rsidR="00952144">
              <w:rPr>
                <w:noProof/>
                <w:webHidden/>
              </w:rPr>
            </w:r>
            <w:r w:rsidR="00952144">
              <w:rPr>
                <w:noProof/>
                <w:webHidden/>
              </w:rPr>
              <w:fldChar w:fldCharType="separate"/>
            </w:r>
            <w:r w:rsidR="004D1902">
              <w:rPr>
                <w:noProof/>
                <w:webHidden/>
              </w:rPr>
              <w:t>8</w:t>
            </w:r>
            <w:r w:rsidR="00952144">
              <w:rPr>
                <w:noProof/>
                <w:webHidden/>
              </w:rPr>
              <w:fldChar w:fldCharType="end"/>
            </w:r>
          </w:hyperlink>
        </w:p>
        <w:p w14:paraId="663ADEA1" w14:textId="5DED8BFA" w:rsidR="00952144" w:rsidRDefault="007377EA">
          <w:pPr>
            <w:pStyle w:val="TOC2"/>
            <w:tabs>
              <w:tab w:val="left" w:pos="880"/>
              <w:tab w:val="right" w:leader="dot" w:pos="9016"/>
            </w:tabs>
            <w:rPr>
              <w:rFonts w:eastAsiaTheme="minorEastAsia" w:cstheme="minorBidi"/>
              <w:smallCaps w:val="0"/>
              <w:noProof/>
              <w:sz w:val="22"/>
              <w:szCs w:val="22"/>
              <w:lang w:eastAsia="en-GB" w:bidi="ar-SA"/>
            </w:rPr>
          </w:pPr>
          <w:hyperlink w:anchor="_Toc520888215" w:history="1">
            <w:r w:rsidR="00952144" w:rsidRPr="007F514E">
              <w:rPr>
                <w:rStyle w:val="Hyperlink"/>
                <w:noProof/>
              </w:rPr>
              <w:t>2.6</w:t>
            </w:r>
            <w:r w:rsidR="00952144">
              <w:rPr>
                <w:rFonts w:eastAsiaTheme="minorEastAsia" w:cstheme="minorBidi"/>
                <w:smallCaps w:val="0"/>
                <w:noProof/>
                <w:sz w:val="22"/>
                <w:szCs w:val="22"/>
                <w:lang w:eastAsia="en-GB" w:bidi="ar-SA"/>
              </w:rPr>
              <w:tab/>
            </w:r>
            <w:r w:rsidR="00952144" w:rsidRPr="007F514E">
              <w:rPr>
                <w:rStyle w:val="Hyperlink"/>
                <w:noProof/>
              </w:rPr>
              <w:t>Food technology conclusion</w:t>
            </w:r>
            <w:r w:rsidR="00952144">
              <w:rPr>
                <w:noProof/>
                <w:webHidden/>
              </w:rPr>
              <w:tab/>
            </w:r>
            <w:r w:rsidR="00952144">
              <w:rPr>
                <w:noProof/>
                <w:webHidden/>
              </w:rPr>
              <w:fldChar w:fldCharType="begin"/>
            </w:r>
            <w:r w:rsidR="00952144">
              <w:rPr>
                <w:noProof/>
                <w:webHidden/>
              </w:rPr>
              <w:instrText xml:space="preserve"> PAGEREF _Toc520888215 \h </w:instrText>
            </w:r>
            <w:r w:rsidR="00952144">
              <w:rPr>
                <w:noProof/>
                <w:webHidden/>
              </w:rPr>
            </w:r>
            <w:r w:rsidR="00952144">
              <w:rPr>
                <w:noProof/>
                <w:webHidden/>
              </w:rPr>
              <w:fldChar w:fldCharType="separate"/>
            </w:r>
            <w:r w:rsidR="004D1902">
              <w:rPr>
                <w:noProof/>
                <w:webHidden/>
              </w:rPr>
              <w:t>8</w:t>
            </w:r>
            <w:r w:rsidR="00952144">
              <w:rPr>
                <w:noProof/>
                <w:webHidden/>
              </w:rPr>
              <w:fldChar w:fldCharType="end"/>
            </w:r>
          </w:hyperlink>
        </w:p>
        <w:p w14:paraId="7B7BA7D1" w14:textId="26BC3041" w:rsidR="00952144" w:rsidRDefault="007377EA">
          <w:pPr>
            <w:pStyle w:val="TOC1"/>
            <w:tabs>
              <w:tab w:val="left" w:pos="440"/>
              <w:tab w:val="right" w:leader="dot" w:pos="9016"/>
            </w:tabs>
            <w:rPr>
              <w:rFonts w:eastAsiaTheme="minorEastAsia" w:cstheme="minorBidi"/>
              <w:b w:val="0"/>
              <w:bCs w:val="0"/>
              <w:caps w:val="0"/>
              <w:noProof/>
              <w:sz w:val="22"/>
              <w:szCs w:val="22"/>
              <w:lang w:eastAsia="en-GB" w:bidi="ar-SA"/>
            </w:rPr>
          </w:pPr>
          <w:hyperlink w:anchor="_Toc520888216" w:history="1">
            <w:r w:rsidR="00952144" w:rsidRPr="007F514E">
              <w:rPr>
                <w:rStyle w:val="Hyperlink"/>
                <w:rFonts w:ascii="Arial Bold" w:hAnsi="Arial Bold"/>
                <w:smallCaps/>
                <w:noProof/>
              </w:rPr>
              <w:t>3</w:t>
            </w:r>
            <w:r w:rsidR="00952144">
              <w:rPr>
                <w:rFonts w:eastAsiaTheme="minorEastAsia" w:cstheme="minorBidi"/>
                <w:b w:val="0"/>
                <w:bCs w:val="0"/>
                <w:caps w:val="0"/>
                <w:noProof/>
                <w:sz w:val="22"/>
                <w:szCs w:val="22"/>
                <w:lang w:eastAsia="en-GB" w:bidi="ar-SA"/>
              </w:rPr>
              <w:tab/>
            </w:r>
            <w:r w:rsidR="00952144" w:rsidRPr="007F514E">
              <w:rPr>
                <w:rStyle w:val="Hyperlink"/>
                <w:rFonts w:ascii="Arial Bold" w:hAnsi="Arial Bold"/>
                <w:smallCaps/>
                <w:noProof/>
              </w:rPr>
              <w:t>Risk Assessment</w:t>
            </w:r>
            <w:r w:rsidR="00952144">
              <w:rPr>
                <w:noProof/>
                <w:webHidden/>
              </w:rPr>
              <w:tab/>
            </w:r>
            <w:r w:rsidR="00952144">
              <w:rPr>
                <w:noProof/>
                <w:webHidden/>
              </w:rPr>
              <w:fldChar w:fldCharType="begin"/>
            </w:r>
            <w:r w:rsidR="00952144">
              <w:rPr>
                <w:noProof/>
                <w:webHidden/>
              </w:rPr>
              <w:instrText xml:space="preserve"> PAGEREF _Toc520888216 \h </w:instrText>
            </w:r>
            <w:r w:rsidR="00952144">
              <w:rPr>
                <w:noProof/>
                <w:webHidden/>
              </w:rPr>
            </w:r>
            <w:r w:rsidR="00952144">
              <w:rPr>
                <w:noProof/>
                <w:webHidden/>
              </w:rPr>
              <w:fldChar w:fldCharType="separate"/>
            </w:r>
            <w:r w:rsidR="004D1902">
              <w:rPr>
                <w:noProof/>
                <w:webHidden/>
              </w:rPr>
              <w:t>9</w:t>
            </w:r>
            <w:r w:rsidR="00952144">
              <w:rPr>
                <w:noProof/>
                <w:webHidden/>
              </w:rPr>
              <w:fldChar w:fldCharType="end"/>
            </w:r>
          </w:hyperlink>
        </w:p>
        <w:p w14:paraId="51E1FB41" w14:textId="65DBBAC3" w:rsidR="00952144" w:rsidRDefault="007377EA">
          <w:pPr>
            <w:pStyle w:val="TOC2"/>
            <w:tabs>
              <w:tab w:val="left" w:pos="880"/>
              <w:tab w:val="right" w:leader="dot" w:pos="9016"/>
            </w:tabs>
            <w:rPr>
              <w:rFonts w:eastAsiaTheme="minorEastAsia" w:cstheme="minorBidi"/>
              <w:smallCaps w:val="0"/>
              <w:noProof/>
              <w:sz w:val="22"/>
              <w:szCs w:val="22"/>
              <w:lang w:eastAsia="en-GB" w:bidi="ar-SA"/>
            </w:rPr>
          </w:pPr>
          <w:hyperlink w:anchor="_Toc520888217" w:history="1">
            <w:r w:rsidR="00952144" w:rsidRPr="007F514E">
              <w:rPr>
                <w:rStyle w:val="Hyperlink"/>
                <w:noProof/>
              </w:rPr>
              <w:t>3.1</w:t>
            </w:r>
            <w:r w:rsidR="00952144">
              <w:rPr>
                <w:rFonts w:eastAsiaTheme="minorEastAsia" w:cstheme="minorBidi"/>
                <w:smallCaps w:val="0"/>
                <w:noProof/>
                <w:sz w:val="22"/>
                <w:szCs w:val="22"/>
                <w:lang w:eastAsia="en-GB" w:bidi="ar-SA"/>
              </w:rPr>
              <w:tab/>
            </w:r>
            <w:r w:rsidR="00952144" w:rsidRPr="007F514E">
              <w:rPr>
                <w:rStyle w:val="Hyperlink"/>
                <w:noProof/>
              </w:rPr>
              <w:t>Hazard Assessment</w:t>
            </w:r>
            <w:r w:rsidR="00952144">
              <w:rPr>
                <w:noProof/>
                <w:webHidden/>
              </w:rPr>
              <w:tab/>
            </w:r>
            <w:r w:rsidR="00952144">
              <w:rPr>
                <w:noProof/>
                <w:webHidden/>
              </w:rPr>
              <w:fldChar w:fldCharType="begin"/>
            </w:r>
            <w:r w:rsidR="00952144">
              <w:rPr>
                <w:noProof/>
                <w:webHidden/>
              </w:rPr>
              <w:instrText xml:space="preserve"> PAGEREF _Toc520888217 \h </w:instrText>
            </w:r>
            <w:r w:rsidR="00952144">
              <w:rPr>
                <w:noProof/>
                <w:webHidden/>
              </w:rPr>
            </w:r>
            <w:r w:rsidR="00952144">
              <w:rPr>
                <w:noProof/>
                <w:webHidden/>
              </w:rPr>
              <w:fldChar w:fldCharType="separate"/>
            </w:r>
            <w:r w:rsidR="004D1902">
              <w:rPr>
                <w:noProof/>
                <w:webHidden/>
              </w:rPr>
              <w:t>9</w:t>
            </w:r>
            <w:r w:rsidR="00952144">
              <w:rPr>
                <w:noProof/>
                <w:webHidden/>
              </w:rPr>
              <w:fldChar w:fldCharType="end"/>
            </w:r>
          </w:hyperlink>
        </w:p>
        <w:p w14:paraId="6570D00B" w14:textId="69E55D60" w:rsidR="00952144" w:rsidRDefault="007377EA">
          <w:pPr>
            <w:pStyle w:val="TOC3"/>
            <w:tabs>
              <w:tab w:val="left" w:pos="1100"/>
              <w:tab w:val="right" w:leader="dot" w:pos="9016"/>
            </w:tabs>
            <w:rPr>
              <w:rFonts w:eastAsiaTheme="minorEastAsia" w:cstheme="minorBidi"/>
              <w:i w:val="0"/>
              <w:iCs w:val="0"/>
              <w:noProof/>
              <w:sz w:val="22"/>
              <w:szCs w:val="22"/>
              <w:lang w:eastAsia="en-GB" w:bidi="ar-SA"/>
            </w:rPr>
          </w:pPr>
          <w:hyperlink w:anchor="_Toc520888218" w:history="1">
            <w:r w:rsidR="00952144" w:rsidRPr="007F514E">
              <w:rPr>
                <w:rStyle w:val="Hyperlink"/>
                <w:noProof/>
              </w:rPr>
              <w:t>3.1.1</w:t>
            </w:r>
            <w:r w:rsidR="00952144">
              <w:rPr>
                <w:rFonts w:eastAsiaTheme="minorEastAsia" w:cstheme="minorBidi"/>
                <w:i w:val="0"/>
                <w:iCs w:val="0"/>
                <w:noProof/>
                <w:sz w:val="22"/>
                <w:szCs w:val="22"/>
                <w:lang w:eastAsia="en-GB" w:bidi="ar-SA"/>
              </w:rPr>
              <w:tab/>
            </w:r>
            <w:r w:rsidR="00952144" w:rsidRPr="007F514E">
              <w:rPr>
                <w:rStyle w:val="Hyperlink"/>
                <w:noProof/>
              </w:rPr>
              <w:t>Biochemistry and physiology of L-carnitine</w:t>
            </w:r>
            <w:r w:rsidR="00952144">
              <w:rPr>
                <w:noProof/>
                <w:webHidden/>
              </w:rPr>
              <w:tab/>
            </w:r>
            <w:r w:rsidR="00952144">
              <w:rPr>
                <w:noProof/>
                <w:webHidden/>
              </w:rPr>
              <w:fldChar w:fldCharType="begin"/>
            </w:r>
            <w:r w:rsidR="00952144">
              <w:rPr>
                <w:noProof/>
                <w:webHidden/>
              </w:rPr>
              <w:instrText xml:space="preserve"> PAGEREF _Toc520888218 \h </w:instrText>
            </w:r>
            <w:r w:rsidR="00952144">
              <w:rPr>
                <w:noProof/>
                <w:webHidden/>
              </w:rPr>
            </w:r>
            <w:r w:rsidR="00952144">
              <w:rPr>
                <w:noProof/>
                <w:webHidden/>
              </w:rPr>
              <w:fldChar w:fldCharType="separate"/>
            </w:r>
            <w:r w:rsidR="004D1902">
              <w:rPr>
                <w:noProof/>
                <w:webHidden/>
              </w:rPr>
              <w:t>9</w:t>
            </w:r>
            <w:r w:rsidR="00952144">
              <w:rPr>
                <w:noProof/>
                <w:webHidden/>
              </w:rPr>
              <w:fldChar w:fldCharType="end"/>
            </w:r>
          </w:hyperlink>
        </w:p>
        <w:p w14:paraId="33EA1143" w14:textId="2181BCE7" w:rsidR="00952144" w:rsidRDefault="007377EA">
          <w:pPr>
            <w:pStyle w:val="TOC3"/>
            <w:tabs>
              <w:tab w:val="left" w:pos="1100"/>
              <w:tab w:val="right" w:leader="dot" w:pos="9016"/>
            </w:tabs>
            <w:rPr>
              <w:rFonts w:eastAsiaTheme="minorEastAsia" w:cstheme="minorBidi"/>
              <w:i w:val="0"/>
              <w:iCs w:val="0"/>
              <w:noProof/>
              <w:sz w:val="22"/>
              <w:szCs w:val="22"/>
              <w:lang w:eastAsia="en-GB" w:bidi="ar-SA"/>
            </w:rPr>
          </w:pPr>
          <w:hyperlink w:anchor="_Toc520888219" w:history="1">
            <w:r w:rsidR="00952144" w:rsidRPr="007F514E">
              <w:rPr>
                <w:rStyle w:val="Hyperlink"/>
                <w:noProof/>
              </w:rPr>
              <w:t>3.1.2</w:t>
            </w:r>
            <w:r w:rsidR="00952144">
              <w:rPr>
                <w:rFonts w:eastAsiaTheme="minorEastAsia" w:cstheme="minorBidi"/>
                <w:i w:val="0"/>
                <w:iCs w:val="0"/>
                <w:noProof/>
                <w:sz w:val="22"/>
                <w:szCs w:val="22"/>
                <w:lang w:eastAsia="en-GB" w:bidi="ar-SA"/>
              </w:rPr>
              <w:tab/>
            </w:r>
            <w:r w:rsidR="00952144" w:rsidRPr="007F514E">
              <w:rPr>
                <w:rStyle w:val="Hyperlink"/>
                <w:noProof/>
              </w:rPr>
              <w:t>Absorption, distribution, metabolism and excretion</w:t>
            </w:r>
            <w:r w:rsidR="00952144">
              <w:rPr>
                <w:noProof/>
                <w:webHidden/>
              </w:rPr>
              <w:tab/>
            </w:r>
            <w:r w:rsidR="00952144">
              <w:rPr>
                <w:noProof/>
                <w:webHidden/>
              </w:rPr>
              <w:fldChar w:fldCharType="begin"/>
            </w:r>
            <w:r w:rsidR="00952144">
              <w:rPr>
                <w:noProof/>
                <w:webHidden/>
              </w:rPr>
              <w:instrText xml:space="preserve"> PAGEREF _Toc520888219 \h </w:instrText>
            </w:r>
            <w:r w:rsidR="00952144">
              <w:rPr>
                <w:noProof/>
                <w:webHidden/>
              </w:rPr>
            </w:r>
            <w:r w:rsidR="00952144">
              <w:rPr>
                <w:noProof/>
                <w:webHidden/>
              </w:rPr>
              <w:fldChar w:fldCharType="separate"/>
            </w:r>
            <w:r w:rsidR="004D1902">
              <w:rPr>
                <w:noProof/>
                <w:webHidden/>
              </w:rPr>
              <w:t>9</w:t>
            </w:r>
            <w:r w:rsidR="00952144">
              <w:rPr>
                <w:noProof/>
                <w:webHidden/>
              </w:rPr>
              <w:fldChar w:fldCharType="end"/>
            </w:r>
          </w:hyperlink>
        </w:p>
        <w:p w14:paraId="35A4F3F5" w14:textId="75B336C6" w:rsidR="00952144" w:rsidRDefault="007377EA">
          <w:pPr>
            <w:pStyle w:val="TOC3"/>
            <w:tabs>
              <w:tab w:val="left" w:pos="1100"/>
              <w:tab w:val="right" w:leader="dot" w:pos="9016"/>
            </w:tabs>
            <w:rPr>
              <w:rFonts w:eastAsiaTheme="minorEastAsia" w:cstheme="minorBidi"/>
              <w:i w:val="0"/>
              <w:iCs w:val="0"/>
              <w:noProof/>
              <w:sz w:val="22"/>
              <w:szCs w:val="22"/>
              <w:lang w:eastAsia="en-GB" w:bidi="ar-SA"/>
            </w:rPr>
          </w:pPr>
          <w:hyperlink w:anchor="_Toc520888220" w:history="1">
            <w:r w:rsidR="00952144" w:rsidRPr="007F514E">
              <w:rPr>
                <w:rStyle w:val="Hyperlink"/>
                <w:noProof/>
              </w:rPr>
              <w:t>3.1.3</w:t>
            </w:r>
            <w:r w:rsidR="00952144">
              <w:rPr>
                <w:rFonts w:eastAsiaTheme="minorEastAsia" w:cstheme="minorBidi"/>
                <w:i w:val="0"/>
                <w:iCs w:val="0"/>
                <w:noProof/>
                <w:sz w:val="22"/>
                <w:szCs w:val="22"/>
                <w:lang w:eastAsia="en-GB" w:bidi="ar-SA"/>
              </w:rPr>
              <w:tab/>
            </w:r>
            <w:r w:rsidR="00952144" w:rsidRPr="007F514E">
              <w:rPr>
                <w:rStyle w:val="Hyperlink"/>
                <w:noProof/>
              </w:rPr>
              <w:t>In vitro studies and animal toxicity studies</w:t>
            </w:r>
            <w:r w:rsidR="00952144">
              <w:rPr>
                <w:noProof/>
                <w:webHidden/>
              </w:rPr>
              <w:tab/>
            </w:r>
            <w:r w:rsidR="00952144">
              <w:rPr>
                <w:noProof/>
                <w:webHidden/>
              </w:rPr>
              <w:fldChar w:fldCharType="begin"/>
            </w:r>
            <w:r w:rsidR="00952144">
              <w:rPr>
                <w:noProof/>
                <w:webHidden/>
              </w:rPr>
              <w:instrText xml:space="preserve"> PAGEREF _Toc520888220 \h </w:instrText>
            </w:r>
            <w:r w:rsidR="00952144">
              <w:rPr>
                <w:noProof/>
                <w:webHidden/>
              </w:rPr>
            </w:r>
            <w:r w:rsidR="00952144">
              <w:rPr>
                <w:noProof/>
                <w:webHidden/>
              </w:rPr>
              <w:fldChar w:fldCharType="separate"/>
            </w:r>
            <w:r w:rsidR="004D1902">
              <w:rPr>
                <w:noProof/>
                <w:webHidden/>
              </w:rPr>
              <w:t>10</w:t>
            </w:r>
            <w:r w:rsidR="00952144">
              <w:rPr>
                <w:noProof/>
                <w:webHidden/>
              </w:rPr>
              <w:fldChar w:fldCharType="end"/>
            </w:r>
          </w:hyperlink>
        </w:p>
        <w:p w14:paraId="142FD5D3" w14:textId="1F83854E" w:rsidR="00952144" w:rsidRDefault="007377EA">
          <w:pPr>
            <w:pStyle w:val="TOC3"/>
            <w:tabs>
              <w:tab w:val="left" w:pos="1100"/>
              <w:tab w:val="right" w:leader="dot" w:pos="9016"/>
            </w:tabs>
            <w:rPr>
              <w:rFonts w:eastAsiaTheme="minorEastAsia" w:cstheme="minorBidi"/>
              <w:i w:val="0"/>
              <w:iCs w:val="0"/>
              <w:noProof/>
              <w:sz w:val="22"/>
              <w:szCs w:val="22"/>
              <w:lang w:eastAsia="en-GB" w:bidi="ar-SA"/>
            </w:rPr>
          </w:pPr>
          <w:hyperlink w:anchor="_Toc520888221" w:history="1">
            <w:r w:rsidR="00952144" w:rsidRPr="007F514E">
              <w:rPr>
                <w:rStyle w:val="Hyperlink"/>
                <w:noProof/>
              </w:rPr>
              <w:t>3.1.4</w:t>
            </w:r>
            <w:r w:rsidR="00952144">
              <w:rPr>
                <w:rFonts w:eastAsiaTheme="minorEastAsia" w:cstheme="minorBidi"/>
                <w:i w:val="0"/>
                <w:iCs w:val="0"/>
                <w:noProof/>
                <w:sz w:val="22"/>
                <w:szCs w:val="22"/>
                <w:lang w:eastAsia="en-GB" w:bidi="ar-SA"/>
              </w:rPr>
              <w:tab/>
            </w:r>
            <w:r w:rsidR="00952144" w:rsidRPr="007F514E">
              <w:rPr>
                <w:rStyle w:val="Hyperlink"/>
                <w:noProof/>
              </w:rPr>
              <w:t>Human studies investigating safety</w:t>
            </w:r>
            <w:r w:rsidR="00952144">
              <w:rPr>
                <w:noProof/>
                <w:webHidden/>
              </w:rPr>
              <w:tab/>
            </w:r>
            <w:r w:rsidR="00952144">
              <w:rPr>
                <w:noProof/>
                <w:webHidden/>
              </w:rPr>
              <w:fldChar w:fldCharType="begin"/>
            </w:r>
            <w:r w:rsidR="00952144">
              <w:rPr>
                <w:noProof/>
                <w:webHidden/>
              </w:rPr>
              <w:instrText xml:space="preserve"> PAGEREF _Toc520888221 \h </w:instrText>
            </w:r>
            <w:r w:rsidR="00952144">
              <w:rPr>
                <w:noProof/>
                <w:webHidden/>
              </w:rPr>
            </w:r>
            <w:r w:rsidR="00952144">
              <w:rPr>
                <w:noProof/>
                <w:webHidden/>
              </w:rPr>
              <w:fldChar w:fldCharType="separate"/>
            </w:r>
            <w:r w:rsidR="004D1902">
              <w:rPr>
                <w:noProof/>
                <w:webHidden/>
              </w:rPr>
              <w:t>12</w:t>
            </w:r>
            <w:r w:rsidR="00952144">
              <w:rPr>
                <w:noProof/>
                <w:webHidden/>
              </w:rPr>
              <w:fldChar w:fldCharType="end"/>
            </w:r>
          </w:hyperlink>
        </w:p>
        <w:p w14:paraId="0A2AAEA3" w14:textId="60C6109E" w:rsidR="00952144" w:rsidRDefault="007377EA">
          <w:pPr>
            <w:pStyle w:val="TOC3"/>
            <w:tabs>
              <w:tab w:val="left" w:pos="1100"/>
              <w:tab w:val="right" w:leader="dot" w:pos="9016"/>
            </w:tabs>
            <w:rPr>
              <w:rFonts w:eastAsiaTheme="minorEastAsia" w:cstheme="minorBidi"/>
              <w:i w:val="0"/>
              <w:iCs w:val="0"/>
              <w:noProof/>
              <w:sz w:val="22"/>
              <w:szCs w:val="22"/>
              <w:lang w:eastAsia="en-GB" w:bidi="ar-SA"/>
            </w:rPr>
          </w:pPr>
          <w:hyperlink w:anchor="_Toc520888222" w:history="1">
            <w:r w:rsidR="00952144" w:rsidRPr="007F514E">
              <w:rPr>
                <w:rStyle w:val="Hyperlink"/>
                <w:noProof/>
              </w:rPr>
              <w:t>3.1.5</w:t>
            </w:r>
            <w:r w:rsidR="00952144">
              <w:rPr>
                <w:rFonts w:eastAsiaTheme="minorEastAsia" w:cstheme="minorBidi"/>
                <w:i w:val="0"/>
                <w:iCs w:val="0"/>
                <w:noProof/>
                <w:sz w:val="22"/>
                <w:szCs w:val="22"/>
                <w:lang w:eastAsia="en-GB" w:bidi="ar-SA"/>
              </w:rPr>
              <w:tab/>
            </w:r>
            <w:r w:rsidR="00952144" w:rsidRPr="007F514E">
              <w:rPr>
                <w:rStyle w:val="Hyperlink"/>
                <w:noProof/>
              </w:rPr>
              <w:t>Cardiovascular outcomes and plasma concentrations of L-carnitine and TMAO</w:t>
            </w:r>
            <w:r w:rsidR="00952144">
              <w:rPr>
                <w:noProof/>
                <w:webHidden/>
              </w:rPr>
              <w:tab/>
            </w:r>
            <w:r w:rsidR="00952144">
              <w:rPr>
                <w:noProof/>
                <w:webHidden/>
              </w:rPr>
              <w:fldChar w:fldCharType="begin"/>
            </w:r>
            <w:r w:rsidR="00952144">
              <w:rPr>
                <w:noProof/>
                <w:webHidden/>
              </w:rPr>
              <w:instrText xml:space="preserve"> PAGEREF _Toc520888222 \h </w:instrText>
            </w:r>
            <w:r w:rsidR="00952144">
              <w:rPr>
                <w:noProof/>
                <w:webHidden/>
              </w:rPr>
            </w:r>
            <w:r w:rsidR="00952144">
              <w:rPr>
                <w:noProof/>
                <w:webHidden/>
              </w:rPr>
              <w:fldChar w:fldCharType="separate"/>
            </w:r>
            <w:r w:rsidR="004D1902">
              <w:rPr>
                <w:noProof/>
                <w:webHidden/>
              </w:rPr>
              <w:t>13</w:t>
            </w:r>
            <w:r w:rsidR="00952144">
              <w:rPr>
                <w:noProof/>
                <w:webHidden/>
              </w:rPr>
              <w:fldChar w:fldCharType="end"/>
            </w:r>
          </w:hyperlink>
        </w:p>
        <w:p w14:paraId="227A526C" w14:textId="5F2755D8" w:rsidR="00952144" w:rsidRDefault="007377EA">
          <w:pPr>
            <w:pStyle w:val="TOC3"/>
            <w:tabs>
              <w:tab w:val="left" w:pos="1100"/>
              <w:tab w:val="right" w:leader="dot" w:pos="9016"/>
            </w:tabs>
            <w:rPr>
              <w:rFonts w:eastAsiaTheme="minorEastAsia" w:cstheme="minorBidi"/>
              <w:i w:val="0"/>
              <w:iCs w:val="0"/>
              <w:noProof/>
              <w:sz w:val="22"/>
              <w:szCs w:val="22"/>
              <w:lang w:eastAsia="en-GB" w:bidi="ar-SA"/>
            </w:rPr>
          </w:pPr>
          <w:hyperlink w:anchor="_Toc520888223" w:history="1">
            <w:r w:rsidR="00952144" w:rsidRPr="007F514E">
              <w:rPr>
                <w:rStyle w:val="Hyperlink"/>
                <w:noProof/>
              </w:rPr>
              <w:t>3.1.6</w:t>
            </w:r>
            <w:r w:rsidR="00952144">
              <w:rPr>
                <w:rFonts w:eastAsiaTheme="minorEastAsia" w:cstheme="minorBidi"/>
                <w:i w:val="0"/>
                <w:iCs w:val="0"/>
                <w:noProof/>
                <w:sz w:val="22"/>
                <w:szCs w:val="22"/>
                <w:lang w:eastAsia="en-GB" w:bidi="ar-SA"/>
              </w:rPr>
              <w:tab/>
            </w:r>
            <w:r w:rsidR="00952144" w:rsidRPr="007F514E">
              <w:rPr>
                <w:rStyle w:val="Hyperlink"/>
                <w:noProof/>
              </w:rPr>
              <w:t>Safety of tartrate intake from ingestion of L-carnitine-L-tartrate</w:t>
            </w:r>
            <w:r w:rsidR="00952144">
              <w:rPr>
                <w:noProof/>
                <w:webHidden/>
              </w:rPr>
              <w:tab/>
            </w:r>
            <w:r w:rsidR="00952144">
              <w:rPr>
                <w:noProof/>
                <w:webHidden/>
              </w:rPr>
              <w:fldChar w:fldCharType="begin"/>
            </w:r>
            <w:r w:rsidR="00952144">
              <w:rPr>
                <w:noProof/>
                <w:webHidden/>
              </w:rPr>
              <w:instrText xml:space="preserve"> PAGEREF _Toc520888223 \h </w:instrText>
            </w:r>
            <w:r w:rsidR="00952144">
              <w:rPr>
                <w:noProof/>
                <w:webHidden/>
              </w:rPr>
            </w:r>
            <w:r w:rsidR="00952144">
              <w:rPr>
                <w:noProof/>
                <w:webHidden/>
              </w:rPr>
              <w:fldChar w:fldCharType="separate"/>
            </w:r>
            <w:r w:rsidR="004D1902">
              <w:rPr>
                <w:noProof/>
                <w:webHidden/>
              </w:rPr>
              <w:t>14</w:t>
            </w:r>
            <w:r w:rsidR="00952144">
              <w:rPr>
                <w:noProof/>
                <w:webHidden/>
              </w:rPr>
              <w:fldChar w:fldCharType="end"/>
            </w:r>
          </w:hyperlink>
        </w:p>
        <w:p w14:paraId="49B8BD58" w14:textId="18808F2D" w:rsidR="00952144" w:rsidRDefault="007377EA">
          <w:pPr>
            <w:pStyle w:val="TOC3"/>
            <w:tabs>
              <w:tab w:val="left" w:pos="1100"/>
              <w:tab w:val="right" w:leader="dot" w:pos="9016"/>
            </w:tabs>
            <w:rPr>
              <w:rFonts w:eastAsiaTheme="minorEastAsia" w:cstheme="minorBidi"/>
              <w:i w:val="0"/>
              <w:iCs w:val="0"/>
              <w:noProof/>
              <w:sz w:val="22"/>
              <w:szCs w:val="22"/>
              <w:lang w:eastAsia="en-GB" w:bidi="ar-SA"/>
            </w:rPr>
          </w:pPr>
          <w:hyperlink w:anchor="_Toc520888224" w:history="1">
            <w:r w:rsidR="00952144" w:rsidRPr="007F514E">
              <w:rPr>
                <w:rStyle w:val="Hyperlink"/>
                <w:rFonts w:eastAsia="Calibri"/>
                <w:noProof/>
              </w:rPr>
              <w:t>3.1.7</w:t>
            </w:r>
            <w:r w:rsidR="00952144">
              <w:rPr>
                <w:rFonts w:eastAsiaTheme="minorEastAsia" w:cstheme="minorBidi"/>
                <w:i w:val="0"/>
                <w:iCs w:val="0"/>
                <w:noProof/>
                <w:sz w:val="22"/>
                <w:szCs w:val="22"/>
                <w:lang w:eastAsia="en-GB" w:bidi="ar-SA"/>
              </w:rPr>
              <w:tab/>
            </w:r>
            <w:r w:rsidR="00952144" w:rsidRPr="007F514E">
              <w:rPr>
                <w:rStyle w:val="Hyperlink"/>
                <w:rFonts w:eastAsia="Calibri"/>
                <w:noProof/>
              </w:rPr>
              <w:t>Hazard assessment – Discussion and conclusions</w:t>
            </w:r>
            <w:r w:rsidR="00952144">
              <w:rPr>
                <w:noProof/>
                <w:webHidden/>
              </w:rPr>
              <w:tab/>
            </w:r>
            <w:r w:rsidR="00952144">
              <w:rPr>
                <w:noProof/>
                <w:webHidden/>
              </w:rPr>
              <w:fldChar w:fldCharType="begin"/>
            </w:r>
            <w:r w:rsidR="00952144">
              <w:rPr>
                <w:noProof/>
                <w:webHidden/>
              </w:rPr>
              <w:instrText xml:space="preserve"> PAGEREF _Toc520888224 \h </w:instrText>
            </w:r>
            <w:r w:rsidR="00952144">
              <w:rPr>
                <w:noProof/>
                <w:webHidden/>
              </w:rPr>
            </w:r>
            <w:r w:rsidR="00952144">
              <w:rPr>
                <w:noProof/>
                <w:webHidden/>
              </w:rPr>
              <w:fldChar w:fldCharType="separate"/>
            </w:r>
            <w:r w:rsidR="004D1902">
              <w:rPr>
                <w:noProof/>
                <w:webHidden/>
              </w:rPr>
              <w:t>14</w:t>
            </w:r>
            <w:r w:rsidR="00952144">
              <w:rPr>
                <w:noProof/>
                <w:webHidden/>
              </w:rPr>
              <w:fldChar w:fldCharType="end"/>
            </w:r>
          </w:hyperlink>
        </w:p>
        <w:p w14:paraId="4F44B714" w14:textId="632AA63F" w:rsidR="00952144" w:rsidRDefault="007377EA">
          <w:pPr>
            <w:pStyle w:val="TOC2"/>
            <w:tabs>
              <w:tab w:val="left" w:pos="880"/>
              <w:tab w:val="right" w:leader="dot" w:pos="9016"/>
            </w:tabs>
            <w:rPr>
              <w:rFonts w:eastAsiaTheme="minorEastAsia" w:cstheme="minorBidi"/>
              <w:smallCaps w:val="0"/>
              <w:noProof/>
              <w:sz w:val="22"/>
              <w:szCs w:val="22"/>
              <w:lang w:eastAsia="en-GB" w:bidi="ar-SA"/>
            </w:rPr>
          </w:pPr>
          <w:hyperlink w:anchor="_Toc520888225" w:history="1">
            <w:r w:rsidR="00952144" w:rsidRPr="007F514E">
              <w:rPr>
                <w:rStyle w:val="Hyperlink"/>
                <w:rFonts w:eastAsia="Calibri"/>
                <w:noProof/>
              </w:rPr>
              <w:t>3.2</w:t>
            </w:r>
            <w:r w:rsidR="00952144">
              <w:rPr>
                <w:rFonts w:eastAsiaTheme="minorEastAsia" w:cstheme="minorBidi"/>
                <w:smallCaps w:val="0"/>
                <w:noProof/>
                <w:sz w:val="22"/>
                <w:szCs w:val="22"/>
                <w:lang w:eastAsia="en-GB" w:bidi="ar-SA"/>
              </w:rPr>
              <w:tab/>
            </w:r>
            <w:r w:rsidR="00952144" w:rsidRPr="007F514E">
              <w:rPr>
                <w:rStyle w:val="Hyperlink"/>
                <w:rFonts w:eastAsia="Calibri"/>
                <w:noProof/>
              </w:rPr>
              <w:t>Dietary intake assessment</w:t>
            </w:r>
            <w:r w:rsidR="00952144">
              <w:rPr>
                <w:noProof/>
                <w:webHidden/>
              </w:rPr>
              <w:tab/>
            </w:r>
            <w:r w:rsidR="00952144">
              <w:rPr>
                <w:noProof/>
                <w:webHidden/>
              </w:rPr>
              <w:fldChar w:fldCharType="begin"/>
            </w:r>
            <w:r w:rsidR="00952144">
              <w:rPr>
                <w:noProof/>
                <w:webHidden/>
              </w:rPr>
              <w:instrText xml:space="preserve"> PAGEREF _Toc520888225 \h </w:instrText>
            </w:r>
            <w:r w:rsidR="00952144">
              <w:rPr>
                <w:noProof/>
                <w:webHidden/>
              </w:rPr>
            </w:r>
            <w:r w:rsidR="00952144">
              <w:rPr>
                <w:noProof/>
                <w:webHidden/>
              </w:rPr>
              <w:fldChar w:fldCharType="separate"/>
            </w:r>
            <w:r w:rsidR="004D1902">
              <w:rPr>
                <w:noProof/>
                <w:webHidden/>
              </w:rPr>
              <w:t>16</w:t>
            </w:r>
            <w:r w:rsidR="00952144">
              <w:rPr>
                <w:noProof/>
                <w:webHidden/>
              </w:rPr>
              <w:fldChar w:fldCharType="end"/>
            </w:r>
          </w:hyperlink>
        </w:p>
        <w:p w14:paraId="1A305981" w14:textId="540F7764" w:rsidR="00952144" w:rsidRDefault="007377EA">
          <w:pPr>
            <w:pStyle w:val="TOC3"/>
            <w:tabs>
              <w:tab w:val="left" w:pos="1100"/>
              <w:tab w:val="right" w:leader="dot" w:pos="9016"/>
            </w:tabs>
            <w:rPr>
              <w:rFonts w:eastAsiaTheme="minorEastAsia" w:cstheme="minorBidi"/>
              <w:i w:val="0"/>
              <w:iCs w:val="0"/>
              <w:noProof/>
              <w:sz w:val="22"/>
              <w:szCs w:val="22"/>
              <w:lang w:eastAsia="en-GB" w:bidi="ar-SA"/>
            </w:rPr>
          </w:pPr>
          <w:hyperlink w:anchor="_Toc520888226" w:history="1">
            <w:r w:rsidR="00952144" w:rsidRPr="007F514E">
              <w:rPr>
                <w:rStyle w:val="Hyperlink"/>
                <w:noProof/>
              </w:rPr>
              <w:t>3.2.1</w:t>
            </w:r>
            <w:r w:rsidR="00952144">
              <w:rPr>
                <w:rFonts w:eastAsiaTheme="minorEastAsia" w:cstheme="minorBidi"/>
                <w:i w:val="0"/>
                <w:iCs w:val="0"/>
                <w:noProof/>
                <w:sz w:val="22"/>
                <w:szCs w:val="22"/>
                <w:lang w:eastAsia="en-GB" w:bidi="ar-SA"/>
              </w:rPr>
              <w:tab/>
            </w:r>
            <w:r w:rsidR="00952144" w:rsidRPr="007F514E">
              <w:rPr>
                <w:rStyle w:val="Hyperlink"/>
                <w:noProof/>
              </w:rPr>
              <w:t>Approach to estimating dietary intake of L-carnitine</w:t>
            </w:r>
            <w:r w:rsidR="00952144">
              <w:rPr>
                <w:noProof/>
                <w:webHidden/>
              </w:rPr>
              <w:tab/>
            </w:r>
            <w:r w:rsidR="00952144">
              <w:rPr>
                <w:noProof/>
                <w:webHidden/>
              </w:rPr>
              <w:fldChar w:fldCharType="begin"/>
            </w:r>
            <w:r w:rsidR="00952144">
              <w:rPr>
                <w:noProof/>
                <w:webHidden/>
              </w:rPr>
              <w:instrText xml:space="preserve"> PAGEREF _Toc520888226 \h </w:instrText>
            </w:r>
            <w:r w:rsidR="00952144">
              <w:rPr>
                <w:noProof/>
                <w:webHidden/>
              </w:rPr>
            </w:r>
            <w:r w:rsidR="00952144">
              <w:rPr>
                <w:noProof/>
                <w:webHidden/>
              </w:rPr>
              <w:fldChar w:fldCharType="separate"/>
            </w:r>
            <w:r w:rsidR="004D1902">
              <w:rPr>
                <w:noProof/>
                <w:webHidden/>
              </w:rPr>
              <w:t>16</w:t>
            </w:r>
            <w:r w:rsidR="00952144">
              <w:rPr>
                <w:noProof/>
                <w:webHidden/>
              </w:rPr>
              <w:fldChar w:fldCharType="end"/>
            </w:r>
          </w:hyperlink>
        </w:p>
        <w:p w14:paraId="4BE6582B" w14:textId="3276EBFB" w:rsidR="00952144" w:rsidRDefault="007377EA">
          <w:pPr>
            <w:pStyle w:val="TOC3"/>
            <w:tabs>
              <w:tab w:val="left" w:pos="1100"/>
              <w:tab w:val="right" w:leader="dot" w:pos="9016"/>
            </w:tabs>
            <w:rPr>
              <w:rFonts w:eastAsiaTheme="minorEastAsia" w:cstheme="minorBidi"/>
              <w:i w:val="0"/>
              <w:iCs w:val="0"/>
              <w:noProof/>
              <w:sz w:val="22"/>
              <w:szCs w:val="22"/>
              <w:lang w:eastAsia="en-GB" w:bidi="ar-SA"/>
            </w:rPr>
          </w:pPr>
          <w:hyperlink w:anchor="_Toc520888227" w:history="1">
            <w:r w:rsidR="00952144" w:rsidRPr="007F514E">
              <w:rPr>
                <w:rStyle w:val="Hyperlink"/>
                <w:noProof/>
              </w:rPr>
              <w:t>3.2.2</w:t>
            </w:r>
            <w:r w:rsidR="00952144">
              <w:rPr>
                <w:rFonts w:eastAsiaTheme="minorEastAsia" w:cstheme="minorBidi"/>
                <w:i w:val="0"/>
                <w:iCs w:val="0"/>
                <w:noProof/>
                <w:sz w:val="22"/>
                <w:szCs w:val="22"/>
                <w:lang w:eastAsia="en-GB" w:bidi="ar-SA"/>
              </w:rPr>
              <w:tab/>
            </w:r>
            <w:r w:rsidR="00952144" w:rsidRPr="007F514E">
              <w:rPr>
                <w:rStyle w:val="Hyperlink"/>
                <w:noProof/>
              </w:rPr>
              <w:t>Estimated population dietary intakes of L-carnitine</w:t>
            </w:r>
            <w:r w:rsidR="00952144">
              <w:rPr>
                <w:noProof/>
                <w:webHidden/>
              </w:rPr>
              <w:tab/>
            </w:r>
            <w:r w:rsidR="00952144">
              <w:rPr>
                <w:noProof/>
                <w:webHidden/>
              </w:rPr>
              <w:fldChar w:fldCharType="begin"/>
            </w:r>
            <w:r w:rsidR="00952144">
              <w:rPr>
                <w:noProof/>
                <w:webHidden/>
              </w:rPr>
              <w:instrText xml:space="preserve"> PAGEREF _Toc520888227 \h </w:instrText>
            </w:r>
            <w:r w:rsidR="00952144">
              <w:rPr>
                <w:noProof/>
                <w:webHidden/>
              </w:rPr>
            </w:r>
            <w:r w:rsidR="00952144">
              <w:rPr>
                <w:noProof/>
                <w:webHidden/>
              </w:rPr>
              <w:fldChar w:fldCharType="separate"/>
            </w:r>
            <w:r w:rsidR="004D1902">
              <w:rPr>
                <w:noProof/>
                <w:webHidden/>
              </w:rPr>
              <w:t>28</w:t>
            </w:r>
            <w:r w:rsidR="00952144">
              <w:rPr>
                <w:noProof/>
                <w:webHidden/>
              </w:rPr>
              <w:fldChar w:fldCharType="end"/>
            </w:r>
          </w:hyperlink>
        </w:p>
        <w:p w14:paraId="5ED14D33" w14:textId="28230221" w:rsidR="00952144" w:rsidRDefault="007377EA">
          <w:pPr>
            <w:pStyle w:val="TOC3"/>
            <w:tabs>
              <w:tab w:val="left" w:pos="1100"/>
              <w:tab w:val="right" w:leader="dot" w:pos="9016"/>
            </w:tabs>
            <w:rPr>
              <w:rFonts w:eastAsiaTheme="minorEastAsia" w:cstheme="minorBidi"/>
              <w:i w:val="0"/>
              <w:iCs w:val="0"/>
              <w:noProof/>
              <w:sz w:val="22"/>
              <w:szCs w:val="22"/>
              <w:lang w:eastAsia="en-GB" w:bidi="ar-SA"/>
            </w:rPr>
          </w:pPr>
          <w:hyperlink w:anchor="_Toc520888228" w:history="1">
            <w:r w:rsidR="00952144" w:rsidRPr="007F514E">
              <w:rPr>
                <w:rStyle w:val="Hyperlink"/>
                <w:noProof/>
              </w:rPr>
              <w:t>3.2.3</w:t>
            </w:r>
            <w:r w:rsidR="00952144">
              <w:rPr>
                <w:rFonts w:eastAsiaTheme="minorEastAsia" w:cstheme="minorBidi"/>
                <w:i w:val="0"/>
                <w:iCs w:val="0"/>
                <w:noProof/>
                <w:sz w:val="22"/>
                <w:szCs w:val="22"/>
                <w:lang w:eastAsia="en-GB" w:bidi="ar-SA"/>
              </w:rPr>
              <w:tab/>
            </w:r>
            <w:r w:rsidR="00952144" w:rsidRPr="007F514E">
              <w:rPr>
                <w:rStyle w:val="Hyperlink"/>
                <w:noProof/>
              </w:rPr>
              <w:t>Major foods contributing to L-carnitine dietary intakes</w:t>
            </w:r>
            <w:r w:rsidR="00952144">
              <w:rPr>
                <w:noProof/>
                <w:webHidden/>
              </w:rPr>
              <w:tab/>
            </w:r>
            <w:r w:rsidR="00952144">
              <w:rPr>
                <w:noProof/>
                <w:webHidden/>
              </w:rPr>
              <w:fldChar w:fldCharType="begin"/>
            </w:r>
            <w:r w:rsidR="00952144">
              <w:rPr>
                <w:noProof/>
                <w:webHidden/>
              </w:rPr>
              <w:instrText xml:space="preserve"> PAGEREF _Toc520888228 \h </w:instrText>
            </w:r>
            <w:r w:rsidR="00952144">
              <w:rPr>
                <w:noProof/>
                <w:webHidden/>
              </w:rPr>
            </w:r>
            <w:r w:rsidR="00952144">
              <w:rPr>
                <w:noProof/>
                <w:webHidden/>
              </w:rPr>
              <w:fldChar w:fldCharType="separate"/>
            </w:r>
            <w:r w:rsidR="004D1902">
              <w:rPr>
                <w:noProof/>
                <w:webHidden/>
              </w:rPr>
              <w:t>35</w:t>
            </w:r>
            <w:r w:rsidR="00952144">
              <w:rPr>
                <w:noProof/>
                <w:webHidden/>
              </w:rPr>
              <w:fldChar w:fldCharType="end"/>
            </w:r>
          </w:hyperlink>
        </w:p>
        <w:p w14:paraId="1E8B86BB" w14:textId="0CFCBE02" w:rsidR="00952144" w:rsidRDefault="007377EA">
          <w:pPr>
            <w:pStyle w:val="TOC3"/>
            <w:tabs>
              <w:tab w:val="left" w:pos="1100"/>
              <w:tab w:val="right" w:leader="dot" w:pos="9016"/>
            </w:tabs>
            <w:rPr>
              <w:rFonts w:eastAsiaTheme="minorEastAsia" w:cstheme="minorBidi"/>
              <w:i w:val="0"/>
              <w:iCs w:val="0"/>
              <w:noProof/>
              <w:sz w:val="22"/>
              <w:szCs w:val="22"/>
              <w:lang w:eastAsia="en-GB" w:bidi="ar-SA"/>
            </w:rPr>
          </w:pPr>
          <w:hyperlink w:anchor="_Toc520888229" w:history="1">
            <w:r w:rsidR="00952144" w:rsidRPr="007F514E">
              <w:rPr>
                <w:rStyle w:val="Hyperlink"/>
                <w:noProof/>
              </w:rPr>
              <w:t>3.2.4</w:t>
            </w:r>
            <w:r w:rsidR="00952144">
              <w:rPr>
                <w:rFonts w:eastAsiaTheme="minorEastAsia" w:cstheme="minorBidi"/>
                <w:i w:val="0"/>
                <w:iCs w:val="0"/>
                <w:noProof/>
                <w:sz w:val="22"/>
                <w:szCs w:val="22"/>
                <w:lang w:eastAsia="en-GB" w:bidi="ar-SA"/>
              </w:rPr>
              <w:tab/>
            </w:r>
            <w:r w:rsidR="00952144" w:rsidRPr="007F514E">
              <w:rPr>
                <w:rStyle w:val="Hyperlink"/>
                <w:noProof/>
              </w:rPr>
              <w:t>Dietary intake assessment summary</w:t>
            </w:r>
            <w:r w:rsidR="00952144">
              <w:rPr>
                <w:noProof/>
                <w:webHidden/>
              </w:rPr>
              <w:tab/>
            </w:r>
            <w:r w:rsidR="00952144">
              <w:rPr>
                <w:noProof/>
                <w:webHidden/>
              </w:rPr>
              <w:fldChar w:fldCharType="begin"/>
            </w:r>
            <w:r w:rsidR="00952144">
              <w:rPr>
                <w:noProof/>
                <w:webHidden/>
              </w:rPr>
              <w:instrText xml:space="preserve"> PAGEREF _Toc520888229 \h </w:instrText>
            </w:r>
            <w:r w:rsidR="00952144">
              <w:rPr>
                <w:noProof/>
                <w:webHidden/>
              </w:rPr>
            </w:r>
            <w:r w:rsidR="00952144">
              <w:rPr>
                <w:noProof/>
                <w:webHidden/>
              </w:rPr>
              <w:fldChar w:fldCharType="separate"/>
            </w:r>
            <w:r w:rsidR="004D1902">
              <w:rPr>
                <w:noProof/>
                <w:webHidden/>
              </w:rPr>
              <w:t>44</w:t>
            </w:r>
            <w:r w:rsidR="00952144">
              <w:rPr>
                <w:noProof/>
                <w:webHidden/>
              </w:rPr>
              <w:fldChar w:fldCharType="end"/>
            </w:r>
          </w:hyperlink>
        </w:p>
        <w:p w14:paraId="69BC684E" w14:textId="16E674FB" w:rsidR="00952144" w:rsidRDefault="007377EA">
          <w:pPr>
            <w:pStyle w:val="TOC2"/>
            <w:tabs>
              <w:tab w:val="left" w:pos="880"/>
              <w:tab w:val="right" w:leader="dot" w:pos="9016"/>
            </w:tabs>
            <w:rPr>
              <w:rFonts w:eastAsiaTheme="minorEastAsia" w:cstheme="minorBidi"/>
              <w:smallCaps w:val="0"/>
              <w:noProof/>
              <w:sz w:val="22"/>
              <w:szCs w:val="22"/>
              <w:lang w:eastAsia="en-GB" w:bidi="ar-SA"/>
            </w:rPr>
          </w:pPr>
          <w:hyperlink w:anchor="_Toc520888230" w:history="1">
            <w:r w:rsidR="00952144" w:rsidRPr="007F514E">
              <w:rPr>
                <w:rStyle w:val="Hyperlink"/>
                <w:noProof/>
              </w:rPr>
              <w:t>3.3</w:t>
            </w:r>
            <w:r w:rsidR="00952144">
              <w:rPr>
                <w:rFonts w:eastAsiaTheme="minorEastAsia" w:cstheme="minorBidi"/>
                <w:smallCaps w:val="0"/>
                <w:noProof/>
                <w:sz w:val="22"/>
                <w:szCs w:val="22"/>
                <w:lang w:eastAsia="en-GB" w:bidi="ar-SA"/>
              </w:rPr>
              <w:tab/>
            </w:r>
            <w:r w:rsidR="00952144" w:rsidRPr="007F514E">
              <w:rPr>
                <w:rStyle w:val="Hyperlink"/>
                <w:noProof/>
              </w:rPr>
              <w:t>Risk characterisation</w:t>
            </w:r>
            <w:r w:rsidR="00952144">
              <w:rPr>
                <w:noProof/>
                <w:webHidden/>
              </w:rPr>
              <w:tab/>
            </w:r>
            <w:r w:rsidR="00952144">
              <w:rPr>
                <w:noProof/>
                <w:webHidden/>
              </w:rPr>
              <w:fldChar w:fldCharType="begin"/>
            </w:r>
            <w:r w:rsidR="00952144">
              <w:rPr>
                <w:noProof/>
                <w:webHidden/>
              </w:rPr>
              <w:instrText xml:space="preserve"> PAGEREF _Toc520888230 \h </w:instrText>
            </w:r>
            <w:r w:rsidR="00952144">
              <w:rPr>
                <w:noProof/>
                <w:webHidden/>
              </w:rPr>
            </w:r>
            <w:r w:rsidR="00952144">
              <w:rPr>
                <w:noProof/>
                <w:webHidden/>
              </w:rPr>
              <w:fldChar w:fldCharType="separate"/>
            </w:r>
            <w:r w:rsidR="004D1902">
              <w:rPr>
                <w:noProof/>
                <w:webHidden/>
              </w:rPr>
              <w:t>45</w:t>
            </w:r>
            <w:r w:rsidR="00952144">
              <w:rPr>
                <w:noProof/>
                <w:webHidden/>
              </w:rPr>
              <w:fldChar w:fldCharType="end"/>
            </w:r>
          </w:hyperlink>
        </w:p>
        <w:p w14:paraId="7BFA7743" w14:textId="71D497ED" w:rsidR="00952144" w:rsidRDefault="007377EA">
          <w:pPr>
            <w:pStyle w:val="TOC1"/>
            <w:tabs>
              <w:tab w:val="left" w:pos="440"/>
              <w:tab w:val="right" w:leader="dot" w:pos="9016"/>
            </w:tabs>
            <w:rPr>
              <w:rFonts w:eastAsiaTheme="minorEastAsia" w:cstheme="minorBidi"/>
              <w:b w:val="0"/>
              <w:bCs w:val="0"/>
              <w:caps w:val="0"/>
              <w:noProof/>
              <w:sz w:val="22"/>
              <w:szCs w:val="22"/>
              <w:lang w:eastAsia="en-GB" w:bidi="ar-SA"/>
            </w:rPr>
          </w:pPr>
          <w:hyperlink w:anchor="_Toc520888231" w:history="1">
            <w:r w:rsidR="00952144" w:rsidRPr="007F514E">
              <w:rPr>
                <w:rStyle w:val="Hyperlink"/>
                <w:noProof/>
              </w:rPr>
              <w:t>4</w:t>
            </w:r>
            <w:r w:rsidR="00952144">
              <w:rPr>
                <w:rFonts w:eastAsiaTheme="minorEastAsia" w:cstheme="minorBidi"/>
                <w:b w:val="0"/>
                <w:bCs w:val="0"/>
                <w:caps w:val="0"/>
                <w:noProof/>
                <w:sz w:val="22"/>
                <w:szCs w:val="22"/>
                <w:lang w:eastAsia="en-GB" w:bidi="ar-SA"/>
              </w:rPr>
              <w:tab/>
            </w:r>
            <w:r w:rsidR="00952144" w:rsidRPr="007F514E">
              <w:rPr>
                <w:rStyle w:val="Hyperlink"/>
                <w:noProof/>
              </w:rPr>
              <w:t>References</w:t>
            </w:r>
            <w:r w:rsidR="00952144">
              <w:rPr>
                <w:noProof/>
                <w:webHidden/>
              </w:rPr>
              <w:tab/>
            </w:r>
            <w:r w:rsidR="00952144">
              <w:rPr>
                <w:noProof/>
                <w:webHidden/>
              </w:rPr>
              <w:fldChar w:fldCharType="begin"/>
            </w:r>
            <w:r w:rsidR="00952144">
              <w:rPr>
                <w:noProof/>
                <w:webHidden/>
              </w:rPr>
              <w:instrText xml:space="preserve"> PAGEREF _Toc520888231 \h </w:instrText>
            </w:r>
            <w:r w:rsidR="00952144">
              <w:rPr>
                <w:noProof/>
                <w:webHidden/>
              </w:rPr>
            </w:r>
            <w:r w:rsidR="00952144">
              <w:rPr>
                <w:noProof/>
                <w:webHidden/>
              </w:rPr>
              <w:fldChar w:fldCharType="separate"/>
            </w:r>
            <w:r w:rsidR="004D1902">
              <w:rPr>
                <w:noProof/>
                <w:webHidden/>
              </w:rPr>
              <w:t>46</w:t>
            </w:r>
            <w:r w:rsidR="00952144">
              <w:rPr>
                <w:noProof/>
                <w:webHidden/>
              </w:rPr>
              <w:fldChar w:fldCharType="end"/>
            </w:r>
          </w:hyperlink>
        </w:p>
        <w:p w14:paraId="52BE3A01" w14:textId="505D96F1" w:rsidR="00952144" w:rsidRDefault="007377EA">
          <w:pPr>
            <w:pStyle w:val="TOC1"/>
            <w:tabs>
              <w:tab w:val="right" w:leader="dot" w:pos="9016"/>
            </w:tabs>
            <w:rPr>
              <w:rFonts w:eastAsiaTheme="minorEastAsia" w:cstheme="minorBidi"/>
              <w:b w:val="0"/>
              <w:bCs w:val="0"/>
              <w:caps w:val="0"/>
              <w:noProof/>
              <w:sz w:val="22"/>
              <w:szCs w:val="22"/>
              <w:lang w:eastAsia="en-GB" w:bidi="ar-SA"/>
            </w:rPr>
          </w:pPr>
          <w:hyperlink w:anchor="_Toc520888232" w:history="1">
            <w:r w:rsidR="00952144" w:rsidRPr="007F514E">
              <w:rPr>
                <w:rStyle w:val="Hyperlink"/>
                <w:noProof/>
              </w:rPr>
              <w:t>Appendix 1: Evaluation of in vitro and animal toxicity studies on L-carnitine</w:t>
            </w:r>
            <w:r w:rsidR="00952144">
              <w:rPr>
                <w:noProof/>
                <w:webHidden/>
              </w:rPr>
              <w:tab/>
            </w:r>
            <w:r w:rsidR="00952144">
              <w:rPr>
                <w:noProof/>
                <w:webHidden/>
              </w:rPr>
              <w:fldChar w:fldCharType="begin"/>
            </w:r>
            <w:r w:rsidR="00952144">
              <w:rPr>
                <w:noProof/>
                <w:webHidden/>
              </w:rPr>
              <w:instrText xml:space="preserve"> PAGEREF _Toc520888232 \h </w:instrText>
            </w:r>
            <w:r w:rsidR="00952144">
              <w:rPr>
                <w:noProof/>
                <w:webHidden/>
              </w:rPr>
            </w:r>
            <w:r w:rsidR="00952144">
              <w:rPr>
                <w:noProof/>
                <w:webHidden/>
              </w:rPr>
              <w:fldChar w:fldCharType="separate"/>
            </w:r>
            <w:r w:rsidR="004D1902">
              <w:rPr>
                <w:noProof/>
                <w:webHidden/>
              </w:rPr>
              <w:t>54</w:t>
            </w:r>
            <w:r w:rsidR="00952144">
              <w:rPr>
                <w:noProof/>
                <w:webHidden/>
              </w:rPr>
              <w:fldChar w:fldCharType="end"/>
            </w:r>
          </w:hyperlink>
        </w:p>
        <w:p w14:paraId="66C40B28" w14:textId="09317C1C" w:rsidR="00952144" w:rsidRDefault="007377EA">
          <w:pPr>
            <w:pStyle w:val="TOC1"/>
            <w:tabs>
              <w:tab w:val="right" w:leader="dot" w:pos="9016"/>
            </w:tabs>
            <w:rPr>
              <w:rFonts w:eastAsiaTheme="minorEastAsia" w:cstheme="minorBidi"/>
              <w:b w:val="0"/>
              <w:bCs w:val="0"/>
              <w:caps w:val="0"/>
              <w:noProof/>
              <w:sz w:val="22"/>
              <w:szCs w:val="22"/>
              <w:lang w:eastAsia="en-GB" w:bidi="ar-SA"/>
            </w:rPr>
          </w:pPr>
          <w:hyperlink w:anchor="_Toc520888233" w:history="1">
            <w:r w:rsidR="00952144" w:rsidRPr="007F514E">
              <w:rPr>
                <w:rStyle w:val="Hyperlink"/>
                <w:noProof/>
              </w:rPr>
              <w:t>Appendix 2: Dietary Intake Assessments at FSANZ</w:t>
            </w:r>
            <w:r w:rsidR="00952144">
              <w:rPr>
                <w:noProof/>
                <w:webHidden/>
              </w:rPr>
              <w:tab/>
            </w:r>
            <w:r w:rsidR="00952144">
              <w:rPr>
                <w:noProof/>
                <w:webHidden/>
              </w:rPr>
              <w:fldChar w:fldCharType="begin"/>
            </w:r>
            <w:r w:rsidR="00952144">
              <w:rPr>
                <w:noProof/>
                <w:webHidden/>
              </w:rPr>
              <w:instrText xml:space="preserve"> PAGEREF _Toc520888233 \h </w:instrText>
            </w:r>
            <w:r w:rsidR="00952144">
              <w:rPr>
                <w:noProof/>
                <w:webHidden/>
              </w:rPr>
            </w:r>
            <w:r w:rsidR="00952144">
              <w:rPr>
                <w:noProof/>
                <w:webHidden/>
              </w:rPr>
              <w:fldChar w:fldCharType="separate"/>
            </w:r>
            <w:r w:rsidR="004D1902">
              <w:rPr>
                <w:noProof/>
                <w:webHidden/>
              </w:rPr>
              <w:t>83</w:t>
            </w:r>
            <w:r w:rsidR="00952144">
              <w:rPr>
                <w:noProof/>
                <w:webHidden/>
              </w:rPr>
              <w:fldChar w:fldCharType="end"/>
            </w:r>
          </w:hyperlink>
        </w:p>
        <w:p w14:paraId="09ECF2B9" w14:textId="3CC52FC4" w:rsidR="00952144" w:rsidRDefault="007377EA">
          <w:pPr>
            <w:pStyle w:val="TOC2"/>
            <w:tabs>
              <w:tab w:val="left" w:pos="880"/>
              <w:tab w:val="right" w:leader="dot" w:pos="9016"/>
            </w:tabs>
            <w:rPr>
              <w:rFonts w:eastAsiaTheme="minorEastAsia" w:cstheme="minorBidi"/>
              <w:smallCaps w:val="0"/>
              <w:noProof/>
              <w:sz w:val="22"/>
              <w:szCs w:val="22"/>
              <w:lang w:eastAsia="en-GB" w:bidi="ar-SA"/>
            </w:rPr>
          </w:pPr>
          <w:hyperlink w:anchor="_Toc520888234" w:history="1">
            <w:r w:rsidR="00952144" w:rsidRPr="007F514E">
              <w:rPr>
                <w:rStyle w:val="Hyperlink"/>
                <w:noProof/>
              </w:rPr>
              <w:t>A2.1</w:t>
            </w:r>
            <w:r w:rsidR="00952144">
              <w:rPr>
                <w:rFonts w:eastAsiaTheme="minorEastAsia" w:cstheme="minorBidi"/>
                <w:smallCaps w:val="0"/>
                <w:noProof/>
                <w:sz w:val="22"/>
                <w:szCs w:val="22"/>
                <w:lang w:eastAsia="en-GB" w:bidi="ar-SA"/>
              </w:rPr>
              <w:tab/>
            </w:r>
            <w:r w:rsidR="00952144" w:rsidRPr="007F514E">
              <w:rPr>
                <w:rStyle w:val="Hyperlink"/>
                <w:noProof/>
              </w:rPr>
              <w:t>Food consumption data used</w:t>
            </w:r>
            <w:r w:rsidR="00952144">
              <w:rPr>
                <w:noProof/>
                <w:webHidden/>
              </w:rPr>
              <w:tab/>
            </w:r>
            <w:r w:rsidR="00952144">
              <w:rPr>
                <w:noProof/>
                <w:webHidden/>
              </w:rPr>
              <w:fldChar w:fldCharType="begin"/>
            </w:r>
            <w:r w:rsidR="00952144">
              <w:rPr>
                <w:noProof/>
                <w:webHidden/>
              </w:rPr>
              <w:instrText xml:space="preserve"> PAGEREF _Toc520888234 \h </w:instrText>
            </w:r>
            <w:r w:rsidR="00952144">
              <w:rPr>
                <w:noProof/>
                <w:webHidden/>
              </w:rPr>
            </w:r>
            <w:r w:rsidR="00952144">
              <w:rPr>
                <w:noProof/>
                <w:webHidden/>
              </w:rPr>
              <w:fldChar w:fldCharType="separate"/>
            </w:r>
            <w:r w:rsidR="004D1902">
              <w:rPr>
                <w:noProof/>
                <w:webHidden/>
              </w:rPr>
              <w:t>83</w:t>
            </w:r>
            <w:r w:rsidR="00952144">
              <w:rPr>
                <w:noProof/>
                <w:webHidden/>
              </w:rPr>
              <w:fldChar w:fldCharType="end"/>
            </w:r>
          </w:hyperlink>
        </w:p>
        <w:p w14:paraId="622859FA" w14:textId="7AC27356" w:rsidR="00952144" w:rsidRDefault="007377EA">
          <w:pPr>
            <w:pStyle w:val="TOC3"/>
            <w:tabs>
              <w:tab w:val="left" w:pos="1320"/>
              <w:tab w:val="right" w:leader="dot" w:pos="9016"/>
            </w:tabs>
            <w:rPr>
              <w:rFonts w:eastAsiaTheme="minorEastAsia" w:cstheme="minorBidi"/>
              <w:i w:val="0"/>
              <w:iCs w:val="0"/>
              <w:noProof/>
              <w:sz w:val="22"/>
              <w:szCs w:val="22"/>
              <w:lang w:eastAsia="en-GB" w:bidi="ar-SA"/>
            </w:rPr>
          </w:pPr>
          <w:hyperlink w:anchor="_Toc520888235" w:history="1">
            <w:r w:rsidR="00952144" w:rsidRPr="007F514E">
              <w:rPr>
                <w:rStyle w:val="Hyperlink"/>
                <w:noProof/>
              </w:rPr>
              <w:t>A2.1.1</w:t>
            </w:r>
            <w:r w:rsidR="00952144">
              <w:rPr>
                <w:rFonts w:eastAsiaTheme="minorEastAsia" w:cstheme="minorBidi"/>
                <w:i w:val="0"/>
                <w:iCs w:val="0"/>
                <w:noProof/>
                <w:sz w:val="22"/>
                <w:szCs w:val="22"/>
                <w:lang w:eastAsia="en-GB" w:bidi="ar-SA"/>
              </w:rPr>
              <w:tab/>
            </w:r>
            <w:r w:rsidR="00952144" w:rsidRPr="007F514E">
              <w:rPr>
                <w:rStyle w:val="Hyperlink"/>
                <w:noProof/>
              </w:rPr>
              <w:t>2011-12 NNPAS</w:t>
            </w:r>
            <w:r w:rsidR="00952144">
              <w:rPr>
                <w:noProof/>
                <w:webHidden/>
              </w:rPr>
              <w:tab/>
            </w:r>
            <w:r w:rsidR="00952144">
              <w:rPr>
                <w:noProof/>
                <w:webHidden/>
              </w:rPr>
              <w:fldChar w:fldCharType="begin"/>
            </w:r>
            <w:r w:rsidR="00952144">
              <w:rPr>
                <w:noProof/>
                <w:webHidden/>
              </w:rPr>
              <w:instrText xml:space="preserve"> PAGEREF _Toc520888235 \h </w:instrText>
            </w:r>
            <w:r w:rsidR="00952144">
              <w:rPr>
                <w:noProof/>
                <w:webHidden/>
              </w:rPr>
            </w:r>
            <w:r w:rsidR="00952144">
              <w:rPr>
                <w:noProof/>
                <w:webHidden/>
              </w:rPr>
              <w:fldChar w:fldCharType="separate"/>
            </w:r>
            <w:r w:rsidR="004D1902">
              <w:rPr>
                <w:noProof/>
                <w:webHidden/>
              </w:rPr>
              <w:t>83</w:t>
            </w:r>
            <w:r w:rsidR="00952144">
              <w:rPr>
                <w:noProof/>
                <w:webHidden/>
              </w:rPr>
              <w:fldChar w:fldCharType="end"/>
            </w:r>
          </w:hyperlink>
        </w:p>
        <w:p w14:paraId="4110C38E" w14:textId="2B690A2A" w:rsidR="00952144" w:rsidRDefault="007377EA">
          <w:pPr>
            <w:pStyle w:val="TOC3"/>
            <w:tabs>
              <w:tab w:val="left" w:pos="1320"/>
              <w:tab w:val="right" w:leader="dot" w:pos="9016"/>
            </w:tabs>
            <w:rPr>
              <w:rFonts w:eastAsiaTheme="minorEastAsia" w:cstheme="minorBidi"/>
              <w:i w:val="0"/>
              <w:iCs w:val="0"/>
              <w:noProof/>
              <w:sz w:val="22"/>
              <w:szCs w:val="22"/>
              <w:lang w:eastAsia="en-GB" w:bidi="ar-SA"/>
            </w:rPr>
          </w:pPr>
          <w:hyperlink w:anchor="_Toc520888236" w:history="1">
            <w:r w:rsidR="00952144" w:rsidRPr="007F514E">
              <w:rPr>
                <w:rStyle w:val="Hyperlink"/>
                <w:noProof/>
              </w:rPr>
              <w:t>A2.1.2</w:t>
            </w:r>
            <w:r w:rsidR="00952144">
              <w:rPr>
                <w:rFonts w:eastAsiaTheme="minorEastAsia" w:cstheme="minorBidi"/>
                <w:i w:val="0"/>
                <w:iCs w:val="0"/>
                <w:noProof/>
                <w:sz w:val="22"/>
                <w:szCs w:val="22"/>
                <w:lang w:eastAsia="en-GB" w:bidi="ar-SA"/>
              </w:rPr>
              <w:tab/>
            </w:r>
            <w:r w:rsidR="00952144" w:rsidRPr="007F514E">
              <w:rPr>
                <w:rStyle w:val="Hyperlink"/>
                <w:noProof/>
              </w:rPr>
              <w:t>2002 New Zealand National Children’s Nutrition Survey (2002 NZNNS)</w:t>
            </w:r>
            <w:r w:rsidR="00952144">
              <w:rPr>
                <w:noProof/>
                <w:webHidden/>
              </w:rPr>
              <w:tab/>
            </w:r>
            <w:r w:rsidR="00952144">
              <w:rPr>
                <w:noProof/>
                <w:webHidden/>
              </w:rPr>
              <w:fldChar w:fldCharType="begin"/>
            </w:r>
            <w:r w:rsidR="00952144">
              <w:rPr>
                <w:noProof/>
                <w:webHidden/>
              </w:rPr>
              <w:instrText xml:space="preserve"> PAGEREF _Toc520888236 \h </w:instrText>
            </w:r>
            <w:r w:rsidR="00952144">
              <w:rPr>
                <w:noProof/>
                <w:webHidden/>
              </w:rPr>
            </w:r>
            <w:r w:rsidR="00952144">
              <w:rPr>
                <w:noProof/>
                <w:webHidden/>
              </w:rPr>
              <w:fldChar w:fldCharType="separate"/>
            </w:r>
            <w:r w:rsidR="004D1902">
              <w:rPr>
                <w:noProof/>
                <w:webHidden/>
              </w:rPr>
              <w:t>84</w:t>
            </w:r>
            <w:r w:rsidR="00952144">
              <w:rPr>
                <w:noProof/>
                <w:webHidden/>
              </w:rPr>
              <w:fldChar w:fldCharType="end"/>
            </w:r>
          </w:hyperlink>
        </w:p>
        <w:p w14:paraId="3B2B0277" w14:textId="1D9D07B9" w:rsidR="00952144" w:rsidRDefault="007377EA">
          <w:pPr>
            <w:pStyle w:val="TOC3"/>
            <w:tabs>
              <w:tab w:val="left" w:pos="1320"/>
              <w:tab w:val="right" w:leader="dot" w:pos="9016"/>
            </w:tabs>
            <w:rPr>
              <w:rFonts w:eastAsiaTheme="minorEastAsia" w:cstheme="minorBidi"/>
              <w:i w:val="0"/>
              <w:iCs w:val="0"/>
              <w:noProof/>
              <w:sz w:val="22"/>
              <w:szCs w:val="22"/>
              <w:lang w:eastAsia="en-GB" w:bidi="ar-SA"/>
            </w:rPr>
          </w:pPr>
          <w:hyperlink w:anchor="_Toc520888237" w:history="1">
            <w:r w:rsidR="00952144" w:rsidRPr="007F514E">
              <w:rPr>
                <w:rStyle w:val="Hyperlink"/>
                <w:noProof/>
                <w:lang w:val="en-AU"/>
              </w:rPr>
              <w:t>A2.1.3</w:t>
            </w:r>
            <w:r w:rsidR="00952144">
              <w:rPr>
                <w:rFonts w:eastAsiaTheme="minorEastAsia" w:cstheme="minorBidi"/>
                <w:i w:val="0"/>
                <w:iCs w:val="0"/>
                <w:noProof/>
                <w:sz w:val="22"/>
                <w:szCs w:val="22"/>
                <w:lang w:eastAsia="en-GB" w:bidi="ar-SA"/>
              </w:rPr>
              <w:tab/>
            </w:r>
            <w:r w:rsidR="00952144" w:rsidRPr="007F514E">
              <w:rPr>
                <w:rStyle w:val="Hyperlink"/>
                <w:noProof/>
                <w:lang w:val="en-AU"/>
              </w:rPr>
              <w:t>2008/09 New Zealand Adult Nutrition Survey (2008 NZANS)</w:t>
            </w:r>
            <w:r w:rsidR="00952144">
              <w:rPr>
                <w:noProof/>
                <w:webHidden/>
              </w:rPr>
              <w:tab/>
            </w:r>
            <w:r w:rsidR="00952144">
              <w:rPr>
                <w:noProof/>
                <w:webHidden/>
              </w:rPr>
              <w:fldChar w:fldCharType="begin"/>
            </w:r>
            <w:r w:rsidR="00952144">
              <w:rPr>
                <w:noProof/>
                <w:webHidden/>
              </w:rPr>
              <w:instrText xml:space="preserve"> PAGEREF _Toc520888237 \h </w:instrText>
            </w:r>
            <w:r w:rsidR="00952144">
              <w:rPr>
                <w:noProof/>
                <w:webHidden/>
              </w:rPr>
            </w:r>
            <w:r w:rsidR="00952144">
              <w:rPr>
                <w:noProof/>
                <w:webHidden/>
              </w:rPr>
              <w:fldChar w:fldCharType="separate"/>
            </w:r>
            <w:r w:rsidR="004D1902">
              <w:rPr>
                <w:noProof/>
                <w:webHidden/>
              </w:rPr>
              <w:t>84</w:t>
            </w:r>
            <w:r w:rsidR="00952144">
              <w:rPr>
                <w:noProof/>
                <w:webHidden/>
              </w:rPr>
              <w:fldChar w:fldCharType="end"/>
            </w:r>
          </w:hyperlink>
        </w:p>
        <w:p w14:paraId="7C0A6DF0" w14:textId="2A566353" w:rsidR="00952144" w:rsidRDefault="007377EA">
          <w:pPr>
            <w:pStyle w:val="TOC2"/>
            <w:tabs>
              <w:tab w:val="left" w:pos="880"/>
              <w:tab w:val="right" w:leader="dot" w:pos="9016"/>
            </w:tabs>
            <w:rPr>
              <w:rFonts w:eastAsiaTheme="minorEastAsia" w:cstheme="minorBidi"/>
              <w:smallCaps w:val="0"/>
              <w:noProof/>
              <w:sz w:val="22"/>
              <w:szCs w:val="22"/>
              <w:lang w:eastAsia="en-GB" w:bidi="ar-SA"/>
            </w:rPr>
          </w:pPr>
          <w:hyperlink w:anchor="_Toc520888238" w:history="1">
            <w:r w:rsidR="00952144" w:rsidRPr="007F514E">
              <w:rPr>
                <w:rStyle w:val="Hyperlink"/>
                <w:noProof/>
              </w:rPr>
              <w:t>A2.2</w:t>
            </w:r>
            <w:r w:rsidR="00952144">
              <w:rPr>
                <w:rFonts w:eastAsiaTheme="minorEastAsia" w:cstheme="minorBidi"/>
                <w:smallCaps w:val="0"/>
                <w:noProof/>
                <w:sz w:val="22"/>
                <w:szCs w:val="22"/>
                <w:lang w:eastAsia="en-GB" w:bidi="ar-SA"/>
              </w:rPr>
              <w:tab/>
            </w:r>
            <w:r w:rsidR="00952144" w:rsidRPr="007F514E">
              <w:rPr>
                <w:rStyle w:val="Hyperlink"/>
                <w:noProof/>
              </w:rPr>
              <w:t>Limitations of dietary intake assessments</w:t>
            </w:r>
            <w:r w:rsidR="00952144">
              <w:rPr>
                <w:noProof/>
                <w:webHidden/>
              </w:rPr>
              <w:tab/>
            </w:r>
            <w:r w:rsidR="00952144">
              <w:rPr>
                <w:noProof/>
                <w:webHidden/>
              </w:rPr>
              <w:fldChar w:fldCharType="begin"/>
            </w:r>
            <w:r w:rsidR="00952144">
              <w:rPr>
                <w:noProof/>
                <w:webHidden/>
              </w:rPr>
              <w:instrText xml:space="preserve"> PAGEREF _Toc520888238 \h </w:instrText>
            </w:r>
            <w:r w:rsidR="00952144">
              <w:rPr>
                <w:noProof/>
                <w:webHidden/>
              </w:rPr>
            </w:r>
            <w:r w:rsidR="00952144">
              <w:rPr>
                <w:noProof/>
                <w:webHidden/>
              </w:rPr>
              <w:fldChar w:fldCharType="separate"/>
            </w:r>
            <w:r w:rsidR="004D1902">
              <w:rPr>
                <w:noProof/>
                <w:webHidden/>
              </w:rPr>
              <w:t>84</w:t>
            </w:r>
            <w:r w:rsidR="00952144">
              <w:rPr>
                <w:noProof/>
                <w:webHidden/>
              </w:rPr>
              <w:fldChar w:fldCharType="end"/>
            </w:r>
          </w:hyperlink>
        </w:p>
        <w:p w14:paraId="372880CE" w14:textId="3F59D47E" w:rsidR="00952144" w:rsidRDefault="007377EA">
          <w:pPr>
            <w:pStyle w:val="TOC1"/>
            <w:tabs>
              <w:tab w:val="right" w:leader="dot" w:pos="9016"/>
            </w:tabs>
            <w:rPr>
              <w:rFonts w:eastAsiaTheme="minorEastAsia" w:cstheme="minorBidi"/>
              <w:b w:val="0"/>
              <w:bCs w:val="0"/>
              <w:caps w:val="0"/>
              <w:noProof/>
              <w:sz w:val="22"/>
              <w:szCs w:val="22"/>
              <w:lang w:eastAsia="en-GB" w:bidi="ar-SA"/>
            </w:rPr>
          </w:pPr>
          <w:hyperlink w:anchor="_Toc520888239" w:history="1">
            <w:r w:rsidR="00952144" w:rsidRPr="007F514E">
              <w:rPr>
                <w:rStyle w:val="Hyperlink"/>
                <w:noProof/>
              </w:rPr>
              <w:t>Appendix 3: Dietary Intake Assessment results</w:t>
            </w:r>
            <w:r w:rsidR="00952144">
              <w:rPr>
                <w:noProof/>
                <w:webHidden/>
              </w:rPr>
              <w:tab/>
            </w:r>
            <w:r w:rsidR="00952144">
              <w:rPr>
                <w:noProof/>
                <w:webHidden/>
              </w:rPr>
              <w:fldChar w:fldCharType="begin"/>
            </w:r>
            <w:r w:rsidR="00952144">
              <w:rPr>
                <w:noProof/>
                <w:webHidden/>
              </w:rPr>
              <w:instrText xml:space="preserve"> PAGEREF _Toc520888239 \h </w:instrText>
            </w:r>
            <w:r w:rsidR="00952144">
              <w:rPr>
                <w:noProof/>
                <w:webHidden/>
              </w:rPr>
            </w:r>
            <w:r w:rsidR="00952144">
              <w:rPr>
                <w:noProof/>
                <w:webHidden/>
              </w:rPr>
              <w:fldChar w:fldCharType="separate"/>
            </w:r>
            <w:r w:rsidR="004D1902">
              <w:rPr>
                <w:noProof/>
                <w:webHidden/>
              </w:rPr>
              <w:t>85</w:t>
            </w:r>
            <w:r w:rsidR="00952144">
              <w:rPr>
                <w:noProof/>
                <w:webHidden/>
              </w:rPr>
              <w:fldChar w:fldCharType="end"/>
            </w:r>
          </w:hyperlink>
        </w:p>
        <w:p w14:paraId="27E238FA" w14:textId="68A26E19" w:rsidR="00952144" w:rsidRDefault="007377EA">
          <w:pPr>
            <w:pStyle w:val="TOC1"/>
            <w:tabs>
              <w:tab w:val="right" w:leader="dot" w:pos="9016"/>
            </w:tabs>
            <w:rPr>
              <w:rFonts w:eastAsiaTheme="minorEastAsia" w:cstheme="minorBidi"/>
              <w:b w:val="0"/>
              <w:bCs w:val="0"/>
              <w:caps w:val="0"/>
              <w:noProof/>
              <w:sz w:val="22"/>
              <w:szCs w:val="22"/>
              <w:lang w:eastAsia="en-GB" w:bidi="ar-SA"/>
            </w:rPr>
          </w:pPr>
          <w:hyperlink w:anchor="_Toc520888240" w:history="1">
            <w:r w:rsidR="00952144" w:rsidRPr="007F514E">
              <w:rPr>
                <w:rStyle w:val="Hyperlink"/>
                <w:noProof/>
              </w:rPr>
              <w:t>Appendix 4: TMAO and mortality and cardiovascular disease</w:t>
            </w:r>
            <w:r w:rsidR="00952144">
              <w:rPr>
                <w:noProof/>
                <w:webHidden/>
              </w:rPr>
              <w:tab/>
            </w:r>
            <w:r w:rsidR="00952144">
              <w:rPr>
                <w:noProof/>
                <w:webHidden/>
              </w:rPr>
              <w:fldChar w:fldCharType="begin"/>
            </w:r>
            <w:r w:rsidR="00952144">
              <w:rPr>
                <w:noProof/>
                <w:webHidden/>
              </w:rPr>
              <w:instrText xml:space="preserve"> PAGEREF _Toc520888240 \h </w:instrText>
            </w:r>
            <w:r w:rsidR="00952144">
              <w:rPr>
                <w:noProof/>
                <w:webHidden/>
              </w:rPr>
            </w:r>
            <w:r w:rsidR="00952144">
              <w:rPr>
                <w:noProof/>
                <w:webHidden/>
              </w:rPr>
              <w:fldChar w:fldCharType="separate"/>
            </w:r>
            <w:r w:rsidR="004D1902">
              <w:rPr>
                <w:noProof/>
                <w:webHidden/>
              </w:rPr>
              <w:t>100</w:t>
            </w:r>
            <w:r w:rsidR="00952144">
              <w:rPr>
                <w:noProof/>
                <w:webHidden/>
              </w:rPr>
              <w:fldChar w:fldCharType="end"/>
            </w:r>
          </w:hyperlink>
        </w:p>
        <w:p w14:paraId="3F03AA2E" w14:textId="7DE9F1DD" w:rsidR="00785714" w:rsidRDefault="00785714" w:rsidP="00785714">
          <w:r>
            <w:rPr>
              <w:b/>
              <w:bCs/>
              <w:noProof/>
            </w:rPr>
            <w:fldChar w:fldCharType="end"/>
          </w:r>
        </w:p>
      </w:sdtContent>
    </w:sdt>
    <w:p w14:paraId="0AA47A42" w14:textId="77777777" w:rsidR="00785714" w:rsidRDefault="00785714" w:rsidP="00785714">
      <w:pPr>
        <w:rPr>
          <w:sz w:val="36"/>
          <w:szCs w:val="28"/>
          <w:lang w:bidi="ar-SA"/>
        </w:rPr>
      </w:pPr>
      <w:r>
        <w:br w:type="page"/>
      </w:r>
    </w:p>
    <w:p w14:paraId="62F2FDC2" w14:textId="77777777" w:rsidR="00785714" w:rsidRPr="00E12CFA" w:rsidRDefault="00785714" w:rsidP="00785714">
      <w:pPr>
        <w:pStyle w:val="Heading1"/>
        <w:rPr>
          <w:rFonts w:ascii="Arial Bold" w:hAnsi="Arial Bold"/>
          <w:smallCaps/>
        </w:rPr>
      </w:pPr>
      <w:bookmarkStart w:id="5" w:name="_Toc520888208"/>
      <w:r>
        <w:rPr>
          <w:rFonts w:ascii="Arial Bold" w:hAnsi="Arial Bold"/>
          <w:smallCaps/>
        </w:rPr>
        <w:lastRenderedPageBreak/>
        <w:t>1</w:t>
      </w:r>
      <w:r>
        <w:rPr>
          <w:rFonts w:ascii="Arial Bold" w:hAnsi="Arial Bold"/>
          <w:smallCaps/>
        </w:rPr>
        <w:tab/>
      </w:r>
      <w:r w:rsidRPr="00E12CFA">
        <w:rPr>
          <w:rFonts w:ascii="Arial Bold" w:hAnsi="Arial Bold"/>
          <w:smallCaps/>
        </w:rPr>
        <w:t>Introduction</w:t>
      </w:r>
      <w:bookmarkEnd w:id="5"/>
    </w:p>
    <w:p w14:paraId="1EFDD5C4" w14:textId="75CB58C8" w:rsidR="00785714" w:rsidRPr="004864FA" w:rsidRDefault="00785714" w:rsidP="00785714">
      <w:pPr>
        <w:pStyle w:val="CommentText"/>
        <w:rPr>
          <w:sz w:val="22"/>
          <w:szCs w:val="22"/>
        </w:rPr>
      </w:pPr>
      <w:r>
        <w:rPr>
          <w:sz w:val="22"/>
          <w:szCs w:val="22"/>
        </w:rPr>
        <w:t>Application A1102 requests</w:t>
      </w:r>
      <w:r w:rsidRPr="004864FA">
        <w:rPr>
          <w:sz w:val="22"/>
          <w:szCs w:val="22"/>
        </w:rPr>
        <w:t xml:space="preserve"> permission for the voluntary addition of L-carnitine and L-</w:t>
      </w:r>
      <w:r>
        <w:rPr>
          <w:sz w:val="22"/>
          <w:szCs w:val="22"/>
        </w:rPr>
        <w:t>carnitine-L-tartrate</w:t>
      </w:r>
      <w:r w:rsidRPr="004864FA">
        <w:rPr>
          <w:sz w:val="22"/>
          <w:szCs w:val="22"/>
        </w:rPr>
        <w:t>, as nutritive substances, to a range of general purpose and some special purpose foods including:</w:t>
      </w:r>
    </w:p>
    <w:p w14:paraId="0AFE9553" w14:textId="77777777" w:rsidR="00785714" w:rsidRDefault="00785714" w:rsidP="00785714">
      <w:pPr>
        <w:pStyle w:val="CommentText"/>
        <w:rPr>
          <w:sz w:val="22"/>
          <w:szCs w:val="22"/>
        </w:rPr>
      </w:pPr>
    </w:p>
    <w:p w14:paraId="63B351D0" w14:textId="77777777" w:rsidR="00785714" w:rsidRPr="00883732" w:rsidRDefault="00785714" w:rsidP="00785714">
      <w:pPr>
        <w:pStyle w:val="FSBullet1"/>
        <w:numPr>
          <w:ilvl w:val="0"/>
          <w:numId w:val="7"/>
        </w:numPr>
      </w:pPr>
      <w:r>
        <w:t>D</w:t>
      </w:r>
      <w:r w:rsidRPr="00883732">
        <w:t>airy products</w:t>
      </w:r>
      <w:r>
        <w:t xml:space="preserve">, </w:t>
      </w:r>
      <w:r w:rsidRPr="00883732">
        <w:t>excluding butter and butter fat</w:t>
      </w:r>
      <w:r>
        <w:t>,</w:t>
      </w:r>
      <w:r w:rsidRPr="00883732">
        <w:t xml:space="preserve"> e.g. flavoured milk, yoghurt, yoghurt drinks</w:t>
      </w:r>
    </w:p>
    <w:p w14:paraId="71568F65" w14:textId="77777777" w:rsidR="00785714" w:rsidRPr="00883732" w:rsidRDefault="00785714" w:rsidP="00785714">
      <w:pPr>
        <w:pStyle w:val="FSBullet1"/>
        <w:numPr>
          <w:ilvl w:val="0"/>
          <w:numId w:val="7"/>
        </w:numPr>
      </w:pPr>
      <w:r>
        <w:t>C</w:t>
      </w:r>
      <w:r w:rsidRPr="00883732">
        <w:t>ereal and cereal products, e.g. hot</w:t>
      </w:r>
      <w:r>
        <w:t xml:space="preserve"> </w:t>
      </w:r>
      <w:r w:rsidRPr="00883732">
        <w:t xml:space="preserve">cereals, some </w:t>
      </w:r>
      <w:r>
        <w:t>r</w:t>
      </w:r>
      <w:r w:rsidRPr="00883732">
        <w:t>eady to eat cereals, cereal bars</w:t>
      </w:r>
    </w:p>
    <w:p w14:paraId="20C8190B" w14:textId="77777777" w:rsidR="00785714" w:rsidRPr="00883732" w:rsidRDefault="00785714" w:rsidP="00785714">
      <w:pPr>
        <w:pStyle w:val="FSBullet1"/>
        <w:numPr>
          <w:ilvl w:val="0"/>
          <w:numId w:val="7"/>
        </w:numPr>
      </w:pPr>
      <w:r>
        <w:t>N</w:t>
      </w:r>
      <w:r w:rsidRPr="00883732">
        <w:t>on-alcoholic beverages</w:t>
      </w:r>
      <w:r>
        <w:t>,</w:t>
      </w:r>
      <w:r w:rsidRPr="00883732">
        <w:t xml:space="preserve"> e.g. fruit and vegetable juices, energy drinks,</w:t>
      </w:r>
      <w:r>
        <w:t xml:space="preserve"> </w:t>
      </w:r>
      <w:r w:rsidRPr="00883732">
        <w:t>regular soft drinks</w:t>
      </w:r>
    </w:p>
    <w:p w14:paraId="37757E82" w14:textId="77777777" w:rsidR="00785714" w:rsidRPr="00883732" w:rsidRDefault="00785714" w:rsidP="00785714">
      <w:pPr>
        <w:pStyle w:val="FSBullet1"/>
        <w:numPr>
          <w:ilvl w:val="0"/>
          <w:numId w:val="7"/>
        </w:numPr>
      </w:pPr>
      <w:r>
        <w:t>C</w:t>
      </w:r>
      <w:r w:rsidRPr="00883732">
        <w:t>onfectionery</w:t>
      </w:r>
      <w:r>
        <w:t>,</w:t>
      </w:r>
      <w:r w:rsidRPr="00883732">
        <w:t xml:space="preserve"> e.g. chocolate, candy, bubble gum, chewing gum</w:t>
      </w:r>
    </w:p>
    <w:p w14:paraId="31830DF4" w14:textId="4AF1071B" w:rsidR="00785714" w:rsidRDefault="00785714" w:rsidP="00785714">
      <w:pPr>
        <w:pStyle w:val="FSBullet1"/>
        <w:numPr>
          <w:ilvl w:val="0"/>
          <w:numId w:val="7"/>
        </w:numPr>
      </w:pPr>
      <w:r>
        <w:t>S</w:t>
      </w:r>
      <w:r w:rsidRPr="00883732">
        <w:t>ome foods intended for particular nutritional uses</w:t>
      </w:r>
      <w:r>
        <w:t>,</w:t>
      </w:r>
      <w:r w:rsidRPr="00883732">
        <w:t xml:space="preserve"> e.g. formulated meal replacement drinks, biscuits and bars; sports bars and sports drinks</w:t>
      </w:r>
      <w:r w:rsidR="00E874BB">
        <w:t>.</w:t>
      </w:r>
    </w:p>
    <w:p w14:paraId="0BBB237C" w14:textId="77777777" w:rsidR="00785714" w:rsidRDefault="00785714" w:rsidP="00785714">
      <w:pPr>
        <w:rPr>
          <w:lang w:bidi="ar-SA"/>
        </w:rPr>
      </w:pPr>
    </w:p>
    <w:p w14:paraId="254CF75B" w14:textId="77777777" w:rsidR="00785714" w:rsidRDefault="00785714" w:rsidP="00785714">
      <w:pPr>
        <w:rPr>
          <w:lang w:bidi="ar-SA"/>
        </w:rPr>
      </w:pPr>
      <w:r>
        <w:rPr>
          <w:lang w:bidi="ar-SA"/>
        </w:rPr>
        <w:t>This risk and technical assessment includes:</w:t>
      </w:r>
    </w:p>
    <w:p w14:paraId="14BA3773" w14:textId="77777777" w:rsidR="00785714" w:rsidRDefault="00785714" w:rsidP="00785714">
      <w:pPr>
        <w:rPr>
          <w:lang w:bidi="ar-SA"/>
        </w:rPr>
      </w:pPr>
    </w:p>
    <w:p w14:paraId="46EE0501" w14:textId="77777777" w:rsidR="00785714" w:rsidRPr="0093637A" w:rsidRDefault="00785714" w:rsidP="00785714">
      <w:pPr>
        <w:pStyle w:val="FSBullet1"/>
        <w:numPr>
          <w:ilvl w:val="0"/>
          <w:numId w:val="7"/>
        </w:numPr>
      </w:pPr>
      <w:r>
        <w:t>A food technology assessment of the L-carnitine and L-carnitine-L-tartrate substances intended to be added to foods</w:t>
      </w:r>
    </w:p>
    <w:p w14:paraId="3442C31E" w14:textId="77777777" w:rsidR="00785714" w:rsidRDefault="00785714" w:rsidP="00785714">
      <w:pPr>
        <w:pStyle w:val="FSBullet1"/>
        <w:numPr>
          <w:ilvl w:val="0"/>
          <w:numId w:val="7"/>
        </w:numPr>
      </w:pPr>
      <w:r>
        <w:t>A hazard assessment of L-carnitine and L-carnitine-L-tartrate to identify potential adverse effects, the intake levels associated with any such effects, and an estimate of a safe upper level of intake</w:t>
      </w:r>
    </w:p>
    <w:p w14:paraId="004421E1" w14:textId="77777777" w:rsidR="00785714" w:rsidRDefault="00785714" w:rsidP="00785714">
      <w:pPr>
        <w:pStyle w:val="FSBullet1"/>
        <w:numPr>
          <w:ilvl w:val="0"/>
          <w:numId w:val="7"/>
        </w:numPr>
      </w:pPr>
      <w:r>
        <w:t xml:space="preserve">A dietary intake assessment to estimate the total dietary intake of L-carnitine and L-carnitine-L-tartrate resulting from baseline intake and intake resulting from the addition of </w:t>
      </w:r>
      <w:r w:rsidRPr="00887C3E">
        <w:t xml:space="preserve">L-carnitine and L-carnitine-L-tartrate </w:t>
      </w:r>
      <w:r>
        <w:t>to the proposed foods</w:t>
      </w:r>
    </w:p>
    <w:p w14:paraId="50D46F42" w14:textId="77777777" w:rsidR="00785714" w:rsidRDefault="00785714" w:rsidP="00785714">
      <w:pPr>
        <w:pStyle w:val="FSBullet1"/>
        <w:numPr>
          <w:ilvl w:val="0"/>
          <w:numId w:val="7"/>
        </w:numPr>
      </w:pPr>
      <w:r>
        <w:t>A</w:t>
      </w:r>
      <w:r w:rsidRPr="00D654C0">
        <w:t xml:space="preserve"> risk characterisation </w:t>
      </w:r>
      <w:r>
        <w:t>that compares estimated</w:t>
      </w:r>
      <w:r w:rsidRPr="00D654C0">
        <w:t xml:space="preserve"> dietary intake levels with the highest intake associated with no adverse effects in human studies.</w:t>
      </w:r>
    </w:p>
    <w:p w14:paraId="6F6EEB2A" w14:textId="77777777" w:rsidR="00785714" w:rsidRDefault="00785714" w:rsidP="00785714">
      <w:pPr>
        <w:pStyle w:val="Heading1"/>
        <w:rPr>
          <w:rFonts w:ascii="Arial Bold" w:hAnsi="Arial Bold"/>
          <w:smallCaps/>
        </w:rPr>
      </w:pPr>
      <w:bookmarkStart w:id="6" w:name="_Toc520888209"/>
      <w:r>
        <w:rPr>
          <w:rFonts w:ascii="Arial Bold" w:hAnsi="Arial Bold"/>
          <w:smallCaps/>
        </w:rPr>
        <w:t>2</w:t>
      </w:r>
      <w:r>
        <w:rPr>
          <w:rFonts w:ascii="Arial Bold" w:hAnsi="Arial Bold"/>
          <w:smallCaps/>
        </w:rPr>
        <w:tab/>
        <w:t>Food Technology assessment</w:t>
      </w:r>
      <w:bookmarkEnd w:id="6"/>
    </w:p>
    <w:p w14:paraId="01EA0FD6" w14:textId="77777777" w:rsidR="00785714" w:rsidRDefault="00785714" w:rsidP="00785714">
      <w:pPr>
        <w:pStyle w:val="Heading2"/>
        <w:rPr>
          <w:lang w:bidi="ar-SA"/>
        </w:rPr>
      </w:pPr>
      <w:bookmarkStart w:id="7" w:name="_Toc520888210"/>
      <w:r>
        <w:rPr>
          <w:lang w:bidi="ar-SA"/>
        </w:rPr>
        <w:t>2.1</w:t>
      </w:r>
      <w:r>
        <w:rPr>
          <w:lang w:bidi="ar-SA"/>
        </w:rPr>
        <w:tab/>
        <w:t>C</w:t>
      </w:r>
      <w:r w:rsidRPr="00823719">
        <w:rPr>
          <w:lang w:bidi="ar-SA"/>
        </w:rPr>
        <w:t xml:space="preserve">hemical </w:t>
      </w:r>
      <w:r w:rsidRPr="006D77E9">
        <w:rPr>
          <w:lang w:bidi="ar-SA"/>
        </w:rPr>
        <w:t>structures and properties</w:t>
      </w:r>
      <w:bookmarkEnd w:id="7"/>
    </w:p>
    <w:p w14:paraId="0B6E3826" w14:textId="652E8B5E" w:rsidR="00785714" w:rsidRPr="00823719" w:rsidRDefault="00785714" w:rsidP="006D4B7F">
      <w:pPr>
        <w:rPr>
          <w:lang w:bidi="ar-SA"/>
        </w:rPr>
      </w:pPr>
      <w:r w:rsidRPr="00823719">
        <w:rPr>
          <w:lang w:bidi="ar-SA"/>
        </w:rPr>
        <w:t xml:space="preserve">L-carnitine is commercially available to be added to food in </w:t>
      </w:r>
      <w:r w:rsidR="00C7573A">
        <w:rPr>
          <w:lang w:bidi="ar-SA"/>
        </w:rPr>
        <w:t>several</w:t>
      </w:r>
      <w:r w:rsidRPr="00823719">
        <w:rPr>
          <w:lang w:bidi="ar-SA"/>
        </w:rPr>
        <w:t xml:space="preserve"> forms</w:t>
      </w:r>
      <w:r w:rsidR="00C7573A">
        <w:rPr>
          <w:lang w:bidi="ar-SA"/>
        </w:rPr>
        <w:t xml:space="preserve"> including</w:t>
      </w:r>
      <w:r w:rsidRPr="00823719">
        <w:rPr>
          <w:lang w:bidi="ar-SA"/>
        </w:rPr>
        <w:t xml:space="preserve"> L-carnitine and L-</w:t>
      </w:r>
      <w:r>
        <w:rPr>
          <w:lang w:bidi="ar-SA"/>
        </w:rPr>
        <w:t>carnitine-L-tartrate</w:t>
      </w:r>
      <w:r w:rsidRPr="00823719">
        <w:rPr>
          <w:lang w:bidi="ar-SA"/>
        </w:rPr>
        <w:t xml:space="preserve"> which are both crystalline powders. L-</w:t>
      </w:r>
      <w:r>
        <w:rPr>
          <w:lang w:bidi="ar-SA"/>
        </w:rPr>
        <w:t>carnitine-L-tartrate</w:t>
      </w:r>
      <w:r w:rsidRPr="00823719">
        <w:rPr>
          <w:lang w:bidi="ar-SA"/>
        </w:rPr>
        <w:t xml:space="preserve"> is produced as a combination salt of crystalline free base L-carnitine with L-tartaric acid, and exists as a 2:1 molar ratio, being two molecules of L-carnitine to one molecule of L-tartaric acid. See the chemicals structures of the two substances in Figure 1.</w:t>
      </w:r>
    </w:p>
    <w:p w14:paraId="1E6CAE26" w14:textId="77777777" w:rsidR="00785714" w:rsidRDefault="00785714" w:rsidP="00785714">
      <w:pPr>
        <w:rPr>
          <w:b/>
          <w:color w:val="000000" w:themeColor="text1"/>
          <w:lang w:eastAsia="en-AU" w:bidi="ar-SA"/>
        </w:rPr>
      </w:pPr>
      <w:bookmarkStart w:id="8" w:name="_Toc279584860"/>
    </w:p>
    <w:p w14:paraId="4A61B5F2" w14:textId="77777777" w:rsidR="00785714" w:rsidRPr="00823719" w:rsidRDefault="00785714" w:rsidP="00785714">
      <w:pPr>
        <w:keepNext/>
        <w:keepLines/>
        <w:rPr>
          <w:b/>
          <w:color w:val="000000" w:themeColor="text1"/>
          <w:lang w:eastAsia="en-AU" w:bidi="ar-SA"/>
        </w:rPr>
      </w:pPr>
      <w:r w:rsidRPr="00823719">
        <w:rPr>
          <w:b/>
          <w:color w:val="000000" w:themeColor="text1"/>
          <w:lang w:eastAsia="en-AU" w:bidi="ar-SA"/>
        </w:rPr>
        <w:lastRenderedPageBreak/>
        <w:t>Chemical structure</w:t>
      </w:r>
      <w:bookmarkEnd w:id="8"/>
      <w:r w:rsidRPr="00823719">
        <w:rPr>
          <w:b/>
          <w:color w:val="000000" w:themeColor="text1"/>
          <w:lang w:eastAsia="en-AU" w:bidi="ar-SA"/>
        </w:rPr>
        <w:t>s</w:t>
      </w:r>
    </w:p>
    <w:p w14:paraId="218DE0D1" w14:textId="7AA48435" w:rsidR="00785714" w:rsidRPr="00823719" w:rsidRDefault="00785714" w:rsidP="00785714">
      <w:pPr>
        <w:keepNext/>
        <w:keepLines/>
        <w:rPr>
          <w:lang w:eastAsia="en-AU" w:bidi="ar-SA"/>
        </w:rPr>
      </w:pPr>
      <w:r w:rsidRPr="00823719">
        <w:rPr>
          <w:rFonts w:ascii="Verdana" w:hAnsi="Verdana"/>
          <w:noProof/>
          <w:lang w:eastAsia="en-GB" w:bidi="ar-SA"/>
        </w:rPr>
        <w:drawing>
          <wp:inline distT="0" distB="0" distL="0" distR="0" wp14:anchorId="6E4F908E" wp14:editId="20FD00B9">
            <wp:extent cx="1928388" cy="674408"/>
            <wp:effectExtent l="0" t="0" r="0" b="0"/>
            <wp:docPr id="12" name="docImg" descr="Chemical structure of L-carnitine" title="L-carnitin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Img" descr="Click to Zoom I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42520" cy="679350"/>
                    </a:xfrm>
                    <a:prstGeom prst="rect">
                      <a:avLst/>
                    </a:prstGeom>
                    <a:noFill/>
                    <a:ln>
                      <a:noFill/>
                    </a:ln>
                  </pic:spPr>
                </pic:pic>
              </a:graphicData>
            </a:graphic>
          </wp:inline>
        </w:drawing>
      </w:r>
      <w:r w:rsidR="00036D61">
        <w:rPr>
          <w:rFonts w:ascii="Verdana" w:hAnsi="Verdana"/>
          <w:noProof/>
          <w:color w:val="333333"/>
          <w:sz w:val="18"/>
          <w:szCs w:val="18"/>
          <w:lang w:eastAsia="en-GB" w:bidi="ar-SA"/>
        </w:rPr>
        <w:tab/>
      </w:r>
      <w:r w:rsidR="00036D61">
        <w:rPr>
          <w:rFonts w:ascii="Verdana" w:hAnsi="Verdana"/>
          <w:noProof/>
          <w:color w:val="333333"/>
          <w:sz w:val="18"/>
          <w:szCs w:val="18"/>
          <w:lang w:eastAsia="en-GB" w:bidi="ar-SA"/>
        </w:rPr>
        <w:tab/>
      </w:r>
      <w:r w:rsidRPr="00823719">
        <w:rPr>
          <w:rFonts w:ascii="Verdana" w:hAnsi="Verdana"/>
          <w:noProof/>
          <w:color w:val="333333"/>
          <w:sz w:val="18"/>
          <w:szCs w:val="18"/>
          <w:lang w:eastAsia="en-GB" w:bidi="ar-SA"/>
        </w:rPr>
        <w:t xml:space="preserve"> </w:t>
      </w:r>
      <w:r w:rsidRPr="00823719">
        <w:rPr>
          <w:rFonts w:ascii="Verdana" w:hAnsi="Verdana"/>
          <w:noProof/>
          <w:color w:val="333333"/>
          <w:sz w:val="18"/>
          <w:szCs w:val="18"/>
          <w:lang w:eastAsia="en-GB" w:bidi="ar-SA"/>
        </w:rPr>
        <w:drawing>
          <wp:inline distT="0" distB="0" distL="0" distR="0" wp14:anchorId="538439A6" wp14:editId="4A6E61F4">
            <wp:extent cx="2695575" cy="1399942"/>
            <wp:effectExtent l="0" t="0" r="0" b="0"/>
            <wp:docPr id="13" name="Picture 13" descr="Chemical structure of L-carnitine-L-tartrate" title="L-carnitine-L-tartrat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5575" cy="1399942"/>
                    </a:xfrm>
                    <a:prstGeom prst="rect">
                      <a:avLst/>
                    </a:prstGeom>
                    <a:noFill/>
                    <a:ln>
                      <a:noFill/>
                    </a:ln>
                  </pic:spPr>
                </pic:pic>
              </a:graphicData>
            </a:graphic>
          </wp:inline>
        </w:drawing>
      </w:r>
      <w:r w:rsidRPr="00823719">
        <w:rPr>
          <w:rFonts w:ascii="Verdana" w:hAnsi="Verdana"/>
          <w:noProof/>
          <w:color w:val="333333"/>
          <w:sz w:val="18"/>
          <w:szCs w:val="18"/>
          <w:lang w:eastAsia="en-GB" w:bidi="ar-SA"/>
        </w:rPr>
        <w:t xml:space="preserve"> </w:t>
      </w:r>
    </w:p>
    <w:p w14:paraId="5AF67044" w14:textId="77777777" w:rsidR="00785714" w:rsidRPr="00823719" w:rsidRDefault="00785714" w:rsidP="00785714">
      <w:pPr>
        <w:keepNext/>
        <w:keepLines/>
        <w:rPr>
          <w:lang w:eastAsia="en-AU" w:bidi="ar-SA"/>
        </w:rPr>
      </w:pPr>
    </w:p>
    <w:p w14:paraId="3B3DBF57" w14:textId="35397979" w:rsidR="00785714" w:rsidRPr="00823719" w:rsidRDefault="00785714" w:rsidP="00785714">
      <w:pPr>
        <w:keepNext/>
        <w:keepLines/>
        <w:rPr>
          <w:lang w:eastAsia="en-AU" w:bidi="ar-SA"/>
        </w:rPr>
      </w:pPr>
      <w:r w:rsidRPr="00823719">
        <w:rPr>
          <w:lang w:eastAsia="en-AU" w:bidi="ar-SA"/>
        </w:rPr>
        <w:t>L-carnitine</w:t>
      </w:r>
      <w:r w:rsidR="00036D61">
        <w:rPr>
          <w:lang w:eastAsia="en-AU" w:bidi="ar-SA"/>
        </w:rPr>
        <w:tab/>
      </w:r>
      <w:r w:rsidR="00036D61">
        <w:rPr>
          <w:lang w:eastAsia="en-AU" w:bidi="ar-SA"/>
        </w:rPr>
        <w:tab/>
      </w:r>
      <w:r w:rsidR="00036D61">
        <w:rPr>
          <w:lang w:eastAsia="en-AU" w:bidi="ar-SA"/>
        </w:rPr>
        <w:tab/>
      </w:r>
      <w:r w:rsidR="00036D61">
        <w:rPr>
          <w:lang w:eastAsia="en-AU" w:bidi="ar-SA"/>
        </w:rPr>
        <w:tab/>
      </w:r>
      <w:r w:rsidR="00036D61">
        <w:rPr>
          <w:lang w:eastAsia="en-AU" w:bidi="ar-SA"/>
        </w:rPr>
        <w:tab/>
      </w:r>
      <w:r w:rsidR="00036D61">
        <w:rPr>
          <w:lang w:eastAsia="en-AU" w:bidi="ar-SA"/>
        </w:rPr>
        <w:tab/>
      </w:r>
      <w:r w:rsidR="00036D61">
        <w:rPr>
          <w:lang w:eastAsia="en-AU" w:bidi="ar-SA"/>
        </w:rPr>
        <w:tab/>
      </w:r>
      <w:r w:rsidRPr="00823719">
        <w:rPr>
          <w:lang w:eastAsia="en-AU" w:bidi="ar-SA"/>
        </w:rPr>
        <w:t>L-</w:t>
      </w:r>
      <w:r>
        <w:rPr>
          <w:lang w:eastAsia="en-AU" w:bidi="ar-SA"/>
        </w:rPr>
        <w:t>carnitine-L-tartrate</w:t>
      </w:r>
    </w:p>
    <w:p w14:paraId="4AE22FE4" w14:textId="77777777" w:rsidR="00785714" w:rsidRPr="00823719" w:rsidRDefault="00785714" w:rsidP="00785714">
      <w:pPr>
        <w:keepNext/>
        <w:keepLines/>
        <w:rPr>
          <w:lang w:eastAsia="en-AU" w:bidi="ar-SA"/>
        </w:rPr>
      </w:pPr>
    </w:p>
    <w:p w14:paraId="4FC3854B" w14:textId="74BCE967" w:rsidR="00785714" w:rsidRPr="00AC21A2" w:rsidRDefault="00785714" w:rsidP="00785714">
      <w:pPr>
        <w:keepNext/>
        <w:keepLines/>
        <w:rPr>
          <w:i/>
          <w:lang w:eastAsia="en-AU" w:bidi="ar-SA"/>
        </w:rPr>
      </w:pPr>
      <w:r w:rsidRPr="00AC21A2">
        <w:rPr>
          <w:i/>
          <w:lang w:eastAsia="en-AU" w:bidi="ar-SA"/>
        </w:rPr>
        <w:t>Figure 1</w:t>
      </w:r>
      <w:r w:rsidR="00AC21A2">
        <w:rPr>
          <w:i/>
          <w:lang w:eastAsia="en-AU" w:bidi="ar-SA"/>
        </w:rPr>
        <w:t xml:space="preserve">: </w:t>
      </w:r>
      <w:r w:rsidRPr="00AC21A2">
        <w:rPr>
          <w:i/>
          <w:lang w:eastAsia="en-AU" w:bidi="ar-SA"/>
        </w:rPr>
        <w:t>Chemical structures of L-carnitine and L-carnitine-L-tartrate</w:t>
      </w:r>
      <w:r w:rsidR="00AC21A2">
        <w:rPr>
          <w:i/>
          <w:lang w:eastAsia="en-AU" w:bidi="ar-SA"/>
        </w:rPr>
        <w:t xml:space="preserve">. </w:t>
      </w:r>
      <w:r w:rsidRPr="00AC21A2">
        <w:rPr>
          <w:i/>
          <w:lang w:eastAsia="en-AU" w:bidi="ar-SA"/>
        </w:rPr>
        <w:t>The chemical and physical properties of the two substances are summarised in Table 1.</w:t>
      </w:r>
    </w:p>
    <w:p w14:paraId="1ADD5ECC" w14:textId="77777777" w:rsidR="00785714" w:rsidRPr="00823719" w:rsidRDefault="00785714" w:rsidP="00785714">
      <w:pPr>
        <w:rPr>
          <w:lang w:eastAsia="en-AU" w:bidi="ar-SA"/>
        </w:rPr>
      </w:pPr>
    </w:p>
    <w:p w14:paraId="398A75B3" w14:textId="64352D4C" w:rsidR="00785714" w:rsidRPr="00823719" w:rsidRDefault="00785714" w:rsidP="00785714">
      <w:pPr>
        <w:keepNext/>
        <w:keepLines/>
        <w:widowControl/>
        <w:ind w:left="1134" w:hanging="1134"/>
        <w:rPr>
          <w:rFonts w:cs="Arial"/>
          <w:b/>
          <w:lang w:bidi="ar-SA"/>
        </w:rPr>
      </w:pPr>
      <w:r w:rsidRPr="00823719">
        <w:rPr>
          <w:rFonts w:cs="Arial"/>
          <w:b/>
          <w:lang w:bidi="ar-SA"/>
        </w:rPr>
        <w:t>Table 1</w:t>
      </w:r>
      <w:r w:rsidR="00AC21A2">
        <w:rPr>
          <w:rFonts w:cs="Arial"/>
          <w:b/>
          <w:lang w:bidi="ar-SA"/>
        </w:rPr>
        <w:t xml:space="preserve">: </w:t>
      </w:r>
      <w:r w:rsidRPr="00823719">
        <w:rPr>
          <w:rFonts w:cs="Arial"/>
          <w:b/>
          <w:lang w:bidi="ar-SA"/>
        </w:rPr>
        <w:t>Chemical and physical properties of L-carnitine and L-carnitine L</w:t>
      </w:r>
      <w:r w:rsidR="006054D9">
        <w:rPr>
          <w:rFonts w:cs="Arial"/>
          <w:b/>
          <w:lang w:bidi="ar-SA"/>
        </w:rPr>
        <w:t>-</w:t>
      </w:r>
      <w:r w:rsidRPr="00823719">
        <w:rPr>
          <w:rFonts w:cs="Arial"/>
          <w:b/>
          <w:lang w:bidi="ar-SA"/>
        </w:rPr>
        <w:t xml:space="preserve">tartrate </w:t>
      </w:r>
    </w:p>
    <w:p w14:paraId="0FD239B5" w14:textId="77777777" w:rsidR="00785714" w:rsidRPr="00823719" w:rsidRDefault="00785714" w:rsidP="00785714">
      <w:pPr>
        <w:rPr>
          <w:lang w:eastAsia="en-AU" w:bidi="ar-SA"/>
        </w:rPr>
      </w:pPr>
    </w:p>
    <w:tbl>
      <w:tblPr>
        <w:tblStyle w:val="TableGrid4"/>
        <w:tblW w:w="0" w:type="auto"/>
        <w:tblLook w:val="04A0" w:firstRow="1" w:lastRow="0" w:firstColumn="1" w:lastColumn="0" w:noHBand="0" w:noVBand="1"/>
        <w:tblCaption w:val="Chemical and physical properties of L-carnitine and L-carnitine L tartrate"/>
        <w:tblDescription w:val="Chemical and physical properties of L-carnitine and L-carnitine L tartrate "/>
      </w:tblPr>
      <w:tblGrid>
        <w:gridCol w:w="2265"/>
        <w:gridCol w:w="3270"/>
        <w:gridCol w:w="3481"/>
      </w:tblGrid>
      <w:tr w:rsidR="00785714" w:rsidRPr="00823719" w14:paraId="2D64FF3E" w14:textId="77777777" w:rsidTr="006477C1">
        <w:trPr>
          <w:tblHeader/>
        </w:trPr>
        <w:tc>
          <w:tcPr>
            <w:tcW w:w="2310" w:type="dxa"/>
          </w:tcPr>
          <w:p w14:paraId="0EFC9AE4" w14:textId="77777777" w:rsidR="00785714" w:rsidRPr="00823719" w:rsidRDefault="00785714" w:rsidP="00811A8E">
            <w:pPr>
              <w:rPr>
                <w:b/>
                <w:lang w:eastAsia="en-AU" w:bidi="ar-SA"/>
              </w:rPr>
            </w:pPr>
            <w:r w:rsidRPr="00823719">
              <w:rPr>
                <w:b/>
                <w:lang w:eastAsia="en-AU" w:bidi="ar-SA"/>
              </w:rPr>
              <w:t>Property</w:t>
            </w:r>
          </w:p>
        </w:tc>
        <w:tc>
          <w:tcPr>
            <w:tcW w:w="3327" w:type="dxa"/>
          </w:tcPr>
          <w:p w14:paraId="0BCED0E8" w14:textId="77777777" w:rsidR="00785714" w:rsidRPr="00823719" w:rsidRDefault="00785714" w:rsidP="00811A8E">
            <w:pPr>
              <w:rPr>
                <w:b/>
                <w:lang w:eastAsia="en-AU" w:bidi="ar-SA"/>
              </w:rPr>
            </w:pPr>
            <w:r>
              <w:rPr>
                <w:b/>
                <w:lang w:eastAsia="en-AU" w:bidi="ar-SA"/>
              </w:rPr>
              <w:t>Substance</w:t>
            </w:r>
          </w:p>
        </w:tc>
        <w:tc>
          <w:tcPr>
            <w:tcW w:w="3543" w:type="dxa"/>
          </w:tcPr>
          <w:p w14:paraId="183110FA" w14:textId="77777777" w:rsidR="00785714" w:rsidRPr="00823719" w:rsidRDefault="00785714" w:rsidP="00811A8E">
            <w:pPr>
              <w:rPr>
                <w:b/>
                <w:lang w:eastAsia="en-AU" w:bidi="ar-SA"/>
              </w:rPr>
            </w:pPr>
            <w:r>
              <w:rPr>
                <w:b/>
                <w:lang w:eastAsia="en-AU" w:bidi="ar-SA"/>
              </w:rPr>
              <w:t>Substance</w:t>
            </w:r>
          </w:p>
        </w:tc>
      </w:tr>
      <w:tr w:rsidR="00785714" w:rsidRPr="00823719" w14:paraId="1570C11A" w14:textId="77777777" w:rsidTr="00811A8E">
        <w:tc>
          <w:tcPr>
            <w:tcW w:w="2310" w:type="dxa"/>
          </w:tcPr>
          <w:p w14:paraId="16A0BEC0" w14:textId="77777777" w:rsidR="00785714" w:rsidRPr="00823719" w:rsidRDefault="00785714" w:rsidP="00811A8E">
            <w:pPr>
              <w:rPr>
                <w:lang w:eastAsia="en-AU" w:bidi="ar-SA"/>
              </w:rPr>
            </w:pPr>
            <w:r w:rsidRPr="00823719">
              <w:rPr>
                <w:lang w:eastAsia="en-AU" w:bidi="ar-SA"/>
              </w:rPr>
              <w:t>Common name</w:t>
            </w:r>
          </w:p>
        </w:tc>
        <w:tc>
          <w:tcPr>
            <w:tcW w:w="3327" w:type="dxa"/>
          </w:tcPr>
          <w:p w14:paraId="2FC27B55" w14:textId="77777777" w:rsidR="00785714" w:rsidRPr="00823719" w:rsidRDefault="00785714" w:rsidP="00811A8E">
            <w:pPr>
              <w:rPr>
                <w:lang w:eastAsia="en-AU" w:bidi="ar-SA"/>
              </w:rPr>
            </w:pPr>
            <w:r w:rsidRPr="00823719">
              <w:rPr>
                <w:lang w:eastAsia="en-AU" w:bidi="ar-SA"/>
              </w:rPr>
              <w:t>L-carnitine</w:t>
            </w:r>
          </w:p>
        </w:tc>
        <w:tc>
          <w:tcPr>
            <w:tcW w:w="3543" w:type="dxa"/>
          </w:tcPr>
          <w:p w14:paraId="53022C77" w14:textId="77777777" w:rsidR="00785714" w:rsidRPr="00823719" w:rsidRDefault="00785714" w:rsidP="00811A8E">
            <w:pPr>
              <w:rPr>
                <w:lang w:eastAsia="en-AU" w:bidi="ar-SA"/>
              </w:rPr>
            </w:pPr>
            <w:r w:rsidRPr="00823719">
              <w:rPr>
                <w:lang w:eastAsia="en-AU" w:bidi="ar-SA"/>
              </w:rPr>
              <w:t>L-</w:t>
            </w:r>
            <w:r>
              <w:rPr>
                <w:lang w:eastAsia="en-AU" w:bidi="ar-SA"/>
              </w:rPr>
              <w:t>carnitine-L-tartrate</w:t>
            </w:r>
          </w:p>
        </w:tc>
      </w:tr>
      <w:tr w:rsidR="00785714" w:rsidRPr="00823719" w14:paraId="4EF60ECB" w14:textId="77777777" w:rsidTr="00811A8E">
        <w:tc>
          <w:tcPr>
            <w:tcW w:w="2310" w:type="dxa"/>
          </w:tcPr>
          <w:p w14:paraId="21ACBD31" w14:textId="77777777" w:rsidR="00785714" w:rsidRPr="00823719" w:rsidRDefault="00785714" w:rsidP="00811A8E">
            <w:pPr>
              <w:rPr>
                <w:lang w:eastAsia="en-AU" w:bidi="ar-SA"/>
              </w:rPr>
            </w:pPr>
            <w:r w:rsidRPr="00823719">
              <w:rPr>
                <w:lang w:eastAsia="en-AU" w:bidi="ar-SA"/>
              </w:rPr>
              <w:t>Other chemical names</w:t>
            </w:r>
          </w:p>
        </w:tc>
        <w:tc>
          <w:tcPr>
            <w:tcW w:w="3327" w:type="dxa"/>
          </w:tcPr>
          <w:p w14:paraId="7AE2C3DC" w14:textId="77777777" w:rsidR="00785714" w:rsidRDefault="00785714" w:rsidP="00811A8E">
            <w:pPr>
              <w:rPr>
                <w:rFonts w:cs="Arial"/>
                <w:color w:val="000000"/>
              </w:rPr>
            </w:pPr>
            <w:r>
              <w:rPr>
                <w:rFonts w:cs="Arial"/>
                <w:color w:val="000000"/>
              </w:rPr>
              <w:t>4-Amino-3-hydroxybutyric a</w:t>
            </w:r>
            <w:r w:rsidRPr="00823719">
              <w:rPr>
                <w:rFonts w:cs="Arial"/>
                <w:color w:val="000000"/>
              </w:rPr>
              <w:t>cid</w:t>
            </w:r>
            <w:r>
              <w:rPr>
                <w:rFonts w:cs="Arial"/>
                <w:color w:val="000000"/>
              </w:rPr>
              <w:t>;</w:t>
            </w:r>
            <w:r w:rsidRPr="00823719">
              <w:rPr>
                <w:rFonts w:cs="Arial"/>
                <w:color w:val="000000"/>
              </w:rPr>
              <w:t xml:space="preserve"> </w:t>
            </w:r>
          </w:p>
          <w:p w14:paraId="6880BE90" w14:textId="77777777" w:rsidR="00785714" w:rsidRPr="00C644ED" w:rsidRDefault="00785714" w:rsidP="00811A8E">
            <w:pPr>
              <w:rPr>
                <w:rFonts w:cs="Arial"/>
                <w:color w:val="000000"/>
                <w:sz w:val="8"/>
                <w:szCs w:val="8"/>
              </w:rPr>
            </w:pPr>
          </w:p>
          <w:p w14:paraId="2E1B8D07" w14:textId="77777777" w:rsidR="00785714" w:rsidRPr="00823719" w:rsidRDefault="00785714" w:rsidP="00811A8E">
            <w:pPr>
              <w:rPr>
                <w:rFonts w:cs="Arial"/>
                <w:color w:val="000000"/>
              </w:rPr>
            </w:pPr>
            <w:r w:rsidRPr="00823719">
              <w:rPr>
                <w:rFonts w:cs="Arial"/>
                <w:color w:val="000000"/>
              </w:rPr>
              <w:t>Trimethylbetaine</w:t>
            </w:r>
          </w:p>
          <w:p w14:paraId="71FE22E7" w14:textId="77777777" w:rsidR="00785714" w:rsidRDefault="00785714" w:rsidP="00811A8E">
            <w:pPr>
              <w:rPr>
                <w:rFonts w:cs="Arial"/>
                <w:color w:val="000000"/>
              </w:rPr>
            </w:pPr>
            <w:r>
              <w:rPr>
                <w:rFonts w:cs="Arial"/>
                <w:color w:val="000000"/>
              </w:rPr>
              <w:t>4-t</w:t>
            </w:r>
            <w:r w:rsidRPr="00823719">
              <w:rPr>
                <w:rFonts w:cs="Arial"/>
                <w:color w:val="000000"/>
              </w:rPr>
              <w:t>rimethylamino-3-hydroxybutyrate</w:t>
            </w:r>
            <w:r>
              <w:rPr>
                <w:rFonts w:cs="Arial"/>
                <w:color w:val="000000"/>
              </w:rPr>
              <w:t>;</w:t>
            </w:r>
          </w:p>
          <w:p w14:paraId="3D8DDE32" w14:textId="77777777" w:rsidR="00785714" w:rsidRPr="00C644ED" w:rsidRDefault="00785714" w:rsidP="00811A8E">
            <w:pPr>
              <w:rPr>
                <w:rFonts w:cs="Arial"/>
                <w:color w:val="000000"/>
                <w:sz w:val="8"/>
                <w:szCs w:val="8"/>
              </w:rPr>
            </w:pPr>
          </w:p>
          <w:p w14:paraId="0691FBC2" w14:textId="77777777" w:rsidR="00785714" w:rsidRDefault="00785714" w:rsidP="00811A8E">
            <w:pPr>
              <w:rPr>
                <w:rFonts w:cs="Arial"/>
                <w:color w:val="000000"/>
              </w:rPr>
            </w:pPr>
            <w:r w:rsidRPr="00823719">
              <w:rPr>
                <w:rFonts w:cs="Arial"/>
                <w:color w:val="000000"/>
              </w:rPr>
              <w:t>(</w:t>
            </w:r>
            <w:r w:rsidRPr="00823719">
              <w:rPr>
                <w:rFonts w:cs="Arial"/>
                <w:i/>
                <w:iCs/>
                <w:color w:val="000000"/>
              </w:rPr>
              <w:t>R</w:t>
            </w:r>
            <w:r w:rsidRPr="00823719">
              <w:rPr>
                <w:rFonts w:cs="Arial"/>
                <w:color w:val="000000"/>
              </w:rPr>
              <w:t>)-3-Carboxy-2-hydroxy-</w:t>
            </w:r>
            <w:r w:rsidRPr="00823719">
              <w:rPr>
                <w:rFonts w:cs="Arial"/>
                <w:i/>
                <w:iCs/>
                <w:color w:val="000000"/>
              </w:rPr>
              <w:t>N,N,N</w:t>
            </w:r>
            <w:r w:rsidRPr="00823719">
              <w:rPr>
                <w:rFonts w:cs="Arial"/>
                <w:color w:val="000000"/>
              </w:rPr>
              <w:t>-trim</w:t>
            </w:r>
            <w:r>
              <w:rPr>
                <w:rFonts w:cs="Arial"/>
                <w:color w:val="000000"/>
              </w:rPr>
              <w:t xml:space="preserve">ethyl-1-propanaminium Hydroxide; </w:t>
            </w:r>
          </w:p>
          <w:p w14:paraId="297401EB" w14:textId="77777777" w:rsidR="00785714" w:rsidRPr="00C644ED" w:rsidRDefault="00785714" w:rsidP="00811A8E">
            <w:pPr>
              <w:rPr>
                <w:rFonts w:cs="Arial"/>
                <w:color w:val="000000"/>
                <w:sz w:val="8"/>
                <w:szCs w:val="8"/>
              </w:rPr>
            </w:pPr>
          </w:p>
          <w:p w14:paraId="627A4FF0" w14:textId="77777777" w:rsidR="00785714" w:rsidRPr="00823719" w:rsidRDefault="00785714" w:rsidP="00811A8E">
            <w:pPr>
              <w:rPr>
                <w:rFonts w:cs="Arial"/>
                <w:color w:val="000000"/>
              </w:rPr>
            </w:pPr>
            <w:r>
              <w:rPr>
                <w:rFonts w:cs="Arial"/>
                <w:color w:val="000000"/>
              </w:rPr>
              <w:t>Inner s</w:t>
            </w:r>
            <w:r w:rsidRPr="00823719">
              <w:rPr>
                <w:rFonts w:cs="Arial"/>
                <w:color w:val="000000"/>
              </w:rPr>
              <w:t>alt</w:t>
            </w:r>
          </w:p>
          <w:p w14:paraId="0959938A" w14:textId="77777777" w:rsidR="00785714" w:rsidRPr="00823719" w:rsidRDefault="00785714" w:rsidP="00811A8E">
            <w:pPr>
              <w:rPr>
                <w:lang w:eastAsia="en-AU" w:bidi="ar-SA"/>
              </w:rPr>
            </w:pPr>
            <w:r w:rsidRPr="00823719">
              <w:rPr>
                <w:szCs w:val="22"/>
              </w:rPr>
              <w:t>β-hydroxy-γ-trimethyl aminobutyric acid</w:t>
            </w:r>
          </w:p>
        </w:tc>
        <w:tc>
          <w:tcPr>
            <w:tcW w:w="3543" w:type="dxa"/>
          </w:tcPr>
          <w:p w14:paraId="4C7DD772" w14:textId="77777777" w:rsidR="00785714" w:rsidRDefault="00785714" w:rsidP="00811A8E">
            <w:pPr>
              <w:rPr>
                <w:szCs w:val="22"/>
              </w:rPr>
            </w:pPr>
            <w:r w:rsidRPr="00823719">
              <w:rPr>
                <w:szCs w:val="22"/>
              </w:rPr>
              <w:t xml:space="preserve">β-hydroxy-γ-trimethyl aminobutyrate, </w:t>
            </w:r>
            <w:r w:rsidRPr="00823719">
              <w:rPr>
                <w:sz w:val="18"/>
                <w:szCs w:val="18"/>
              </w:rPr>
              <w:t>L</w:t>
            </w:r>
            <w:r w:rsidRPr="00823719">
              <w:rPr>
                <w:szCs w:val="22"/>
              </w:rPr>
              <w:t>-tartrate</w:t>
            </w:r>
            <w:r>
              <w:rPr>
                <w:szCs w:val="22"/>
              </w:rPr>
              <w:t>;</w:t>
            </w:r>
          </w:p>
          <w:p w14:paraId="12BF00BE" w14:textId="77777777" w:rsidR="00785714" w:rsidRPr="00C644ED" w:rsidRDefault="00785714" w:rsidP="00811A8E">
            <w:pPr>
              <w:rPr>
                <w:sz w:val="8"/>
                <w:szCs w:val="8"/>
              </w:rPr>
            </w:pPr>
          </w:p>
          <w:p w14:paraId="448C21B6" w14:textId="77777777" w:rsidR="00785714" w:rsidRPr="00823719" w:rsidRDefault="00785714" w:rsidP="00811A8E">
            <w:pPr>
              <w:rPr>
                <w:lang w:eastAsia="en-AU" w:bidi="ar-SA"/>
              </w:rPr>
            </w:pPr>
            <w:r w:rsidRPr="00823719">
              <w:rPr>
                <w:szCs w:val="22"/>
              </w:rPr>
              <w:t>L-</w:t>
            </w:r>
            <w:r>
              <w:rPr>
                <w:szCs w:val="22"/>
              </w:rPr>
              <w:t>carnitine-L-tartrate</w:t>
            </w:r>
            <w:r w:rsidRPr="00823719">
              <w:rPr>
                <w:szCs w:val="22"/>
              </w:rPr>
              <w:t xml:space="preserve"> (2:1)</w:t>
            </w:r>
          </w:p>
        </w:tc>
      </w:tr>
      <w:tr w:rsidR="00785714" w:rsidRPr="00823719" w14:paraId="247F6182" w14:textId="77777777" w:rsidTr="00811A8E">
        <w:tc>
          <w:tcPr>
            <w:tcW w:w="2310" w:type="dxa"/>
          </w:tcPr>
          <w:p w14:paraId="50A26D1E" w14:textId="77777777" w:rsidR="00785714" w:rsidRPr="00823719" w:rsidRDefault="00785714" w:rsidP="00811A8E">
            <w:pPr>
              <w:rPr>
                <w:lang w:eastAsia="en-AU" w:bidi="ar-SA"/>
              </w:rPr>
            </w:pPr>
            <w:r w:rsidRPr="00823719">
              <w:rPr>
                <w:lang w:eastAsia="en-AU" w:bidi="ar-SA"/>
              </w:rPr>
              <w:t>IUPAC name</w:t>
            </w:r>
          </w:p>
        </w:tc>
        <w:tc>
          <w:tcPr>
            <w:tcW w:w="3327" w:type="dxa"/>
          </w:tcPr>
          <w:p w14:paraId="0240FCE8" w14:textId="77777777" w:rsidR="00785714" w:rsidRPr="00823719" w:rsidRDefault="00785714" w:rsidP="00811A8E">
            <w:pPr>
              <w:rPr>
                <w:lang w:eastAsia="en-AU" w:bidi="ar-SA"/>
              </w:rPr>
            </w:pPr>
            <w:r w:rsidRPr="00823719">
              <w:rPr>
                <w:szCs w:val="22"/>
              </w:rPr>
              <w:t>(3R)-3-hydroxy-4-(trimethylazaniumyl) butanoate</w:t>
            </w:r>
          </w:p>
        </w:tc>
        <w:tc>
          <w:tcPr>
            <w:tcW w:w="3543" w:type="dxa"/>
          </w:tcPr>
          <w:p w14:paraId="1232FE11" w14:textId="77777777" w:rsidR="00785714" w:rsidRPr="00823719" w:rsidRDefault="00785714" w:rsidP="00811A8E">
            <w:pPr>
              <w:rPr>
                <w:szCs w:val="22"/>
              </w:rPr>
            </w:pPr>
            <w:r w:rsidRPr="00823719">
              <w:rPr>
                <w:szCs w:val="22"/>
              </w:rPr>
              <w:t xml:space="preserve">1-propanaminium, 3-carboxy-2-hydroxy-N,N,N-trimethyl-, (R)-, salt with </w:t>
            </w:r>
          </w:p>
          <w:p w14:paraId="494984FB" w14:textId="77777777" w:rsidR="00785714" w:rsidRPr="00823719" w:rsidRDefault="00785714" w:rsidP="00811A8E">
            <w:pPr>
              <w:rPr>
                <w:lang w:eastAsia="en-AU" w:bidi="ar-SA"/>
              </w:rPr>
            </w:pPr>
            <w:r w:rsidRPr="00823719">
              <w:rPr>
                <w:szCs w:val="22"/>
              </w:rPr>
              <w:t>(R-(R*,R*)-2,3-dihydroxybutanedioic acid (2:1)</w:t>
            </w:r>
          </w:p>
        </w:tc>
      </w:tr>
      <w:tr w:rsidR="00785714" w:rsidRPr="00823719" w14:paraId="5A5F40BC" w14:textId="77777777" w:rsidTr="00811A8E">
        <w:tc>
          <w:tcPr>
            <w:tcW w:w="2310" w:type="dxa"/>
          </w:tcPr>
          <w:p w14:paraId="45CC8747" w14:textId="77777777" w:rsidR="00785714" w:rsidRPr="00823719" w:rsidRDefault="00785714" w:rsidP="00811A8E">
            <w:pPr>
              <w:rPr>
                <w:lang w:eastAsia="en-AU" w:bidi="ar-SA"/>
              </w:rPr>
            </w:pPr>
            <w:r w:rsidRPr="00823719">
              <w:rPr>
                <w:lang w:eastAsia="en-AU" w:bidi="ar-SA"/>
              </w:rPr>
              <w:t>CAS number</w:t>
            </w:r>
          </w:p>
        </w:tc>
        <w:tc>
          <w:tcPr>
            <w:tcW w:w="3327" w:type="dxa"/>
          </w:tcPr>
          <w:p w14:paraId="526E7A78" w14:textId="77777777" w:rsidR="00785714" w:rsidRPr="00823719" w:rsidRDefault="00785714" w:rsidP="00811A8E">
            <w:pPr>
              <w:rPr>
                <w:lang w:eastAsia="en-AU" w:bidi="ar-SA"/>
              </w:rPr>
            </w:pPr>
            <w:r w:rsidRPr="00823719">
              <w:rPr>
                <w:lang w:eastAsia="en-AU" w:bidi="ar-SA"/>
              </w:rPr>
              <w:t>541-15-1</w:t>
            </w:r>
          </w:p>
        </w:tc>
        <w:tc>
          <w:tcPr>
            <w:tcW w:w="3543" w:type="dxa"/>
          </w:tcPr>
          <w:p w14:paraId="735D38F7" w14:textId="77777777" w:rsidR="00785714" w:rsidRPr="00823719" w:rsidRDefault="00785714" w:rsidP="00811A8E">
            <w:pPr>
              <w:rPr>
                <w:lang w:eastAsia="en-AU" w:bidi="ar-SA"/>
              </w:rPr>
            </w:pPr>
            <w:r w:rsidRPr="00823719">
              <w:rPr>
                <w:lang w:eastAsia="en-AU" w:bidi="ar-SA"/>
              </w:rPr>
              <w:t>36687-82-8</w:t>
            </w:r>
          </w:p>
        </w:tc>
      </w:tr>
      <w:tr w:rsidR="00785714" w:rsidRPr="00823719" w14:paraId="1198B63B" w14:textId="77777777" w:rsidTr="00811A8E">
        <w:tc>
          <w:tcPr>
            <w:tcW w:w="2310" w:type="dxa"/>
          </w:tcPr>
          <w:p w14:paraId="13434072" w14:textId="77777777" w:rsidR="00785714" w:rsidRPr="00823719" w:rsidRDefault="00785714" w:rsidP="00811A8E">
            <w:pPr>
              <w:rPr>
                <w:lang w:eastAsia="en-AU" w:bidi="ar-SA"/>
              </w:rPr>
            </w:pPr>
            <w:r w:rsidRPr="00823719">
              <w:rPr>
                <w:lang w:eastAsia="en-AU" w:bidi="ar-SA"/>
              </w:rPr>
              <w:t>Chemical formula</w:t>
            </w:r>
          </w:p>
        </w:tc>
        <w:tc>
          <w:tcPr>
            <w:tcW w:w="3327" w:type="dxa"/>
          </w:tcPr>
          <w:p w14:paraId="160C0838" w14:textId="77777777" w:rsidR="00785714" w:rsidRPr="00823719" w:rsidRDefault="00785714" w:rsidP="00811A8E">
            <w:pPr>
              <w:rPr>
                <w:lang w:eastAsia="en-AU" w:bidi="ar-SA"/>
              </w:rPr>
            </w:pPr>
            <w:r w:rsidRPr="00823719">
              <w:rPr>
                <w:rFonts w:cs="Arial"/>
                <w:color w:val="000000"/>
              </w:rPr>
              <w:t>C</w:t>
            </w:r>
            <w:r w:rsidRPr="00823719">
              <w:rPr>
                <w:rFonts w:cs="Arial"/>
                <w:color w:val="000000"/>
                <w:sz w:val="15"/>
                <w:szCs w:val="15"/>
                <w:vertAlign w:val="subscript"/>
              </w:rPr>
              <w:t>7</w:t>
            </w:r>
            <w:r w:rsidRPr="00823719">
              <w:rPr>
                <w:rFonts w:cs="Arial"/>
                <w:color w:val="000000"/>
              </w:rPr>
              <w:t>H</w:t>
            </w:r>
            <w:r w:rsidRPr="00823719">
              <w:rPr>
                <w:rFonts w:cs="Arial"/>
                <w:color w:val="000000"/>
                <w:sz w:val="15"/>
                <w:szCs w:val="15"/>
                <w:vertAlign w:val="subscript"/>
              </w:rPr>
              <w:t>15</w:t>
            </w:r>
            <w:r w:rsidRPr="00823719">
              <w:rPr>
                <w:rFonts w:cs="Arial"/>
                <w:color w:val="000000"/>
              </w:rPr>
              <w:t>NO</w:t>
            </w:r>
            <w:r w:rsidRPr="00823719">
              <w:rPr>
                <w:rFonts w:cs="Arial"/>
                <w:color w:val="000000"/>
                <w:sz w:val="15"/>
                <w:szCs w:val="15"/>
                <w:vertAlign w:val="subscript"/>
              </w:rPr>
              <w:t>3</w:t>
            </w:r>
          </w:p>
        </w:tc>
        <w:tc>
          <w:tcPr>
            <w:tcW w:w="3543" w:type="dxa"/>
          </w:tcPr>
          <w:p w14:paraId="66A405A9" w14:textId="4311E93D" w:rsidR="00785714" w:rsidRPr="00823719" w:rsidRDefault="00785714" w:rsidP="00811A8E">
            <w:pPr>
              <w:rPr>
                <w:vertAlign w:val="subscript"/>
                <w:lang w:eastAsia="en-AU" w:bidi="ar-SA"/>
              </w:rPr>
            </w:pPr>
            <w:r w:rsidRPr="00823719">
              <w:rPr>
                <w:lang w:eastAsia="en-AU" w:bidi="ar-SA"/>
              </w:rPr>
              <w:t>2</w:t>
            </w:r>
            <w:r w:rsidR="005600B9">
              <w:rPr>
                <w:lang w:eastAsia="en-AU" w:bidi="ar-SA"/>
              </w:rPr>
              <w:t>(</w:t>
            </w:r>
            <w:r w:rsidRPr="00823719">
              <w:rPr>
                <w:lang w:eastAsia="en-AU" w:bidi="ar-SA"/>
              </w:rPr>
              <w:t>C</w:t>
            </w:r>
            <w:r w:rsidRPr="00823719">
              <w:rPr>
                <w:vertAlign w:val="subscript"/>
                <w:lang w:eastAsia="en-AU" w:bidi="ar-SA"/>
              </w:rPr>
              <w:t>7</w:t>
            </w:r>
            <w:r w:rsidRPr="00823719">
              <w:rPr>
                <w:lang w:eastAsia="en-AU" w:bidi="ar-SA"/>
              </w:rPr>
              <w:t>H</w:t>
            </w:r>
            <w:r w:rsidRPr="00823719">
              <w:rPr>
                <w:vertAlign w:val="subscript"/>
                <w:lang w:eastAsia="en-AU" w:bidi="ar-SA"/>
              </w:rPr>
              <w:t>16</w:t>
            </w:r>
            <w:r w:rsidRPr="00823719">
              <w:rPr>
                <w:lang w:eastAsia="en-AU" w:bidi="ar-SA"/>
              </w:rPr>
              <w:t>NO</w:t>
            </w:r>
            <w:r w:rsidRPr="00823719">
              <w:rPr>
                <w:vertAlign w:val="subscript"/>
                <w:lang w:eastAsia="en-AU" w:bidi="ar-SA"/>
              </w:rPr>
              <w:t>3</w:t>
            </w:r>
            <w:r w:rsidR="005600B9" w:rsidRPr="005600B9">
              <w:rPr>
                <w:lang w:eastAsia="en-AU" w:bidi="ar-SA"/>
              </w:rPr>
              <w:t>)</w:t>
            </w:r>
            <w:r w:rsidRPr="00823719">
              <w:rPr>
                <w:lang w:eastAsia="en-AU" w:bidi="ar-SA"/>
              </w:rPr>
              <w:t>•C</w:t>
            </w:r>
            <w:r w:rsidRPr="00823719">
              <w:rPr>
                <w:vertAlign w:val="subscript"/>
                <w:lang w:eastAsia="en-AU" w:bidi="ar-SA"/>
              </w:rPr>
              <w:t>4</w:t>
            </w:r>
            <w:r w:rsidRPr="00823719">
              <w:rPr>
                <w:lang w:eastAsia="en-AU" w:bidi="ar-SA"/>
              </w:rPr>
              <w:t>H</w:t>
            </w:r>
            <w:r w:rsidRPr="00823719">
              <w:rPr>
                <w:vertAlign w:val="subscript"/>
                <w:lang w:eastAsia="en-AU" w:bidi="ar-SA"/>
              </w:rPr>
              <w:t>4</w:t>
            </w:r>
            <w:r w:rsidRPr="00823719">
              <w:rPr>
                <w:lang w:eastAsia="en-AU" w:bidi="ar-SA"/>
              </w:rPr>
              <w:t>O</w:t>
            </w:r>
            <w:r w:rsidRPr="00823719">
              <w:rPr>
                <w:vertAlign w:val="subscript"/>
                <w:lang w:eastAsia="en-AU" w:bidi="ar-SA"/>
              </w:rPr>
              <w:t>6</w:t>
            </w:r>
          </w:p>
          <w:p w14:paraId="3D7A22E0" w14:textId="77777777" w:rsidR="00785714" w:rsidRPr="00823719" w:rsidRDefault="00785714" w:rsidP="00811A8E">
            <w:pPr>
              <w:rPr>
                <w:lang w:eastAsia="en-AU" w:bidi="ar-SA"/>
              </w:rPr>
            </w:pPr>
            <w:r w:rsidRPr="00823719">
              <w:rPr>
                <w:szCs w:val="22"/>
              </w:rPr>
              <w:t>C</w:t>
            </w:r>
            <w:r w:rsidRPr="00823719">
              <w:rPr>
                <w:sz w:val="14"/>
                <w:szCs w:val="14"/>
              </w:rPr>
              <w:t>18</w:t>
            </w:r>
            <w:r w:rsidRPr="00823719">
              <w:rPr>
                <w:szCs w:val="22"/>
              </w:rPr>
              <w:t>H</w:t>
            </w:r>
            <w:r w:rsidRPr="00823719">
              <w:rPr>
                <w:sz w:val="14"/>
                <w:szCs w:val="14"/>
              </w:rPr>
              <w:t>36</w:t>
            </w:r>
            <w:r w:rsidRPr="00823719">
              <w:rPr>
                <w:szCs w:val="22"/>
              </w:rPr>
              <w:t>N</w:t>
            </w:r>
            <w:r w:rsidRPr="00823719">
              <w:rPr>
                <w:sz w:val="14"/>
                <w:szCs w:val="14"/>
              </w:rPr>
              <w:t>2</w:t>
            </w:r>
            <w:r w:rsidRPr="00823719">
              <w:rPr>
                <w:szCs w:val="22"/>
              </w:rPr>
              <w:t>O</w:t>
            </w:r>
            <w:r w:rsidRPr="00823719">
              <w:rPr>
                <w:sz w:val="14"/>
                <w:szCs w:val="14"/>
              </w:rPr>
              <w:t>12</w:t>
            </w:r>
          </w:p>
        </w:tc>
      </w:tr>
      <w:tr w:rsidR="00785714" w:rsidRPr="00823719" w14:paraId="321E2FCE" w14:textId="77777777" w:rsidTr="00811A8E">
        <w:tc>
          <w:tcPr>
            <w:tcW w:w="2310" w:type="dxa"/>
          </w:tcPr>
          <w:p w14:paraId="2A93BA85" w14:textId="77777777" w:rsidR="00785714" w:rsidRPr="00823719" w:rsidRDefault="00785714" w:rsidP="00811A8E">
            <w:pPr>
              <w:rPr>
                <w:lang w:eastAsia="en-AU" w:bidi="ar-SA"/>
              </w:rPr>
            </w:pPr>
            <w:r w:rsidRPr="00823719">
              <w:rPr>
                <w:lang w:eastAsia="en-AU" w:bidi="ar-SA"/>
              </w:rPr>
              <w:t>Molecular weight g/mol</w:t>
            </w:r>
          </w:p>
        </w:tc>
        <w:tc>
          <w:tcPr>
            <w:tcW w:w="3327" w:type="dxa"/>
          </w:tcPr>
          <w:p w14:paraId="006745EE" w14:textId="77777777" w:rsidR="00785714" w:rsidRPr="00823719" w:rsidRDefault="00785714" w:rsidP="00811A8E">
            <w:pPr>
              <w:rPr>
                <w:lang w:eastAsia="en-AU" w:bidi="ar-SA"/>
              </w:rPr>
            </w:pPr>
            <w:r w:rsidRPr="00823719">
              <w:rPr>
                <w:rFonts w:cs="Arial"/>
                <w:color w:val="000000"/>
              </w:rPr>
              <w:t>161.20</w:t>
            </w:r>
          </w:p>
        </w:tc>
        <w:tc>
          <w:tcPr>
            <w:tcW w:w="3543" w:type="dxa"/>
          </w:tcPr>
          <w:p w14:paraId="14F26520" w14:textId="77777777" w:rsidR="00785714" w:rsidRPr="00823719" w:rsidRDefault="00785714" w:rsidP="00811A8E">
            <w:pPr>
              <w:rPr>
                <w:lang w:eastAsia="en-AU" w:bidi="ar-SA"/>
              </w:rPr>
            </w:pPr>
            <w:r w:rsidRPr="00823719">
              <w:rPr>
                <w:lang w:eastAsia="en-AU" w:bidi="ar-SA"/>
              </w:rPr>
              <w:t>472.49</w:t>
            </w:r>
          </w:p>
        </w:tc>
      </w:tr>
      <w:tr w:rsidR="00785714" w:rsidRPr="00823719" w14:paraId="0A0B59CE" w14:textId="77777777" w:rsidTr="00811A8E">
        <w:tc>
          <w:tcPr>
            <w:tcW w:w="2310" w:type="dxa"/>
          </w:tcPr>
          <w:p w14:paraId="4B1CB600" w14:textId="77777777" w:rsidR="00785714" w:rsidRPr="00823719" w:rsidRDefault="00785714" w:rsidP="00811A8E">
            <w:pPr>
              <w:rPr>
                <w:lang w:eastAsia="en-AU" w:bidi="ar-SA"/>
              </w:rPr>
            </w:pPr>
            <w:r w:rsidRPr="00823719">
              <w:rPr>
                <w:lang w:eastAsia="en-AU" w:bidi="ar-SA"/>
              </w:rPr>
              <w:t>Appearance</w:t>
            </w:r>
          </w:p>
        </w:tc>
        <w:tc>
          <w:tcPr>
            <w:tcW w:w="3327" w:type="dxa"/>
          </w:tcPr>
          <w:p w14:paraId="277F0AF3" w14:textId="77777777" w:rsidR="00785714" w:rsidRPr="00823719" w:rsidRDefault="00785714" w:rsidP="00811A8E">
            <w:pPr>
              <w:rPr>
                <w:lang w:eastAsia="en-AU" w:bidi="ar-SA"/>
              </w:rPr>
            </w:pPr>
            <w:r w:rsidRPr="00823719">
              <w:rPr>
                <w:lang w:eastAsia="en-AU" w:bidi="ar-SA"/>
              </w:rPr>
              <w:t>White crystals or white crystalline powder</w:t>
            </w:r>
          </w:p>
        </w:tc>
        <w:tc>
          <w:tcPr>
            <w:tcW w:w="3543" w:type="dxa"/>
          </w:tcPr>
          <w:p w14:paraId="4FD3C3CC" w14:textId="77777777" w:rsidR="00785714" w:rsidRPr="00823719" w:rsidRDefault="00785714" w:rsidP="00811A8E">
            <w:pPr>
              <w:rPr>
                <w:lang w:eastAsia="en-AU" w:bidi="ar-SA"/>
              </w:rPr>
            </w:pPr>
            <w:r w:rsidRPr="00823719">
              <w:rPr>
                <w:lang w:eastAsia="en-AU" w:bidi="ar-SA"/>
              </w:rPr>
              <w:t>White crystals or white crystalline powder</w:t>
            </w:r>
          </w:p>
        </w:tc>
      </w:tr>
      <w:tr w:rsidR="00785714" w:rsidRPr="00823719" w14:paraId="60FC135E" w14:textId="77777777" w:rsidTr="00811A8E">
        <w:tc>
          <w:tcPr>
            <w:tcW w:w="2310" w:type="dxa"/>
          </w:tcPr>
          <w:p w14:paraId="7080EE81" w14:textId="034E2E01" w:rsidR="00785714" w:rsidRPr="00823719" w:rsidRDefault="00785714" w:rsidP="00811A8E">
            <w:pPr>
              <w:rPr>
                <w:lang w:eastAsia="en-AU" w:bidi="ar-SA"/>
              </w:rPr>
            </w:pPr>
            <w:r w:rsidRPr="00823719">
              <w:rPr>
                <w:lang w:eastAsia="en-AU" w:bidi="ar-SA"/>
              </w:rPr>
              <w:t xml:space="preserve">Water solubility </w:t>
            </w:r>
            <w:r>
              <w:rPr>
                <w:lang w:eastAsia="en-AU" w:bidi="ar-SA"/>
              </w:rPr>
              <w:t>(</w:t>
            </w:r>
            <w:r w:rsidRPr="00823719">
              <w:rPr>
                <w:lang w:eastAsia="en-AU" w:bidi="ar-SA"/>
              </w:rPr>
              <w:t>g/L</w:t>
            </w:r>
            <w:r>
              <w:rPr>
                <w:lang w:eastAsia="en-AU" w:bidi="ar-SA"/>
              </w:rPr>
              <w:t xml:space="preserve"> at </w:t>
            </w:r>
            <w:r w:rsidRPr="00823719">
              <w:rPr>
                <w:lang w:eastAsia="en-AU" w:bidi="ar-SA"/>
              </w:rPr>
              <w:t>20</w:t>
            </w:r>
            <w:r w:rsidRPr="00823719">
              <w:rPr>
                <w:rFonts w:cs="Arial"/>
                <w:lang w:eastAsia="en-AU" w:bidi="ar-SA"/>
              </w:rPr>
              <w:t>°</w:t>
            </w:r>
            <w:r w:rsidRPr="00823719">
              <w:rPr>
                <w:lang w:eastAsia="en-AU" w:bidi="ar-SA"/>
              </w:rPr>
              <w:t>C)</w:t>
            </w:r>
          </w:p>
        </w:tc>
        <w:tc>
          <w:tcPr>
            <w:tcW w:w="3327" w:type="dxa"/>
          </w:tcPr>
          <w:p w14:paraId="1D4AAD52" w14:textId="09AC300E" w:rsidR="00785714" w:rsidRPr="00823719" w:rsidRDefault="00785714" w:rsidP="005600B9">
            <w:pPr>
              <w:rPr>
                <w:lang w:eastAsia="en-AU" w:bidi="ar-SA"/>
              </w:rPr>
            </w:pPr>
            <w:r w:rsidRPr="00823719">
              <w:rPr>
                <w:lang w:eastAsia="en-AU" w:bidi="ar-SA"/>
              </w:rPr>
              <w:t>Highly soluble, 2,500</w:t>
            </w:r>
          </w:p>
        </w:tc>
        <w:tc>
          <w:tcPr>
            <w:tcW w:w="3543" w:type="dxa"/>
          </w:tcPr>
          <w:p w14:paraId="54E7F057" w14:textId="0C3A01C8" w:rsidR="00785714" w:rsidRPr="00823719" w:rsidRDefault="00785714" w:rsidP="005600B9">
            <w:pPr>
              <w:rPr>
                <w:lang w:eastAsia="en-AU" w:bidi="ar-SA"/>
              </w:rPr>
            </w:pPr>
            <w:r w:rsidRPr="00823719">
              <w:rPr>
                <w:lang w:eastAsia="en-AU" w:bidi="ar-SA"/>
              </w:rPr>
              <w:t xml:space="preserve">Highly soluble, &gt;1,000 </w:t>
            </w:r>
          </w:p>
        </w:tc>
      </w:tr>
      <w:tr w:rsidR="00785714" w:rsidRPr="00823719" w14:paraId="0A923567" w14:textId="77777777" w:rsidTr="00811A8E">
        <w:tc>
          <w:tcPr>
            <w:tcW w:w="2310" w:type="dxa"/>
          </w:tcPr>
          <w:p w14:paraId="417FEE37" w14:textId="77777777" w:rsidR="00785714" w:rsidRPr="00823719" w:rsidRDefault="00785714" w:rsidP="00811A8E">
            <w:pPr>
              <w:rPr>
                <w:lang w:eastAsia="en-AU" w:bidi="ar-SA"/>
              </w:rPr>
            </w:pPr>
            <w:r w:rsidRPr="00823719">
              <w:rPr>
                <w:lang w:eastAsia="en-AU" w:bidi="ar-SA"/>
              </w:rPr>
              <w:t>Melting point (</w:t>
            </w:r>
            <w:r w:rsidRPr="00823719">
              <w:rPr>
                <w:rFonts w:cs="Arial"/>
                <w:lang w:eastAsia="en-AU" w:bidi="ar-SA"/>
              </w:rPr>
              <w:t>°</w:t>
            </w:r>
            <w:r w:rsidRPr="00823719">
              <w:rPr>
                <w:lang w:eastAsia="en-AU" w:bidi="ar-SA"/>
              </w:rPr>
              <w:t>C)</w:t>
            </w:r>
          </w:p>
        </w:tc>
        <w:tc>
          <w:tcPr>
            <w:tcW w:w="3327" w:type="dxa"/>
          </w:tcPr>
          <w:p w14:paraId="63E2917D" w14:textId="77777777" w:rsidR="00785714" w:rsidRPr="00823719" w:rsidRDefault="00785714" w:rsidP="00811A8E">
            <w:pPr>
              <w:rPr>
                <w:lang w:eastAsia="en-AU" w:bidi="ar-SA"/>
              </w:rPr>
            </w:pPr>
            <w:r w:rsidRPr="00823719">
              <w:rPr>
                <w:lang w:eastAsia="en-AU" w:bidi="ar-SA"/>
              </w:rPr>
              <w:t>185-195, decomposition without melting</w:t>
            </w:r>
          </w:p>
        </w:tc>
        <w:tc>
          <w:tcPr>
            <w:tcW w:w="3543" w:type="dxa"/>
          </w:tcPr>
          <w:p w14:paraId="05F45CA1" w14:textId="77777777" w:rsidR="00785714" w:rsidRPr="00823719" w:rsidRDefault="00785714" w:rsidP="00811A8E">
            <w:pPr>
              <w:rPr>
                <w:lang w:eastAsia="en-AU" w:bidi="ar-SA"/>
              </w:rPr>
            </w:pPr>
            <w:r w:rsidRPr="00823719">
              <w:rPr>
                <w:lang w:eastAsia="en-AU" w:bidi="ar-SA"/>
              </w:rPr>
              <w:t>171.1-173.7 (approx. 170 with decomposition)</w:t>
            </w:r>
          </w:p>
        </w:tc>
      </w:tr>
    </w:tbl>
    <w:p w14:paraId="6B62CE39" w14:textId="77777777" w:rsidR="00785714" w:rsidRPr="00E12CFA" w:rsidRDefault="00785714" w:rsidP="00785714">
      <w:pPr>
        <w:pStyle w:val="Heading2"/>
      </w:pPr>
      <w:bookmarkStart w:id="9" w:name="_Toc520888211"/>
      <w:r>
        <w:t>2.2</w:t>
      </w:r>
      <w:r>
        <w:tab/>
      </w:r>
      <w:r w:rsidRPr="00E12CFA">
        <w:t>Manufacturing methods</w:t>
      </w:r>
      <w:bookmarkEnd w:id="9"/>
      <w:r w:rsidRPr="00E12CFA">
        <w:t xml:space="preserve"> </w:t>
      </w:r>
    </w:p>
    <w:p w14:paraId="488E46D6" w14:textId="77777777" w:rsidR="00785714" w:rsidRPr="00530FCE" w:rsidRDefault="00785714" w:rsidP="00785714">
      <w:pPr>
        <w:rPr>
          <w:i/>
        </w:rPr>
      </w:pPr>
      <w:r w:rsidRPr="00530FCE">
        <w:rPr>
          <w:i/>
        </w:rPr>
        <w:t>L-carnitine</w:t>
      </w:r>
    </w:p>
    <w:p w14:paraId="15404966" w14:textId="77777777" w:rsidR="00785714" w:rsidRPr="00823719" w:rsidRDefault="00785714" w:rsidP="00785714"/>
    <w:p w14:paraId="5E4C96BC" w14:textId="77777777" w:rsidR="00785714" w:rsidRPr="00823719" w:rsidRDefault="00785714" w:rsidP="00785714">
      <w:r w:rsidRPr="00823719">
        <w:t xml:space="preserve">L-carnitine is produced via a two-step chemical synthesis process. Step one hydrogenates a solution of ethyl 4-chloroacetoacetate in ethanol using a chiral catalyst. The product of this </w:t>
      </w:r>
      <w:r w:rsidRPr="00823719">
        <w:lastRenderedPageBreak/>
        <w:t>reaction, ethyl (R)-4-chloro-3-hydroxybutyrate is then aminated using trimethylamine and hydrolysed with aqueous sodium hydroxide to produce L-carnitine. The aqueous L-carnitine solution is electrodialysed, precipitated and recrystallised in an organic solvent to purify the product, and subsequently dried.</w:t>
      </w:r>
    </w:p>
    <w:p w14:paraId="3B3F8B7B" w14:textId="77777777" w:rsidR="00785714" w:rsidRPr="00823719" w:rsidRDefault="00785714" w:rsidP="00785714">
      <w:pPr>
        <w:rPr>
          <w:lang w:bidi="ar-SA"/>
        </w:rPr>
      </w:pPr>
    </w:p>
    <w:p w14:paraId="0FD6B7B7" w14:textId="77777777" w:rsidR="00785714" w:rsidRPr="00530FCE" w:rsidRDefault="00785714" w:rsidP="00785714">
      <w:pPr>
        <w:rPr>
          <w:i/>
          <w:lang w:bidi="ar-SA"/>
        </w:rPr>
      </w:pPr>
      <w:r w:rsidRPr="00530FCE">
        <w:rPr>
          <w:i/>
          <w:lang w:bidi="ar-SA"/>
        </w:rPr>
        <w:t>L-</w:t>
      </w:r>
      <w:r>
        <w:rPr>
          <w:i/>
          <w:lang w:bidi="ar-SA"/>
        </w:rPr>
        <w:t>carnitine-L-tartrate</w:t>
      </w:r>
    </w:p>
    <w:p w14:paraId="3B52ACA4" w14:textId="77777777" w:rsidR="00785714" w:rsidRPr="00823719" w:rsidRDefault="00785714" w:rsidP="00785714">
      <w:pPr>
        <w:rPr>
          <w:lang w:bidi="ar-SA"/>
        </w:rPr>
      </w:pPr>
    </w:p>
    <w:p w14:paraId="6DB5DC27" w14:textId="77777777" w:rsidR="00785714" w:rsidRDefault="00785714" w:rsidP="00785714">
      <w:pPr>
        <w:rPr>
          <w:lang w:bidi="ar-SA"/>
        </w:rPr>
      </w:pPr>
      <w:r w:rsidRPr="00823719">
        <w:rPr>
          <w:lang w:bidi="ar-SA"/>
        </w:rPr>
        <w:t>L-</w:t>
      </w:r>
      <w:r>
        <w:rPr>
          <w:lang w:bidi="ar-SA"/>
        </w:rPr>
        <w:t>carnitine-L-tartrate</w:t>
      </w:r>
      <w:r w:rsidRPr="00823719">
        <w:rPr>
          <w:lang w:bidi="ar-SA"/>
        </w:rPr>
        <w:t xml:space="preserve"> is produced by combining a solution of L-tartaric acid in an organic solvent to an aqueous solution of L-carnitine. The combined solution is cooled to precipitate out the crystals of L-</w:t>
      </w:r>
      <w:r>
        <w:rPr>
          <w:lang w:bidi="ar-SA"/>
        </w:rPr>
        <w:t>carnitine-L-tartrate</w:t>
      </w:r>
      <w:r w:rsidRPr="00823719">
        <w:rPr>
          <w:lang w:bidi="ar-SA"/>
        </w:rPr>
        <w:t xml:space="preserve"> which is removed by centrifugation and then dried.</w:t>
      </w:r>
    </w:p>
    <w:p w14:paraId="74CBB66E" w14:textId="77777777" w:rsidR="00785714" w:rsidRPr="00823719" w:rsidRDefault="00785714" w:rsidP="00785714">
      <w:pPr>
        <w:pStyle w:val="Heading2"/>
        <w:rPr>
          <w:lang w:bidi="ar-SA"/>
        </w:rPr>
      </w:pPr>
      <w:bookmarkStart w:id="10" w:name="_Toc520888212"/>
      <w:r>
        <w:rPr>
          <w:lang w:bidi="ar-SA"/>
        </w:rPr>
        <w:t>2.3</w:t>
      </w:r>
      <w:r>
        <w:rPr>
          <w:lang w:bidi="ar-SA"/>
        </w:rPr>
        <w:tab/>
      </w:r>
      <w:r w:rsidRPr="00823719">
        <w:rPr>
          <w:lang w:bidi="ar-SA"/>
        </w:rPr>
        <w:t>Analytical methods</w:t>
      </w:r>
      <w:bookmarkEnd w:id="10"/>
    </w:p>
    <w:p w14:paraId="46229A50" w14:textId="451E556F" w:rsidR="00785714" w:rsidRPr="00823719" w:rsidRDefault="00785714" w:rsidP="00785714">
      <w:pPr>
        <w:rPr>
          <w:lang w:bidi="ar-SA"/>
        </w:rPr>
      </w:pPr>
      <w:r w:rsidRPr="00823719">
        <w:rPr>
          <w:lang w:bidi="ar-SA"/>
        </w:rPr>
        <w:t>EFSA (2012) provides information relating to the analysis of L-carnitine and L-</w:t>
      </w:r>
      <w:r>
        <w:rPr>
          <w:lang w:bidi="ar-SA"/>
        </w:rPr>
        <w:t>carnitine-L-tartrate</w:t>
      </w:r>
      <w:r w:rsidRPr="00823719">
        <w:rPr>
          <w:lang w:bidi="ar-SA"/>
        </w:rPr>
        <w:t xml:space="preserve"> as animal feed additives, in premixtures, in feedingstuffs and in water, in Appendix A of the report. These analytical methods were detailed in the dossier supplied by the Applicant for this L-carnitine </w:t>
      </w:r>
      <w:r w:rsidR="00E202CC">
        <w:rPr>
          <w:lang w:bidi="ar-SA"/>
        </w:rPr>
        <w:t>application</w:t>
      </w:r>
      <w:r w:rsidRPr="00823719">
        <w:rPr>
          <w:lang w:bidi="ar-SA"/>
        </w:rPr>
        <w:t>; (i.e. Lonza Benelux BV) to the European Commission for EFSA to complete the assessment. It is explained that the analytical method relies on an enzymatic reaction with</w:t>
      </w:r>
      <w:r>
        <w:rPr>
          <w:lang w:bidi="ar-SA"/>
        </w:rPr>
        <w:t xml:space="preserve"> L-carnitine</w:t>
      </w:r>
      <w:r w:rsidRPr="00823719">
        <w:rPr>
          <w:lang w:bidi="ar-SA"/>
        </w:rPr>
        <w:t>-acetyl-transferase which is specific for L-carnitine. The enzymatic reaction is then measured by various spectrophotometric methods. Different methods are used for different matrices as noted below:</w:t>
      </w:r>
    </w:p>
    <w:p w14:paraId="3886CEBF" w14:textId="77777777" w:rsidR="00785714" w:rsidRPr="00823719" w:rsidRDefault="00785714" w:rsidP="00785714">
      <w:pPr>
        <w:rPr>
          <w:lang w:bidi="ar-SA"/>
        </w:rPr>
      </w:pPr>
    </w:p>
    <w:p w14:paraId="26B64D81" w14:textId="77777777" w:rsidR="00785714" w:rsidRPr="00823719" w:rsidRDefault="00785714" w:rsidP="00785714">
      <w:pPr>
        <w:numPr>
          <w:ilvl w:val="0"/>
          <w:numId w:val="5"/>
        </w:numPr>
        <w:ind w:left="567" w:hanging="567"/>
        <w:contextualSpacing/>
        <w:rPr>
          <w:lang w:bidi="ar-SA"/>
        </w:rPr>
      </w:pPr>
      <w:r w:rsidRPr="00823719">
        <w:rPr>
          <w:lang w:bidi="ar-SA"/>
        </w:rPr>
        <w:t>Premixtures: ion chromatography with electrical conductivity detection (IC-ECD)</w:t>
      </w:r>
    </w:p>
    <w:p w14:paraId="3AC818B8" w14:textId="77777777" w:rsidR="00785714" w:rsidRPr="00823719" w:rsidRDefault="00785714" w:rsidP="00785714">
      <w:pPr>
        <w:numPr>
          <w:ilvl w:val="0"/>
          <w:numId w:val="5"/>
        </w:numPr>
        <w:ind w:left="567" w:hanging="567"/>
        <w:contextualSpacing/>
        <w:rPr>
          <w:lang w:bidi="ar-SA"/>
        </w:rPr>
      </w:pPr>
      <w:r w:rsidRPr="00823719">
        <w:rPr>
          <w:lang w:bidi="ar-SA"/>
        </w:rPr>
        <w:t>Feedingstuffs: reverse-phase High Performance Liquid Chromatography (RP-H</w:t>
      </w:r>
      <w:r>
        <w:rPr>
          <w:lang w:bidi="ar-SA"/>
        </w:rPr>
        <w:t>propionyl L-carnitine</w:t>
      </w:r>
      <w:r w:rsidRPr="00823719">
        <w:rPr>
          <w:lang w:bidi="ar-SA"/>
        </w:rPr>
        <w:t>) with fluorimetric detector</w:t>
      </w:r>
    </w:p>
    <w:p w14:paraId="29690FEE" w14:textId="77777777" w:rsidR="00785714" w:rsidRPr="00823719" w:rsidRDefault="00785714" w:rsidP="00785714">
      <w:pPr>
        <w:numPr>
          <w:ilvl w:val="0"/>
          <w:numId w:val="5"/>
        </w:numPr>
        <w:ind w:left="567" w:hanging="567"/>
        <w:contextualSpacing/>
        <w:rPr>
          <w:lang w:bidi="ar-SA"/>
        </w:rPr>
      </w:pPr>
      <w:r w:rsidRPr="00823719">
        <w:rPr>
          <w:lang w:bidi="ar-SA"/>
        </w:rPr>
        <w:t>Water: potentiometric titration with hydrochloric acid</w:t>
      </w:r>
    </w:p>
    <w:p w14:paraId="3E94E312" w14:textId="77777777" w:rsidR="00785714" w:rsidRPr="00823719" w:rsidRDefault="00785714" w:rsidP="00785714">
      <w:pPr>
        <w:rPr>
          <w:lang w:bidi="ar-SA"/>
        </w:rPr>
      </w:pPr>
    </w:p>
    <w:p w14:paraId="70D7F98F" w14:textId="77777777" w:rsidR="00785714" w:rsidRPr="00823719" w:rsidRDefault="00785714" w:rsidP="00785714">
      <w:pPr>
        <w:rPr>
          <w:lang w:bidi="ar-SA"/>
        </w:rPr>
      </w:pPr>
      <w:r w:rsidRPr="00823719">
        <w:rPr>
          <w:lang w:bidi="ar-SA"/>
        </w:rPr>
        <w:t>It is noted that L-carnitine is released from the L-</w:t>
      </w:r>
      <w:r>
        <w:rPr>
          <w:lang w:bidi="ar-SA"/>
        </w:rPr>
        <w:t>carnitine-L-tartrate</w:t>
      </w:r>
      <w:r w:rsidRPr="00823719">
        <w:rPr>
          <w:lang w:bidi="ar-SA"/>
        </w:rPr>
        <w:t xml:space="preserve"> salt during sample treatment (enzymatic reaction) so that any of the above analytical methods for determining L-carnitine in the different matrices are suitable to determine L-</w:t>
      </w:r>
      <w:r>
        <w:rPr>
          <w:lang w:bidi="ar-SA"/>
        </w:rPr>
        <w:t>carnitine-L-tartrate</w:t>
      </w:r>
      <w:r w:rsidRPr="00823719">
        <w:rPr>
          <w:lang w:bidi="ar-SA"/>
        </w:rPr>
        <w:t>, expressed as L-carnitine.</w:t>
      </w:r>
    </w:p>
    <w:p w14:paraId="288DE2DB" w14:textId="77777777" w:rsidR="00785714" w:rsidRPr="00823719" w:rsidRDefault="00785714" w:rsidP="00785714">
      <w:pPr>
        <w:rPr>
          <w:lang w:bidi="ar-SA"/>
        </w:rPr>
      </w:pPr>
    </w:p>
    <w:p w14:paraId="6644A16E" w14:textId="77777777" w:rsidR="00785714" w:rsidRDefault="00785714" w:rsidP="00785714">
      <w:pPr>
        <w:rPr>
          <w:lang w:bidi="ar-SA"/>
        </w:rPr>
      </w:pPr>
      <w:r w:rsidRPr="00823719">
        <w:rPr>
          <w:lang w:bidi="ar-SA"/>
        </w:rPr>
        <w:t xml:space="preserve">The analytical methods discussed in the EFSA </w:t>
      </w:r>
      <w:r>
        <w:rPr>
          <w:lang w:bidi="ar-SA"/>
        </w:rPr>
        <w:t>(</w:t>
      </w:r>
      <w:r w:rsidRPr="00823719">
        <w:rPr>
          <w:lang w:bidi="ar-SA"/>
        </w:rPr>
        <w:t>2012</w:t>
      </w:r>
      <w:r>
        <w:rPr>
          <w:lang w:bidi="ar-SA"/>
        </w:rPr>
        <w:t>)</w:t>
      </w:r>
      <w:r w:rsidRPr="00823719">
        <w:rPr>
          <w:lang w:bidi="ar-SA"/>
        </w:rPr>
        <w:t xml:space="preserve"> report and noted above are relatively specialised and have been developed in-house by the Applicant. If analytical methods are required to be developed for enforcement purposes then full analytical methods and assistance may need to be requested from the Applicant. It is noted that L-carnitine is already permitted to be added to some types of food products within Schedule 29 (Special purpose foods): infant formula products (S29—5), formulated supplementary sports foods (S29—19) and foods for special medical purposes (permitted form only) (S29—20).</w:t>
      </w:r>
    </w:p>
    <w:p w14:paraId="71F1E9CD" w14:textId="77777777" w:rsidR="00785714" w:rsidRPr="00823719" w:rsidRDefault="00785714" w:rsidP="00785714">
      <w:pPr>
        <w:pStyle w:val="Heading2"/>
        <w:rPr>
          <w:lang w:bidi="ar-SA"/>
        </w:rPr>
      </w:pPr>
      <w:bookmarkStart w:id="11" w:name="_Toc520888213"/>
      <w:r>
        <w:rPr>
          <w:lang w:bidi="ar-SA"/>
        </w:rPr>
        <w:t>2.4</w:t>
      </w:r>
      <w:r>
        <w:rPr>
          <w:lang w:bidi="ar-SA"/>
        </w:rPr>
        <w:tab/>
      </w:r>
      <w:r w:rsidRPr="00823719">
        <w:rPr>
          <w:lang w:bidi="ar-SA"/>
        </w:rPr>
        <w:t>Specifications</w:t>
      </w:r>
      <w:bookmarkEnd w:id="11"/>
      <w:r w:rsidRPr="00823719">
        <w:rPr>
          <w:lang w:bidi="ar-SA"/>
        </w:rPr>
        <w:t xml:space="preserve"> </w:t>
      </w:r>
    </w:p>
    <w:p w14:paraId="68A34C70" w14:textId="7E9A1C05" w:rsidR="00785714" w:rsidRPr="00823719" w:rsidRDefault="005C0F3A" w:rsidP="00785714">
      <w:pPr>
        <w:rPr>
          <w:lang w:bidi="ar-SA"/>
        </w:rPr>
      </w:pPr>
      <w:r>
        <w:rPr>
          <w:lang w:bidi="ar-SA"/>
        </w:rPr>
        <w:t xml:space="preserve">All nutritive substances </w:t>
      </w:r>
      <w:r w:rsidR="00785714" w:rsidRPr="00823719">
        <w:rPr>
          <w:lang w:bidi="ar-SA"/>
        </w:rPr>
        <w:t xml:space="preserve">permitted to be </w:t>
      </w:r>
      <w:r w:rsidR="00785714">
        <w:rPr>
          <w:lang w:bidi="ar-SA"/>
        </w:rPr>
        <w:t xml:space="preserve">added to food are required </w:t>
      </w:r>
      <w:r w:rsidR="00785714" w:rsidRPr="00823719">
        <w:rPr>
          <w:lang w:bidi="ar-SA"/>
        </w:rPr>
        <w:t>to have a specification of their identity and purity written into the Code with which the</w:t>
      </w:r>
      <w:r w:rsidR="005B6E4B">
        <w:rPr>
          <w:lang w:bidi="ar-SA"/>
        </w:rPr>
        <w:t xml:space="preserve"> substances</w:t>
      </w:r>
      <w:r w:rsidR="00785714" w:rsidRPr="00823719">
        <w:rPr>
          <w:lang w:bidi="ar-SA"/>
        </w:rPr>
        <w:t xml:space="preserve"> need to comply. Such specifications are contained within Schedule 3 (Identity and Purity)</w:t>
      </w:r>
      <w:r w:rsidR="00785714">
        <w:rPr>
          <w:lang w:bidi="ar-SA"/>
        </w:rPr>
        <w:t xml:space="preserve"> of the Code</w:t>
      </w:r>
      <w:r w:rsidR="00785714" w:rsidRPr="00823719">
        <w:rPr>
          <w:lang w:bidi="ar-SA"/>
        </w:rPr>
        <w:t>. Section S3—2 provides a list of primary sources of specifications which includes the Food Chemicals Codex (FCC) (paragraph S3—2(1)(c)) and the Joint FAO/WHO Expert Committee on Food Additives (JECFA) Combined Compendium of Food Additives specifications (paragraph S3—2(1)(b)). The European Commission Regulation (EU) No 231/2012 is also a primary reference of specifications (paragraph S3-2(1)(d)).</w:t>
      </w:r>
    </w:p>
    <w:p w14:paraId="5BB86557" w14:textId="77777777" w:rsidR="00785714" w:rsidRPr="00823719" w:rsidRDefault="00785714" w:rsidP="00785714">
      <w:pPr>
        <w:rPr>
          <w:lang w:bidi="ar-SA"/>
        </w:rPr>
      </w:pPr>
    </w:p>
    <w:p w14:paraId="4C148FB9" w14:textId="77777777" w:rsidR="00785714" w:rsidRPr="00823719" w:rsidRDefault="00785714" w:rsidP="00785714">
      <w:pPr>
        <w:rPr>
          <w:lang w:bidi="ar-SA"/>
        </w:rPr>
      </w:pPr>
      <w:r w:rsidRPr="00823719">
        <w:rPr>
          <w:lang w:bidi="ar-SA"/>
        </w:rPr>
        <w:t>Food Chemicals Codex contains a specification for L-carnitine but not for the salt of L-carnitine and L-tartaric acid, which is L-</w:t>
      </w:r>
      <w:r>
        <w:rPr>
          <w:lang w:bidi="ar-SA"/>
        </w:rPr>
        <w:t>carnitine-L-tartrate</w:t>
      </w:r>
      <w:r w:rsidRPr="00823719">
        <w:rPr>
          <w:lang w:bidi="ar-SA"/>
        </w:rPr>
        <w:t xml:space="preserve">. JECFA and the EU do not have specifications for L-carnitine. However L(+)-tartaric acid (INS 334) has its own specifications </w:t>
      </w:r>
      <w:r w:rsidRPr="00823719">
        <w:rPr>
          <w:lang w:bidi="ar-SA"/>
        </w:rPr>
        <w:lastRenderedPageBreak/>
        <w:t xml:space="preserve">in Food Chemicals Codex, the JECFA Combined Compendium of Food Additives specifications and the European Commission Regulation (EU) No 231/2012. </w:t>
      </w:r>
    </w:p>
    <w:p w14:paraId="4BDA933C" w14:textId="77777777" w:rsidR="00785714" w:rsidRPr="00823719" w:rsidRDefault="00785714" w:rsidP="00785714">
      <w:pPr>
        <w:rPr>
          <w:lang w:bidi="ar-SA"/>
        </w:rPr>
      </w:pPr>
    </w:p>
    <w:p w14:paraId="1B4F3546" w14:textId="77777777" w:rsidR="00785714" w:rsidRPr="00823719" w:rsidRDefault="00785714" w:rsidP="00785714">
      <w:pPr>
        <w:keepNext/>
        <w:keepLines/>
        <w:widowControl/>
        <w:ind w:left="1134" w:hanging="1134"/>
        <w:rPr>
          <w:rFonts w:cs="Arial"/>
          <w:b/>
          <w:lang w:bidi="ar-SA"/>
        </w:rPr>
      </w:pPr>
      <w:r w:rsidRPr="00823719">
        <w:rPr>
          <w:rFonts w:cs="Arial"/>
          <w:b/>
          <w:lang w:bidi="ar-SA"/>
        </w:rPr>
        <w:t>Table 2</w:t>
      </w:r>
      <w:r w:rsidRPr="00823719">
        <w:rPr>
          <w:rFonts w:cs="Arial"/>
          <w:b/>
          <w:lang w:bidi="ar-SA"/>
        </w:rPr>
        <w:tab/>
        <w:t>Specifications of L-carnitine compared to FCC specifications</w:t>
      </w:r>
    </w:p>
    <w:p w14:paraId="48BB750D" w14:textId="77777777" w:rsidR="00785714" w:rsidRPr="00823719" w:rsidRDefault="00785714" w:rsidP="00785714">
      <w:pPr>
        <w:keepNext/>
        <w:keepLines/>
        <w:widowControl/>
        <w:ind w:left="1134" w:hanging="1134"/>
        <w:rPr>
          <w:rFonts w:cs="Arial"/>
          <w:b/>
          <w:lang w:bidi="ar-SA"/>
        </w:rPr>
      </w:pPr>
    </w:p>
    <w:tbl>
      <w:tblPr>
        <w:tblStyle w:val="TableGrid4"/>
        <w:tblW w:w="8534" w:type="dxa"/>
        <w:tblInd w:w="392" w:type="dxa"/>
        <w:tblLook w:val="04A0" w:firstRow="1" w:lastRow="0" w:firstColumn="1" w:lastColumn="0" w:noHBand="0" w:noVBand="1"/>
        <w:tblCaption w:val="Specifications of L-carnitine compared to FCC specifications"/>
        <w:tblDescription w:val="Specifications of L-carnitine compared to FCC specifications"/>
      </w:tblPr>
      <w:tblGrid>
        <w:gridCol w:w="2054"/>
        <w:gridCol w:w="3049"/>
        <w:gridCol w:w="3431"/>
      </w:tblGrid>
      <w:tr w:rsidR="00785714" w:rsidRPr="00823719" w14:paraId="7393FAC0" w14:textId="77777777" w:rsidTr="00DF510F">
        <w:trPr>
          <w:tblHeader/>
        </w:trPr>
        <w:tc>
          <w:tcPr>
            <w:tcW w:w="2054" w:type="dxa"/>
          </w:tcPr>
          <w:p w14:paraId="5A865D85"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Parameter</w:t>
            </w:r>
          </w:p>
        </w:tc>
        <w:tc>
          <w:tcPr>
            <w:tcW w:w="3049" w:type="dxa"/>
          </w:tcPr>
          <w:p w14:paraId="6FBEA36F"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FCC</w:t>
            </w:r>
          </w:p>
        </w:tc>
        <w:tc>
          <w:tcPr>
            <w:tcW w:w="3431" w:type="dxa"/>
          </w:tcPr>
          <w:p w14:paraId="7F90DDA5"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Applicant’s specifications</w:t>
            </w:r>
          </w:p>
        </w:tc>
      </w:tr>
      <w:tr w:rsidR="00785714" w:rsidRPr="00823719" w14:paraId="03C343AD" w14:textId="77777777" w:rsidTr="00DF510F">
        <w:tc>
          <w:tcPr>
            <w:tcW w:w="2054" w:type="dxa"/>
          </w:tcPr>
          <w:p w14:paraId="0F0782AD"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Purity</w:t>
            </w:r>
          </w:p>
        </w:tc>
        <w:tc>
          <w:tcPr>
            <w:tcW w:w="3049" w:type="dxa"/>
          </w:tcPr>
          <w:p w14:paraId="2E2CE21E"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97.0 – 103 0 % </w:t>
            </w:r>
          </w:p>
        </w:tc>
        <w:tc>
          <w:tcPr>
            <w:tcW w:w="3431" w:type="dxa"/>
          </w:tcPr>
          <w:p w14:paraId="0AEB6661"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99.0 – 101.0 %</w:t>
            </w:r>
          </w:p>
        </w:tc>
      </w:tr>
      <w:tr w:rsidR="00785714" w:rsidRPr="00823719" w14:paraId="3127BA49" w14:textId="77777777" w:rsidTr="00DF510F">
        <w:tc>
          <w:tcPr>
            <w:tcW w:w="2054" w:type="dxa"/>
          </w:tcPr>
          <w:p w14:paraId="7507EC4E"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Water </w:t>
            </w:r>
          </w:p>
        </w:tc>
        <w:tc>
          <w:tcPr>
            <w:tcW w:w="3049" w:type="dxa"/>
          </w:tcPr>
          <w:p w14:paraId="4C016FD6"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≤4.0%</w:t>
            </w:r>
          </w:p>
        </w:tc>
        <w:tc>
          <w:tcPr>
            <w:tcW w:w="3431" w:type="dxa"/>
          </w:tcPr>
          <w:p w14:paraId="6E2C3630"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≤4.0%</w:t>
            </w:r>
          </w:p>
        </w:tc>
      </w:tr>
      <w:tr w:rsidR="00785714" w:rsidRPr="00823719" w14:paraId="1268ABD5" w14:textId="77777777" w:rsidTr="00DF510F">
        <w:tc>
          <w:tcPr>
            <w:tcW w:w="2054" w:type="dxa"/>
          </w:tcPr>
          <w:p w14:paraId="5C225D42"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Residue on ignition </w:t>
            </w:r>
          </w:p>
        </w:tc>
        <w:tc>
          <w:tcPr>
            <w:tcW w:w="3049" w:type="dxa"/>
          </w:tcPr>
          <w:p w14:paraId="2D60858B"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≤0.5%</w:t>
            </w:r>
          </w:p>
        </w:tc>
        <w:tc>
          <w:tcPr>
            <w:tcW w:w="3431" w:type="dxa"/>
          </w:tcPr>
          <w:p w14:paraId="6AEFF3CB"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≤0.1%</w:t>
            </w:r>
          </w:p>
        </w:tc>
      </w:tr>
      <w:tr w:rsidR="00785714" w:rsidRPr="00823719" w14:paraId="71FE401A" w14:textId="77777777" w:rsidTr="00DF510F">
        <w:tc>
          <w:tcPr>
            <w:tcW w:w="2054" w:type="dxa"/>
          </w:tcPr>
          <w:p w14:paraId="5494D23C"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Specific rotation [α]</w:t>
            </w:r>
            <w:r w:rsidRPr="00823719">
              <w:rPr>
                <w:rFonts w:cs="Arial"/>
                <w:sz w:val="20"/>
                <w:szCs w:val="20"/>
                <w:vertAlign w:val="subscript"/>
                <w:lang w:bidi="ar-SA"/>
              </w:rPr>
              <w:t>D</w:t>
            </w:r>
            <w:r w:rsidRPr="00823719">
              <w:rPr>
                <w:rFonts w:cs="Arial"/>
                <w:sz w:val="20"/>
                <w:szCs w:val="20"/>
                <w:vertAlign w:val="superscript"/>
                <w:lang w:bidi="ar-SA"/>
              </w:rPr>
              <w:t>20</w:t>
            </w:r>
          </w:p>
        </w:tc>
        <w:tc>
          <w:tcPr>
            <w:tcW w:w="3049" w:type="dxa"/>
          </w:tcPr>
          <w:p w14:paraId="6C52290D"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Between -29.0</w:t>
            </w:r>
            <w:r w:rsidRPr="00823719">
              <w:rPr>
                <w:rFonts w:cs="Arial"/>
                <w:sz w:val="20"/>
                <w:szCs w:val="20"/>
                <w:lang w:eastAsia="en-AU" w:bidi="ar-SA"/>
              </w:rPr>
              <w:t>°</w:t>
            </w:r>
            <w:r w:rsidRPr="00823719">
              <w:rPr>
                <w:rFonts w:cs="Arial"/>
                <w:sz w:val="20"/>
                <w:szCs w:val="20"/>
                <w:lang w:bidi="ar-SA"/>
              </w:rPr>
              <w:t xml:space="preserve"> and -32.0</w:t>
            </w:r>
            <w:r w:rsidRPr="00823719">
              <w:rPr>
                <w:rFonts w:cs="Arial"/>
                <w:sz w:val="20"/>
                <w:szCs w:val="20"/>
                <w:lang w:eastAsia="en-AU" w:bidi="ar-SA"/>
              </w:rPr>
              <w:t>°</w:t>
            </w:r>
          </w:p>
        </w:tc>
        <w:tc>
          <w:tcPr>
            <w:tcW w:w="3431" w:type="dxa"/>
          </w:tcPr>
          <w:p w14:paraId="26FDCF16"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Between -29.0</w:t>
            </w:r>
            <w:r w:rsidRPr="00823719">
              <w:rPr>
                <w:rFonts w:cs="Arial"/>
                <w:sz w:val="20"/>
                <w:szCs w:val="20"/>
                <w:lang w:eastAsia="en-AU" w:bidi="ar-SA"/>
              </w:rPr>
              <w:t>°</w:t>
            </w:r>
            <w:r w:rsidRPr="00823719">
              <w:rPr>
                <w:rFonts w:cs="Arial"/>
                <w:sz w:val="20"/>
                <w:szCs w:val="20"/>
                <w:lang w:bidi="ar-SA"/>
              </w:rPr>
              <w:t xml:space="preserve"> and -32.0</w:t>
            </w:r>
            <w:r w:rsidRPr="00823719">
              <w:rPr>
                <w:rFonts w:cs="Arial"/>
                <w:sz w:val="20"/>
                <w:szCs w:val="20"/>
                <w:lang w:eastAsia="en-AU" w:bidi="ar-SA"/>
              </w:rPr>
              <w:t>°</w:t>
            </w:r>
          </w:p>
        </w:tc>
      </w:tr>
      <w:tr w:rsidR="00785714" w:rsidRPr="00823719" w14:paraId="7882E7D2" w14:textId="77777777" w:rsidTr="00DF510F">
        <w:tc>
          <w:tcPr>
            <w:tcW w:w="2054" w:type="dxa"/>
          </w:tcPr>
          <w:p w14:paraId="41EE1FBA"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Lead mg/kg</w:t>
            </w:r>
          </w:p>
        </w:tc>
        <w:tc>
          <w:tcPr>
            <w:tcW w:w="3049" w:type="dxa"/>
          </w:tcPr>
          <w:p w14:paraId="67440D31"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≤1</w:t>
            </w:r>
          </w:p>
        </w:tc>
        <w:tc>
          <w:tcPr>
            <w:tcW w:w="3431" w:type="dxa"/>
          </w:tcPr>
          <w:p w14:paraId="38BAFCD9"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≤10 for heavy metals as lead</w:t>
            </w:r>
          </w:p>
        </w:tc>
      </w:tr>
    </w:tbl>
    <w:p w14:paraId="51045F12" w14:textId="77777777" w:rsidR="00785714" w:rsidRPr="00823719" w:rsidRDefault="00785714" w:rsidP="00785714">
      <w:pPr>
        <w:rPr>
          <w:lang w:bidi="ar-SA"/>
        </w:rPr>
      </w:pPr>
    </w:p>
    <w:p w14:paraId="2FC01214" w14:textId="77777777" w:rsidR="00785714" w:rsidRPr="00823719" w:rsidRDefault="00785714" w:rsidP="00785714">
      <w:pPr>
        <w:keepNext/>
        <w:keepLines/>
        <w:widowControl/>
        <w:ind w:left="1134" w:hanging="1134"/>
        <w:rPr>
          <w:rFonts w:cs="Arial"/>
          <w:b/>
          <w:lang w:bidi="ar-SA"/>
        </w:rPr>
      </w:pPr>
      <w:r w:rsidRPr="00823719">
        <w:rPr>
          <w:rFonts w:cs="Arial"/>
          <w:b/>
          <w:lang w:bidi="ar-SA"/>
        </w:rPr>
        <w:t>Table 3</w:t>
      </w:r>
      <w:r w:rsidRPr="00823719">
        <w:rPr>
          <w:rFonts w:cs="Arial"/>
          <w:b/>
          <w:lang w:bidi="ar-SA"/>
        </w:rPr>
        <w:tab/>
        <w:t xml:space="preserve">Specifications of L(+)-tartrate, comparison of JECFA, FCC and EU </w:t>
      </w:r>
    </w:p>
    <w:p w14:paraId="76824940" w14:textId="77777777" w:rsidR="00785714" w:rsidRPr="00823719" w:rsidRDefault="00785714" w:rsidP="00785714">
      <w:pPr>
        <w:keepNext/>
        <w:keepLines/>
        <w:widowControl/>
        <w:ind w:left="1134" w:hanging="1134"/>
        <w:rPr>
          <w:rFonts w:cs="Arial"/>
          <w:b/>
          <w:lang w:bidi="ar-SA"/>
        </w:rPr>
      </w:pPr>
    </w:p>
    <w:tbl>
      <w:tblPr>
        <w:tblStyle w:val="TableGrid4"/>
        <w:tblW w:w="8505" w:type="dxa"/>
        <w:tblInd w:w="392" w:type="dxa"/>
        <w:tblLook w:val="04A0" w:firstRow="1" w:lastRow="0" w:firstColumn="1" w:lastColumn="0" w:noHBand="0" w:noVBand="1"/>
        <w:tblCaption w:val="Specifications of L(+)-tartrate, comparison of JECFA, FCC and EU "/>
        <w:tblDescription w:val="Specifications of L(+)-tartrate, comparison of JECFA, FCC and EU "/>
      </w:tblPr>
      <w:tblGrid>
        <w:gridCol w:w="2054"/>
        <w:gridCol w:w="2198"/>
        <w:gridCol w:w="2127"/>
        <w:gridCol w:w="2126"/>
      </w:tblGrid>
      <w:tr w:rsidR="00785714" w:rsidRPr="00823719" w14:paraId="6BF623DE" w14:textId="77777777" w:rsidTr="006477C1">
        <w:trPr>
          <w:tblHeader/>
        </w:trPr>
        <w:tc>
          <w:tcPr>
            <w:tcW w:w="2054" w:type="dxa"/>
          </w:tcPr>
          <w:p w14:paraId="7F412118"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Parameter</w:t>
            </w:r>
          </w:p>
        </w:tc>
        <w:tc>
          <w:tcPr>
            <w:tcW w:w="2198" w:type="dxa"/>
          </w:tcPr>
          <w:p w14:paraId="009F97E0"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 xml:space="preserve">JECFA </w:t>
            </w:r>
          </w:p>
        </w:tc>
        <w:tc>
          <w:tcPr>
            <w:tcW w:w="2127" w:type="dxa"/>
          </w:tcPr>
          <w:p w14:paraId="05920D1F"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FCC</w:t>
            </w:r>
          </w:p>
        </w:tc>
        <w:tc>
          <w:tcPr>
            <w:tcW w:w="2126" w:type="dxa"/>
          </w:tcPr>
          <w:p w14:paraId="4F0E2033"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EU</w:t>
            </w:r>
          </w:p>
        </w:tc>
      </w:tr>
      <w:tr w:rsidR="00785714" w:rsidRPr="00823719" w14:paraId="7754EE83" w14:textId="77777777" w:rsidTr="00811A8E">
        <w:tc>
          <w:tcPr>
            <w:tcW w:w="2054" w:type="dxa"/>
          </w:tcPr>
          <w:p w14:paraId="5CCAE658"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Assay</w:t>
            </w:r>
          </w:p>
        </w:tc>
        <w:tc>
          <w:tcPr>
            <w:tcW w:w="2198" w:type="dxa"/>
          </w:tcPr>
          <w:p w14:paraId="6EF3B0FB"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99.5% dried basis</w:t>
            </w:r>
          </w:p>
        </w:tc>
        <w:tc>
          <w:tcPr>
            <w:tcW w:w="2127" w:type="dxa"/>
          </w:tcPr>
          <w:p w14:paraId="15D9866C"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99.7%, ≤100.5% dried basis</w:t>
            </w:r>
          </w:p>
        </w:tc>
        <w:tc>
          <w:tcPr>
            <w:tcW w:w="2126" w:type="dxa"/>
          </w:tcPr>
          <w:p w14:paraId="55068CD0" w14:textId="77777777" w:rsidR="00785714" w:rsidRPr="00823719" w:rsidRDefault="00785714" w:rsidP="00811A8E">
            <w:pPr>
              <w:keepNext/>
              <w:keepLines/>
              <w:widowControl/>
              <w:numPr>
                <w:ilvl w:val="0"/>
                <w:numId w:val="2"/>
              </w:numPr>
              <w:ind w:left="0" w:firstLine="0"/>
              <w:rPr>
                <w:rFonts w:cs="Arial"/>
                <w:sz w:val="20"/>
                <w:szCs w:val="20"/>
                <w:vertAlign w:val="superscript"/>
                <w:lang w:bidi="ar-SA"/>
              </w:rPr>
            </w:pPr>
            <w:r w:rsidRPr="00823719">
              <w:rPr>
                <w:rFonts w:cs="Arial"/>
                <w:sz w:val="20"/>
                <w:szCs w:val="20"/>
                <w:lang w:bidi="ar-SA"/>
              </w:rPr>
              <w:t>≥ 99.5% dried basis</w:t>
            </w:r>
          </w:p>
        </w:tc>
      </w:tr>
      <w:tr w:rsidR="00785714" w:rsidRPr="00823719" w14:paraId="08AE5232" w14:textId="77777777" w:rsidTr="00811A8E">
        <w:tc>
          <w:tcPr>
            <w:tcW w:w="2054" w:type="dxa"/>
          </w:tcPr>
          <w:p w14:paraId="104F0776"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Loss on drying</w:t>
            </w:r>
          </w:p>
        </w:tc>
        <w:tc>
          <w:tcPr>
            <w:tcW w:w="2198" w:type="dxa"/>
          </w:tcPr>
          <w:p w14:paraId="42DDF4B0"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≤0.5% (3 hr over P</w:t>
            </w:r>
            <w:r w:rsidRPr="00823719">
              <w:rPr>
                <w:rFonts w:cs="Arial"/>
                <w:sz w:val="20"/>
                <w:szCs w:val="20"/>
                <w:vertAlign w:val="subscript"/>
                <w:lang w:bidi="ar-SA"/>
              </w:rPr>
              <w:t>2</w:t>
            </w:r>
            <w:r w:rsidRPr="00823719">
              <w:rPr>
                <w:rFonts w:cs="Arial"/>
                <w:sz w:val="20"/>
                <w:szCs w:val="20"/>
                <w:lang w:bidi="ar-SA"/>
              </w:rPr>
              <w:t>O</w:t>
            </w:r>
            <w:r w:rsidRPr="00823719">
              <w:rPr>
                <w:rFonts w:cs="Arial"/>
                <w:sz w:val="20"/>
                <w:szCs w:val="20"/>
                <w:vertAlign w:val="subscript"/>
                <w:lang w:bidi="ar-SA"/>
              </w:rPr>
              <w:t>5</w:t>
            </w:r>
            <w:r w:rsidRPr="00823719">
              <w:rPr>
                <w:rFonts w:cs="Arial"/>
                <w:sz w:val="20"/>
                <w:szCs w:val="20"/>
                <w:lang w:bidi="ar-SA"/>
              </w:rPr>
              <w:t>)</w:t>
            </w:r>
          </w:p>
        </w:tc>
        <w:tc>
          <w:tcPr>
            <w:tcW w:w="2127" w:type="dxa"/>
          </w:tcPr>
          <w:p w14:paraId="5800CDF7"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≤0.5% (3 hr over P</w:t>
            </w:r>
            <w:r w:rsidRPr="00823719">
              <w:rPr>
                <w:rFonts w:cs="Arial"/>
                <w:sz w:val="20"/>
                <w:szCs w:val="20"/>
                <w:vertAlign w:val="subscript"/>
                <w:lang w:bidi="ar-SA"/>
              </w:rPr>
              <w:t>2</w:t>
            </w:r>
            <w:r w:rsidRPr="00823719">
              <w:rPr>
                <w:rFonts w:cs="Arial"/>
                <w:sz w:val="20"/>
                <w:szCs w:val="20"/>
                <w:lang w:bidi="ar-SA"/>
              </w:rPr>
              <w:t>O</w:t>
            </w:r>
            <w:r w:rsidRPr="00823719">
              <w:rPr>
                <w:rFonts w:cs="Arial"/>
                <w:sz w:val="20"/>
                <w:szCs w:val="20"/>
                <w:vertAlign w:val="subscript"/>
                <w:lang w:bidi="ar-SA"/>
              </w:rPr>
              <w:t>5</w:t>
            </w:r>
            <w:r w:rsidRPr="00823719">
              <w:rPr>
                <w:rFonts w:cs="Arial"/>
                <w:sz w:val="20"/>
                <w:szCs w:val="20"/>
                <w:lang w:bidi="ar-SA"/>
              </w:rPr>
              <w:t>)</w:t>
            </w:r>
          </w:p>
        </w:tc>
        <w:tc>
          <w:tcPr>
            <w:tcW w:w="2126" w:type="dxa"/>
          </w:tcPr>
          <w:p w14:paraId="31EA6841"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≤0.5% (3 hr over P</w:t>
            </w:r>
            <w:r w:rsidRPr="00823719">
              <w:rPr>
                <w:rFonts w:cs="Arial"/>
                <w:sz w:val="20"/>
                <w:szCs w:val="20"/>
                <w:vertAlign w:val="subscript"/>
                <w:lang w:bidi="ar-SA"/>
              </w:rPr>
              <w:t>2</w:t>
            </w:r>
            <w:r w:rsidRPr="00823719">
              <w:rPr>
                <w:rFonts w:cs="Arial"/>
                <w:sz w:val="20"/>
                <w:szCs w:val="20"/>
                <w:lang w:bidi="ar-SA"/>
              </w:rPr>
              <w:t>O</w:t>
            </w:r>
            <w:r w:rsidRPr="00823719">
              <w:rPr>
                <w:rFonts w:cs="Arial"/>
                <w:sz w:val="20"/>
                <w:szCs w:val="20"/>
                <w:vertAlign w:val="subscript"/>
                <w:lang w:bidi="ar-SA"/>
              </w:rPr>
              <w:t>5</w:t>
            </w:r>
            <w:r w:rsidRPr="00823719">
              <w:rPr>
                <w:rFonts w:cs="Arial"/>
                <w:sz w:val="20"/>
                <w:szCs w:val="20"/>
                <w:lang w:bidi="ar-SA"/>
              </w:rPr>
              <w:t>)</w:t>
            </w:r>
          </w:p>
        </w:tc>
      </w:tr>
      <w:tr w:rsidR="00785714" w:rsidRPr="00823719" w14:paraId="3B0740F5" w14:textId="77777777" w:rsidTr="00811A8E">
        <w:tc>
          <w:tcPr>
            <w:tcW w:w="2054" w:type="dxa"/>
          </w:tcPr>
          <w:p w14:paraId="2293EDB5"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Melting point </w:t>
            </w:r>
            <w:r w:rsidRPr="00823719">
              <w:rPr>
                <w:rFonts w:cs="Arial"/>
                <w:sz w:val="20"/>
                <w:szCs w:val="20"/>
                <w:lang w:eastAsia="en-AU" w:bidi="ar-SA"/>
              </w:rPr>
              <w:t>(°C)</w:t>
            </w:r>
          </w:p>
        </w:tc>
        <w:tc>
          <w:tcPr>
            <w:tcW w:w="2198" w:type="dxa"/>
          </w:tcPr>
          <w:p w14:paraId="2012EC4F" w14:textId="77777777" w:rsidR="00785714" w:rsidRPr="00823719" w:rsidRDefault="00785714" w:rsidP="00811A8E">
            <w:pPr>
              <w:keepNext/>
              <w:keepLines/>
              <w:widowControl/>
              <w:numPr>
                <w:ilvl w:val="0"/>
                <w:numId w:val="2"/>
              </w:numPr>
              <w:ind w:left="0" w:firstLine="0"/>
              <w:rPr>
                <w:rFonts w:cs="Arial"/>
                <w:sz w:val="20"/>
                <w:szCs w:val="20"/>
                <w:lang w:bidi="ar-SA"/>
              </w:rPr>
            </w:pPr>
          </w:p>
        </w:tc>
        <w:tc>
          <w:tcPr>
            <w:tcW w:w="2127" w:type="dxa"/>
          </w:tcPr>
          <w:p w14:paraId="110044FB" w14:textId="77777777" w:rsidR="00785714" w:rsidRPr="00823719" w:rsidRDefault="00785714" w:rsidP="00811A8E">
            <w:pPr>
              <w:keepNext/>
              <w:keepLines/>
              <w:widowControl/>
              <w:numPr>
                <w:ilvl w:val="0"/>
                <w:numId w:val="2"/>
              </w:numPr>
              <w:ind w:left="0" w:firstLine="0"/>
              <w:rPr>
                <w:rFonts w:cs="Arial"/>
                <w:sz w:val="20"/>
                <w:szCs w:val="20"/>
                <w:lang w:bidi="ar-SA"/>
              </w:rPr>
            </w:pPr>
          </w:p>
        </w:tc>
        <w:tc>
          <w:tcPr>
            <w:tcW w:w="2126" w:type="dxa"/>
          </w:tcPr>
          <w:p w14:paraId="52630017"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168-170</w:t>
            </w:r>
          </w:p>
        </w:tc>
      </w:tr>
      <w:tr w:rsidR="00785714" w:rsidRPr="00823719" w14:paraId="06DB2AB4" w14:textId="77777777" w:rsidTr="00811A8E">
        <w:tc>
          <w:tcPr>
            <w:tcW w:w="2054" w:type="dxa"/>
          </w:tcPr>
          <w:p w14:paraId="2053BF3D"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Specific rotation</w:t>
            </w:r>
          </w:p>
          <w:p w14:paraId="47DC3E88" w14:textId="77777777" w:rsidR="00785714" w:rsidRPr="00823719" w:rsidRDefault="00785714" w:rsidP="00811A8E">
            <w:pPr>
              <w:keepNext/>
              <w:keepLines/>
              <w:widowControl/>
              <w:numPr>
                <w:ilvl w:val="0"/>
                <w:numId w:val="2"/>
              </w:numPr>
              <w:ind w:left="0" w:firstLine="0"/>
              <w:rPr>
                <w:rFonts w:cs="Arial"/>
                <w:sz w:val="20"/>
                <w:szCs w:val="20"/>
                <w:vertAlign w:val="superscript"/>
                <w:lang w:bidi="ar-SA"/>
              </w:rPr>
            </w:pPr>
          </w:p>
        </w:tc>
        <w:tc>
          <w:tcPr>
            <w:tcW w:w="2198" w:type="dxa"/>
          </w:tcPr>
          <w:p w14:paraId="6757CA29" w14:textId="77777777" w:rsidR="00785714" w:rsidRPr="00823719" w:rsidRDefault="00785714" w:rsidP="00811A8E">
            <w:pPr>
              <w:keepNext/>
              <w:keepLines/>
              <w:widowControl/>
              <w:numPr>
                <w:ilvl w:val="0"/>
                <w:numId w:val="2"/>
              </w:numPr>
              <w:ind w:left="0" w:firstLine="0"/>
              <w:rPr>
                <w:rFonts w:cs="Arial"/>
                <w:sz w:val="20"/>
                <w:szCs w:val="20"/>
                <w:vertAlign w:val="superscript"/>
                <w:lang w:bidi="ar-SA"/>
              </w:rPr>
            </w:pPr>
            <w:r w:rsidRPr="00823719">
              <w:rPr>
                <w:rFonts w:cs="Arial"/>
                <w:sz w:val="20"/>
                <w:szCs w:val="20"/>
                <w:lang w:bidi="ar-SA"/>
              </w:rPr>
              <w:t>[α]</w:t>
            </w:r>
            <w:r w:rsidRPr="00823719">
              <w:rPr>
                <w:rFonts w:cs="Arial"/>
                <w:sz w:val="20"/>
                <w:szCs w:val="20"/>
                <w:vertAlign w:val="subscript"/>
                <w:lang w:bidi="ar-SA"/>
              </w:rPr>
              <w:t>D</w:t>
            </w:r>
            <w:r w:rsidRPr="00823719">
              <w:rPr>
                <w:rFonts w:cs="Arial"/>
                <w:sz w:val="20"/>
                <w:szCs w:val="20"/>
                <w:vertAlign w:val="superscript"/>
                <w:lang w:bidi="ar-SA"/>
              </w:rPr>
              <w:t>20</w:t>
            </w:r>
          </w:p>
          <w:p w14:paraId="2DF3702C"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Between +11.5</w:t>
            </w:r>
            <w:r w:rsidRPr="00823719">
              <w:rPr>
                <w:rFonts w:cs="Arial"/>
                <w:sz w:val="20"/>
                <w:szCs w:val="20"/>
                <w:lang w:eastAsia="en-AU" w:bidi="ar-SA"/>
              </w:rPr>
              <w:t>°</w:t>
            </w:r>
            <w:r w:rsidRPr="00823719">
              <w:rPr>
                <w:rFonts w:cs="Arial"/>
                <w:sz w:val="20"/>
                <w:szCs w:val="20"/>
                <w:lang w:bidi="ar-SA"/>
              </w:rPr>
              <w:t xml:space="preserve"> and +13.5</w:t>
            </w:r>
            <w:r w:rsidRPr="00823719">
              <w:rPr>
                <w:rFonts w:cs="Arial"/>
                <w:sz w:val="20"/>
                <w:szCs w:val="20"/>
                <w:lang w:eastAsia="en-AU" w:bidi="ar-SA"/>
              </w:rPr>
              <w:t>°</w:t>
            </w:r>
          </w:p>
        </w:tc>
        <w:tc>
          <w:tcPr>
            <w:tcW w:w="2127" w:type="dxa"/>
          </w:tcPr>
          <w:p w14:paraId="6F230353" w14:textId="77777777" w:rsidR="00785714" w:rsidRPr="00823719" w:rsidRDefault="00785714" w:rsidP="00811A8E">
            <w:pPr>
              <w:keepNext/>
              <w:keepLines/>
              <w:widowControl/>
              <w:numPr>
                <w:ilvl w:val="0"/>
                <w:numId w:val="2"/>
              </w:numPr>
              <w:ind w:left="0" w:firstLine="0"/>
              <w:rPr>
                <w:rFonts w:cs="Arial"/>
                <w:sz w:val="20"/>
                <w:szCs w:val="20"/>
                <w:vertAlign w:val="superscript"/>
                <w:lang w:bidi="ar-SA"/>
              </w:rPr>
            </w:pPr>
            <w:r w:rsidRPr="00823719">
              <w:rPr>
                <w:rFonts w:cs="Arial"/>
                <w:sz w:val="20"/>
                <w:szCs w:val="20"/>
                <w:lang w:bidi="ar-SA"/>
              </w:rPr>
              <w:t>[α]</w:t>
            </w:r>
            <w:r w:rsidRPr="00823719">
              <w:rPr>
                <w:rFonts w:cs="Arial"/>
                <w:sz w:val="20"/>
                <w:szCs w:val="20"/>
                <w:vertAlign w:val="subscript"/>
                <w:lang w:bidi="ar-SA"/>
              </w:rPr>
              <w:t>D</w:t>
            </w:r>
            <w:r w:rsidRPr="00823719">
              <w:rPr>
                <w:rFonts w:cs="Arial"/>
                <w:sz w:val="20"/>
                <w:szCs w:val="20"/>
                <w:vertAlign w:val="superscript"/>
                <w:lang w:bidi="ar-SA"/>
              </w:rPr>
              <w:t>25</w:t>
            </w:r>
          </w:p>
          <w:p w14:paraId="2D4381F6"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Between +12.0</w:t>
            </w:r>
            <w:r w:rsidRPr="00823719">
              <w:rPr>
                <w:rFonts w:cs="Arial"/>
                <w:sz w:val="20"/>
                <w:szCs w:val="20"/>
                <w:lang w:eastAsia="en-AU" w:bidi="ar-SA"/>
              </w:rPr>
              <w:t xml:space="preserve">° </w:t>
            </w:r>
            <w:r w:rsidRPr="00823719">
              <w:rPr>
                <w:rFonts w:cs="Arial"/>
                <w:sz w:val="20"/>
                <w:szCs w:val="20"/>
                <w:lang w:bidi="ar-SA"/>
              </w:rPr>
              <w:t>and +13.0</w:t>
            </w:r>
            <w:r w:rsidRPr="00823719">
              <w:rPr>
                <w:rFonts w:cs="Arial"/>
                <w:sz w:val="20"/>
                <w:szCs w:val="20"/>
                <w:lang w:eastAsia="en-AU" w:bidi="ar-SA"/>
              </w:rPr>
              <w:t>°</w:t>
            </w:r>
          </w:p>
        </w:tc>
        <w:tc>
          <w:tcPr>
            <w:tcW w:w="2126" w:type="dxa"/>
          </w:tcPr>
          <w:p w14:paraId="11DD891F" w14:textId="77777777" w:rsidR="00785714" w:rsidRPr="00823719" w:rsidRDefault="00785714" w:rsidP="00811A8E">
            <w:pPr>
              <w:keepNext/>
              <w:keepLines/>
              <w:widowControl/>
              <w:numPr>
                <w:ilvl w:val="0"/>
                <w:numId w:val="2"/>
              </w:numPr>
              <w:ind w:left="0" w:firstLine="0"/>
              <w:rPr>
                <w:rFonts w:cs="Arial"/>
                <w:sz w:val="20"/>
                <w:szCs w:val="20"/>
                <w:vertAlign w:val="superscript"/>
                <w:lang w:bidi="ar-SA"/>
              </w:rPr>
            </w:pPr>
            <w:r w:rsidRPr="00823719">
              <w:rPr>
                <w:rFonts w:cs="Arial"/>
                <w:sz w:val="20"/>
                <w:szCs w:val="20"/>
                <w:lang w:bidi="ar-SA"/>
              </w:rPr>
              <w:t>[α]</w:t>
            </w:r>
            <w:r w:rsidRPr="00823719">
              <w:rPr>
                <w:rFonts w:cs="Arial"/>
                <w:sz w:val="20"/>
                <w:szCs w:val="20"/>
                <w:vertAlign w:val="subscript"/>
                <w:lang w:bidi="ar-SA"/>
              </w:rPr>
              <w:t>D</w:t>
            </w:r>
            <w:r w:rsidRPr="00823719">
              <w:rPr>
                <w:rFonts w:cs="Arial"/>
                <w:sz w:val="20"/>
                <w:szCs w:val="20"/>
                <w:vertAlign w:val="superscript"/>
                <w:lang w:bidi="ar-SA"/>
              </w:rPr>
              <w:t>20</w:t>
            </w:r>
          </w:p>
          <w:p w14:paraId="7AE21A10" w14:textId="77777777" w:rsidR="00785714" w:rsidRPr="00823719" w:rsidRDefault="00785714" w:rsidP="00811A8E">
            <w:pPr>
              <w:keepNext/>
              <w:keepLines/>
              <w:widowControl/>
              <w:numPr>
                <w:ilvl w:val="0"/>
                <w:numId w:val="2"/>
              </w:numPr>
              <w:ind w:left="0" w:firstLine="0"/>
              <w:rPr>
                <w:rFonts w:cs="Arial"/>
                <w:sz w:val="20"/>
                <w:szCs w:val="20"/>
                <w:lang w:eastAsia="en-AU" w:bidi="ar-SA"/>
              </w:rPr>
            </w:pPr>
            <w:r w:rsidRPr="00823719">
              <w:rPr>
                <w:rFonts w:cs="Arial"/>
                <w:sz w:val="20"/>
                <w:szCs w:val="20"/>
                <w:lang w:bidi="ar-SA"/>
              </w:rPr>
              <w:t>Between +11.5</w:t>
            </w:r>
            <w:r w:rsidRPr="00823719">
              <w:rPr>
                <w:rFonts w:cs="Arial"/>
                <w:sz w:val="20"/>
                <w:szCs w:val="20"/>
                <w:lang w:eastAsia="en-AU" w:bidi="ar-SA"/>
              </w:rPr>
              <w:t>°</w:t>
            </w:r>
            <w:r w:rsidRPr="00823719">
              <w:rPr>
                <w:rFonts w:cs="Arial"/>
                <w:sz w:val="20"/>
                <w:szCs w:val="20"/>
                <w:lang w:bidi="ar-SA"/>
              </w:rPr>
              <w:t xml:space="preserve"> and +13.5</w:t>
            </w:r>
            <w:r w:rsidRPr="00823719">
              <w:rPr>
                <w:rFonts w:cs="Arial"/>
                <w:sz w:val="20"/>
                <w:szCs w:val="20"/>
                <w:lang w:eastAsia="en-AU" w:bidi="ar-SA"/>
              </w:rPr>
              <w:t>°</w:t>
            </w:r>
          </w:p>
          <w:p w14:paraId="4F0ED3AB" w14:textId="77777777" w:rsidR="00785714" w:rsidRPr="00823719" w:rsidRDefault="00785714" w:rsidP="00811A8E">
            <w:pPr>
              <w:keepNext/>
              <w:keepLines/>
              <w:widowControl/>
              <w:numPr>
                <w:ilvl w:val="0"/>
                <w:numId w:val="2"/>
              </w:numPr>
              <w:ind w:left="0" w:firstLine="0"/>
              <w:rPr>
                <w:rFonts w:cs="Arial"/>
                <w:sz w:val="20"/>
                <w:szCs w:val="20"/>
                <w:lang w:bidi="ar-SA"/>
              </w:rPr>
            </w:pPr>
          </w:p>
        </w:tc>
      </w:tr>
      <w:tr w:rsidR="00785714" w:rsidRPr="00823719" w14:paraId="0A58B45A" w14:textId="77777777" w:rsidTr="00811A8E">
        <w:tc>
          <w:tcPr>
            <w:tcW w:w="2054" w:type="dxa"/>
          </w:tcPr>
          <w:p w14:paraId="2101FE3B"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Sulphated ash</w:t>
            </w:r>
          </w:p>
        </w:tc>
        <w:tc>
          <w:tcPr>
            <w:tcW w:w="2198" w:type="dxa"/>
          </w:tcPr>
          <w:p w14:paraId="6482D1CE"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≤0.1%</w:t>
            </w:r>
          </w:p>
        </w:tc>
        <w:tc>
          <w:tcPr>
            <w:tcW w:w="2127" w:type="dxa"/>
          </w:tcPr>
          <w:p w14:paraId="09B7CAC5"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≤0.05%</w:t>
            </w:r>
          </w:p>
        </w:tc>
        <w:tc>
          <w:tcPr>
            <w:tcW w:w="2126" w:type="dxa"/>
          </w:tcPr>
          <w:p w14:paraId="6AEA8F80"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≤0.1% (1000 mg/kg)</w:t>
            </w:r>
          </w:p>
          <w:p w14:paraId="43901A96" w14:textId="77777777" w:rsidR="00785714" w:rsidRPr="00823719" w:rsidRDefault="00785714" w:rsidP="00811A8E">
            <w:pPr>
              <w:keepNext/>
              <w:keepLines/>
              <w:widowControl/>
              <w:numPr>
                <w:ilvl w:val="0"/>
                <w:numId w:val="2"/>
              </w:numPr>
              <w:ind w:left="0" w:firstLine="0"/>
              <w:rPr>
                <w:rFonts w:cs="Arial"/>
                <w:sz w:val="20"/>
                <w:szCs w:val="20"/>
                <w:lang w:bidi="ar-SA"/>
              </w:rPr>
            </w:pPr>
          </w:p>
        </w:tc>
      </w:tr>
      <w:tr w:rsidR="00785714" w:rsidRPr="00823719" w14:paraId="26194427" w14:textId="77777777" w:rsidTr="00811A8E">
        <w:tc>
          <w:tcPr>
            <w:tcW w:w="2054" w:type="dxa"/>
          </w:tcPr>
          <w:p w14:paraId="080B9B98"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Lead (mg/kg)</w:t>
            </w:r>
          </w:p>
        </w:tc>
        <w:tc>
          <w:tcPr>
            <w:tcW w:w="2198" w:type="dxa"/>
          </w:tcPr>
          <w:p w14:paraId="405CC0DA"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≤2 </w:t>
            </w:r>
          </w:p>
        </w:tc>
        <w:tc>
          <w:tcPr>
            <w:tcW w:w="2127" w:type="dxa"/>
          </w:tcPr>
          <w:p w14:paraId="415F5299"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≤2</w:t>
            </w:r>
          </w:p>
        </w:tc>
        <w:tc>
          <w:tcPr>
            <w:tcW w:w="2126" w:type="dxa"/>
          </w:tcPr>
          <w:p w14:paraId="00F0848A"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≤2</w:t>
            </w:r>
          </w:p>
        </w:tc>
      </w:tr>
      <w:tr w:rsidR="00785714" w:rsidRPr="00823719" w14:paraId="5EE603DA" w14:textId="77777777" w:rsidTr="00811A8E">
        <w:tc>
          <w:tcPr>
            <w:tcW w:w="2054" w:type="dxa"/>
          </w:tcPr>
          <w:p w14:paraId="3258517B"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Mercury (mg/kg)</w:t>
            </w:r>
          </w:p>
        </w:tc>
        <w:tc>
          <w:tcPr>
            <w:tcW w:w="2198" w:type="dxa"/>
          </w:tcPr>
          <w:p w14:paraId="013A9B57" w14:textId="77777777" w:rsidR="00785714" w:rsidRPr="00823719" w:rsidRDefault="00785714" w:rsidP="00811A8E">
            <w:pPr>
              <w:keepNext/>
              <w:keepLines/>
              <w:widowControl/>
              <w:numPr>
                <w:ilvl w:val="0"/>
                <w:numId w:val="2"/>
              </w:numPr>
              <w:ind w:left="0" w:firstLine="0"/>
              <w:rPr>
                <w:rFonts w:cs="Arial"/>
                <w:sz w:val="20"/>
                <w:szCs w:val="20"/>
                <w:lang w:bidi="ar-SA"/>
              </w:rPr>
            </w:pPr>
          </w:p>
        </w:tc>
        <w:tc>
          <w:tcPr>
            <w:tcW w:w="2127" w:type="dxa"/>
          </w:tcPr>
          <w:p w14:paraId="4066048D" w14:textId="77777777" w:rsidR="00785714" w:rsidRPr="00823719" w:rsidRDefault="00785714" w:rsidP="00811A8E">
            <w:pPr>
              <w:keepNext/>
              <w:keepLines/>
              <w:widowControl/>
              <w:numPr>
                <w:ilvl w:val="0"/>
                <w:numId w:val="2"/>
              </w:numPr>
              <w:ind w:left="0" w:firstLine="0"/>
              <w:rPr>
                <w:rFonts w:cs="Arial"/>
                <w:sz w:val="20"/>
                <w:szCs w:val="20"/>
                <w:lang w:bidi="ar-SA"/>
              </w:rPr>
            </w:pPr>
          </w:p>
        </w:tc>
        <w:tc>
          <w:tcPr>
            <w:tcW w:w="2126" w:type="dxa"/>
          </w:tcPr>
          <w:p w14:paraId="24C9704D"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≤1</w:t>
            </w:r>
          </w:p>
        </w:tc>
      </w:tr>
    </w:tbl>
    <w:p w14:paraId="392E9FC8" w14:textId="77777777" w:rsidR="00785714" w:rsidRPr="00823719" w:rsidRDefault="00785714" w:rsidP="00785714">
      <w:pPr>
        <w:rPr>
          <w:lang w:bidi="ar-SA"/>
        </w:rPr>
      </w:pPr>
    </w:p>
    <w:p w14:paraId="4CB4907A" w14:textId="77777777" w:rsidR="00785714" w:rsidRPr="00823719" w:rsidRDefault="00785714" w:rsidP="00785714">
      <w:pPr>
        <w:rPr>
          <w:lang w:bidi="ar-SA"/>
        </w:rPr>
      </w:pPr>
      <w:r w:rsidRPr="00823719">
        <w:rPr>
          <w:lang w:bidi="ar-SA"/>
        </w:rPr>
        <w:t>The Applicant has provided their specifications for L-</w:t>
      </w:r>
      <w:r>
        <w:rPr>
          <w:lang w:bidi="ar-SA"/>
        </w:rPr>
        <w:t>carnitine-L-tartrate</w:t>
      </w:r>
      <w:r w:rsidRPr="00823719">
        <w:rPr>
          <w:lang w:bidi="ar-SA"/>
        </w:rPr>
        <w:t xml:space="preserve"> and compared it to a draft 2010 Therapeutic Goods Administration (TGA) draft compositional guideline. The Applicant’s specifications are provided in Table 4.</w:t>
      </w:r>
    </w:p>
    <w:p w14:paraId="46176379" w14:textId="77777777" w:rsidR="00785714" w:rsidRPr="00823719" w:rsidRDefault="00785714" w:rsidP="00785714">
      <w:pPr>
        <w:rPr>
          <w:lang w:bidi="ar-SA"/>
        </w:rPr>
      </w:pPr>
    </w:p>
    <w:p w14:paraId="0A4FF9EB" w14:textId="0C42E9C6" w:rsidR="00785714" w:rsidRPr="00823719" w:rsidRDefault="00785714" w:rsidP="00785714">
      <w:pPr>
        <w:keepNext/>
        <w:widowControl/>
        <w:rPr>
          <w:b/>
          <w:lang w:bidi="ar-SA"/>
        </w:rPr>
      </w:pPr>
      <w:r w:rsidRPr="00823719">
        <w:rPr>
          <w:b/>
          <w:lang w:bidi="ar-SA"/>
        </w:rPr>
        <w:t>Table 4</w:t>
      </w:r>
      <w:r w:rsidRPr="00823719">
        <w:rPr>
          <w:b/>
          <w:lang w:bidi="ar-SA"/>
        </w:rPr>
        <w:tab/>
        <w:t>The Applicant’s specification for L-</w:t>
      </w:r>
      <w:r>
        <w:rPr>
          <w:b/>
          <w:lang w:bidi="ar-SA"/>
        </w:rPr>
        <w:t>carnitine-L-tartrate</w:t>
      </w:r>
      <w:r w:rsidRPr="00823719">
        <w:rPr>
          <w:b/>
          <w:lang w:bidi="ar-SA"/>
        </w:rPr>
        <w:t xml:space="preserve"> </w:t>
      </w:r>
    </w:p>
    <w:p w14:paraId="3933617F" w14:textId="77777777" w:rsidR="00785714" w:rsidRPr="00823719" w:rsidRDefault="00785714" w:rsidP="00785714">
      <w:pPr>
        <w:keepNext/>
        <w:widowControl/>
        <w:rPr>
          <w:lang w:bidi="ar-SA"/>
        </w:rPr>
      </w:pPr>
    </w:p>
    <w:tbl>
      <w:tblPr>
        <w:tblStyle w:val="TableGrid4"/>
        <w:tblW w:w="8505" w:type="dxa"/>
        <w:tblInd w:w="392" w:type="dxa"/>
        <w:tblLook w:val="04A0" w:firstRow="1" w:lastRow="0" w:firstColumn="1" w:lastColumn="0" w:noHBand="0" w:noVBand="1"/>
        <w:tblCaption w:val="The Applicant’s specification for L-carnitine-L-tartrate "/>
        <w:tblDescription w:val="The Applicant’s specification for L-carnitine-L-tartrate "/>
      </w:tblPr>
      <w:tblGrid>
        <w:gridCol w:w="2693"/>
        <w:gridCol w:w="5812"/>
      </w:tblGrid>
      <w:tr w:rsidR="00785714" w:rsidRPr="00823719" w14:paraId="0B79874E" w14:textId="77777777" w:rsidTr="006477C1">
        <w:trPr>
          <w:tblHeader/>
        </w:trPr>
        <w:tc>
          <w:tcPr>
            <w:tcW w:w="2693" w:type="dxa"/>
          </w:tcPr>
          <w:p w14:paraId="033016AA"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Parameter</w:t>
            </w:r>
          </w:p>
        </w:tc>
        <w:tc>
          <w:tcPr>
            <w:tcW w:w="5812" w:type="dxa"/>
          </w:tcPr>
          <w:p w14:paraId="66E21CD8"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Applicant’s specifications</w:t>
            </w:r>
          </w:p>
        </w:tc>
      </w:tr>
      <w:tr w:rsidR="00785714" w:rsidRPr="00823719" w14:paraId="16D4AB66" w14:textId="77777777" w:rsidTr="00811A8E">
        <w:tc>
          <w:tcPr>
            <w:tcW w:w="2693" w:type="dxa"/>
          </w:tcPr>
          <w:p w14:paraId="504876FA"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Purity (%w/w)</w:t>
            </w:r>
          </w:p>
          <w:p w14:paraId="07094524"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L-carnitine</w:t>
            </w:r>
          </w:p>
          <w:p w14:paraId="09AE3446"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L-tartaric acid </w:t>
            </w:r>
          </w:p>
        </w:tc>
        <w:tc>
          <w:tcPr>
            <w:tcW w:w="5812" w:type="dxa"/>
          </w:tcPr>
          <w:p w14:paraId="7B180BC3" w14:textId="77777777" w:rsidR="00785714" w:rsidRPr="00823719" w:rsidRDefault="00785714" w:rsidP="00811A8E">
            <w:pPr>
              <w:keepNext/>
              <w:keepLines/>
              <w:widowControl/>
              <w:numPr>
                <w:ilvl w:val="0"/>
                <w:numId w:val="2"/>
              </w:numPr>
              <w:ind w:left="0" w:firstLine="0"/>
              <w:rPr>
                <w:rFonts w:cs="Arial"/>
                <w:sz w:val="20"/>
                <w:szCs w:val="20"/>
                <w:lang w:bidi="ar-SA"/>
              </w:rPr>
            </w:pPr>
          </w:p>
          <w:p w14:paraId="648829BB"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67.2-69.2</w:t>
            </w:r>
          </w:p>
          <w:p w14:paraId="56B5C85E"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30.8-32.8</w:t>
            </w:r>
          </w:p>
        </w:tc>
      </w:tr>
      <w:tr w:rsidR="00785714" w:rsidRPr="00823719" w14:paraId="56CE000F" w14:textId="77777777" w:rsidTr="00811A8E">
        <w:tc>
          <w:tcPr>
            <w:tcW w:w="2693" w:type="dxa"/>
          </w:tcPr>
          <w:p w14:paraId="77C01515"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Water </w:t>
            </w:r>
          </w:p>
        </w:tc>
        <w:tc>
          <w:tcPr>
            <w:tcW w:w="5812" w:type="dxa"/>
          </w:tcPr>
          <w:p w14:paraId="1EF5CD34"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≤0.5%</w:t>
            </w:r>
          </w:p>
        </w:tc>
      </w:tr>
      <w:tr w:rsidR="00785714" w:rsidRPr="00823719" w14:paraId="3A82D7F5" w14:textId="77777777" w:rsidTr="00811A8E">
        <w:tc>
          <w:tcPr>
            <w:tcW w:w="2693" w:type="dxa"/>
          </w:tcPr>
          <w:p w14:paraId="37E513D2"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Residue on ignition </w:t>
            </w:r>
          </w:p>
        </w:tc>
        <w:tc>
          <w:tcPr>
            <w:tcW w:w="5812" w:type="dxa"/>
          </w:tcPr>
          <w:p w14:paraId="6A3626FE"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≤0.1%</w:t>
            </w:r>
          </w:p>
        </w:tc>
      </w:tr>
      <w:tr w:rsidR="00785714" w:rsidRPr="00823719" w14:paraId="3029A258" w14:textId="77777777" w:rsidTr="00811A8E">
        <w:tc>
          <w:tcPr>
            <w:tcW w:w="2693" w:type="dxa"/>
          </w:tcPr>
          <w:p w14:paraId="48A3AB3E"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Specific rotation [α]</w:t>
            </w:r>
            <w:r w:rsidRPr="00823719">
              <w:rPr>
                <w:rFonts w:cs="Arial"/>
                <w:sz w:val="20"/>
                <w:szCs w:val="20"/>
                <w:vertAlign w:val="subscript"/>
                <w:lang w:bidi="ar-SA"/>
              </w:rPr>
              <w:t>D</w:t>
            </w:r>
            <w:r w:rsidRPr="00823719">
              <w:rPr>
                <w:rFonts w:cs="Arial"/>
                <w:sz w:val="20"/>
                <w:szCs w:val="20"/>
                <w:vertAlign w:val="superscript"/>
                <w:lang w:bidi="ar-SA"/>
              </w:rPr>
              <w:t>20</w:t>
            </w:r>
          </w:p>
        </w:tc>
        <w:tc>
          <w:tcPr>
            <w:tcW w:w="5812" w:type="dxa"/>
          </w:tcPr>
          <w:p w14:paraId="49ED502D"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Between -9.5.0</w:t>
            </w:r>
            <w:r w:rsidRPr="00823719">
              <w:rPr>
                <w:rFonts w:cs="Arial"/>
                <w:sz w:val="20"/>
                <w:szCs w:val="20"/>
                <w:lang w:eastAsia="en-AU" w:bidi="ar-SA"/>
              </w:rPr>
              <w:t>°</w:t>
            </w:r>
            <w:r w:rsidRPr="00823719">
              <w:rPr>
                <w:rFonts w:cs="Arial"/>
                <w:sz w:val="20"/>
                <w:szCs w:val="20"/>
                <w:lang w:bidi="ar-SA"/>
              </w:rPr>
              <w:t xml:space="preserve"> and -11.0</w:t>
            </w:r>
            <w:r w:rsidRPr="00823719">
              <w:rPr>
                <w:rFonts w:cs="Arial"/>
                <w:sz w:val="20"/>
                <w:szCs w:val="20"/>
                <w:lang w:eastAsia="en-AU" w:bidi="ar-SA"/>
              </w:rPr>
              <w:t>°</w:t>
            </w:r>
          </w:p>
        </w:tc>
      </w:tr>
      <w:tr w:rsidR="00785714" w:rsidRPr="00823719" w14:paraId="30B294B9" w14:textId="77777777" w:rsidTr="00811A8E">
        <w:tc>
          <w:tcPr>
            <w:tcW w:w="2693" w:type="dxa"/>
          </w:tcPr>
          <w:p w14:paraId="4845D532"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Heavy metals (as Lead) mg/kg</w:t>
            </w:r>
          </w:p>
        </w:tc>
        <w:tc>
          <w:tcPr>
            <w:tcW w:w="5812" w:type="dxa"/>
          </w:tcPr>
          <w:p w14:paraId="3A10C717"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≤10 </w:t>
            </w:r>
          </w:p>
        </w:tc>
      </w:tr>
    </w:tbl>
    <w:p w14:paraId="4E004F1A" w14:textId="77777777" w:rsidR="00785714" w:rsidRPr="00823719" w:rsidRDefault="00785714" w:rsidP="00785714">
      <w:pPr>
        <w:rPr>
          <w:lang w:bidi="ar-SA"/>
        </w:rPr>
      </w:pPr>
    </w:p>
    <w:p w14:paraId="7CE786BD" w14:textId="77777777" w:rsidR="00785714" w:rsidRPr="00823719" w:rsidRDefault="00785714" w:rsidP="00F17CB3">
      <w:pPr>
        <w:widowControl/>
        <w:rPr>
          <w:lang w:bidi="ar-SA"/>
        </w:rPr>
      </w:pPr>
      <w:r w:rsidRPr="00823719">
        <w:rPr>
          <w:lang w:bidi="ar-SA"/>
        </w:rPr>
        <w:t>Since L-</w:t>
      </w:r>
      <w:r>
        <w:rPr>
          <w:lang w:bidi="ar-SA"/>
        </w:rPr>
        <w:t>carnitine-L-tartrate</w:t>
      </w:r>
      <w:r w:rsidRPr="00823719">
        <w:rPr>
          <w:lang w:bidi="ar-SA"/>
        </w:rPr>
        <w:t xml:space="preserve"> is a simple salt complex of the two individual chemicals there is possibly no need to develop a new stand-alone specification for this compound in Schedule 3 but rely on the specifications for the two individual substances and the general heavy metal contaminant requirements of section S3—4. </w:t>
      </w:r>
    </w:p>
    <w:p w14:paraId="5928E8E2" w14:textId="77777777" w:rsidR="00785714" w:rsidRPr="00823719" w:rsidRDefault="00785714" w:rsidP="00785714">
      <w:pPr>
        <w:rPr>
          <w:lang w:bidi="ar-SA"/>
        </w:rPr>
      </w:pPr>
    </w:p>
    <w:p w14:paraId="117B196B" w14:textId="77777777" w:rsidR="00785714" w:rsidRDefault="00785714" w:rsidP="00785714">
      <w:pPr>
        <w:rPr>
          <w:lang w:bidi="ar-SA"/>
        </w:rPr>
      </w:pPr>
      <w:r w:rsidRPr="00823719">
        <w:rPr>
          <w:lang w:bidi="ar-SA"/>
        </w:rPr>
        <w:t>The only specification issue noted from the Tables is the difference in heavy metal limits, specifically lead for L-carnitine which is due to use of different analytical methods. The Applicant uses the United States Pharmacopeia (USP) analytical method USP 231 (limit test) for heavy metals (measured as lead). The United States Pharmacopeia (USP) 231 (heavy metals limit test) is a wet chemistry method where various heavy metals in a solution form a complex with sulphide ion which are colo</w:t>
      </w:r>
      <w:r>
        <w:rPr>
          <w:lang w:bidi="ar-SA"/>
        </w:rPr>
        <w:t>ured and so are measured colouri</w:t>
      </w:r>
      <w:r w:rsidRPr="00823719">
        <w:rPr>
          <w:lang w:bidi="ar-SA"/>
        </w:rPr>
        <w:t xml:space="preserve">metrically via comparisons with standard solutions. The alternative analytical method used for the measurement of lead, is listed in the Food Chemicals Codex in Appendix III which uses an atomic adsorption method specific for lead and has a lower limit of detection. </w:t>
      </w:r>
    </w:p>
    <w:p w14:paraId="3A8AE641" w14:textId="77777777" w:rsidR="00785714" w:rsidRPr="00823719" w:rsidRDefault="00785714" w:rsidP="00785714">
      <w:pPr>
        <w:pStyle w:val="Heading2"/>
        <w:rPr>
          <w:lang w:bidi="ar-SA"/>
        </w:rPr>
      </w:pPr>
      <w:bookmarkStart w:id="12" w:name="_Toc520888214"/>
      <w:r>
        <w:rPr>
          <w:lang w:bidi="ar-SA"/>
        </w:rPr>
        <w:t>2.5</w:t>
      </w:r>
      <w:r>
        <w:rPr>
          <w:lang w:bidi="ar-SA"/>
        </w:rPr>
        <w:tab/>
      </w:r>
      <w:r w:rsidRPr="00823719">
        <w:rPr>
          <w:lang w:bidi="ar-SA"/>
        </w:rPr>
        <w:t>Stability in food</w:t>
      </w:r>
      <w:bookmarkEnd w:id="12"/>
    </w:p>
    <w:p w14:paraId="7DB010EB" w14:textId="77777777" w:rsidR="00785714" w:rsidRPr="00823719" w:rsidRDefault="00785714" w:rsidP="00785714">
      <w:pPr>
        <w:rPr>
          <w:lang w:eastAsia="en-AU" w:bidi="ar-SA"/>
        </w:rPr>
      </w:pPr>
      <w:r w:rsidRPr="00823719">
        <w:rPr>
          <w:lang w:bidi="ar-SA"/>
        </w:rPr>
        <w:t>The Applicant provided data and information indicating that the two chemicals, L-carnitine and L-</w:t>
      </w:r>
      <w:r>
        <w:rPr>
          <w:lang w:bidi="ar-SA"/>
        </w:rPr>
        <w:t>carnitine-L-tartrate</w:t>
      </w:r>
      <w:r w:rsidRPr="00823719">
        <w:rPr>
          <w:lang w:bidi="ar-SA"/>
        </w:rPr>
        <w:t xml:space="preserve"> are very stable under both ambient room temperature and humidity, and also at elevated temperature and humidity. For ambient conditions (25</w:t>
      </w:r>
      <w:r w:rsidRPr="00823719">
        <w:rPr>
          <w:rFonts w:cs="Arial"/>
          <w:lang w:bidi="ar-SA"/>
        </w:rPr>
        <w:t>±</w:t>
      </w:r>
      <w:r w:rsidRPr="00823719">
        <w:rPr>
          <w:lang w:bidi="ar-SA"/>
        </w:rPr>
        <w:t>2</w:t>
      </w:r>
      <w:r w:rsidRPr="00823719">
        <w:rPr>
          <w:lang w:eastAsia="en-AU" w:bidi="ar-SA"/>
        </w:rPr>
        <w:t>°C, 60</w:t>
      </w:r>
      <w:r w:rsidRPr="00823719">
        <w:rPr>
          <w:rFonts w:cs="Arial"/>
          <w:lang w:eastAsia="en-AU" w:bidi="ar-SA"/>
        </w:rPr>
        <w:t>±</w:t>
      </w:r>
      <w:r w:rsidRPr="00823719">
        <w:rPr>
          <w:lang w:eastAsia="en-AU" w:bidi="ar-SA"/>
        </w:rPr>
        <w:t>5% relative humidity) both substances were stable for at least four years. At elevated temperature and humidity (40</w:t>
      </w:r>
      <w:r w:rsidRPr="00823719">
        <w:rPr>
          <w:rFonts w:cs="Arial"/>
          <w:lang w:eastAsia="en-AU" w:bidi="ar-SA"/>
        </w:rPr>
        <w:t>±</w:t>
      </w:r>
      <w:r w:rsidRPr="00823719">
        <w:rPr>
          <w:lang w:eastAsia="en-AU" w:bidi="ar-SA"/>
        </w:rPr>
        <w:t>2°C and 75</w:t>
      </w:r>
      <w:r w:rsidRPr="00823719">
        <w:rPr>
          <w:rFonts w:cs="Arial"/>
          <w:lang w:eastAsia="en-AU" w:bidi="ar-SA"/>
        </w:rPr>
        <w:t>±</w:t>
      </w:r>
      <w:r w:rsidRPr="00823719">
        <w:rPr>
          <w:lang w:eastAsia="en-AU" w:bidi="ar-SA"/>
        </w:rPr>
        <w:t>5% relative humidity) both substances were stable for at least one year.</w:t>
      </w:r>
    </w:p>
    <w:p w14:paraId="6686083F" w14:textId="77777777" w:rsidR="00785714" w:rsidRPr="00823719" w:rsidRDefault="00785714" w:rsidP="00785714">
      <w:pPr>
        <w:rPr>
          <w:lang w:eastAsia="en-AU" w:bidi="ar-SA"/>
        </w:rPr>
      </w:pPr>
    </w:p>
    <w:p w14:paraId="3EF742E9" w14:textId="77777777" w:rsidR="00785714" w:rsidRPr="00823719" w:rsidRDefault="00785714" w:rsidP="00785714">
      <w:pPr>
        <w:rPr>
          <w:lang w:eastAsia="en-AU" w:bidi="ar-SA"/>
        </w:rPr>
      </w:pPr>
      <w:r w:rsidRPr="00823719">
        <w:rPr>
          <w:lang w:eastAsia="en-AU" w:bidi="ar-SA"/>
        </w:rPr>
        <w:t xml:space="preserve">Information on stability and homogeneity of both substances used as a feed additive in premixtures, feed and water are summarised in the EFSA </w:t>
      </w:r>
      <w:r>
        <w:rPr>
          <w:lang w:eastAsia="en-AU" w:bidi="ar-SA"/>
        </w:rPr>
        <w:t>(</w:t>
      </w:r>
      <w:r w:rsidRPr="00823719">
        <w:rPr>
          <w:lang w:eastAsia="en-AU" w:bidi="ar-SA"/>
        </w:rPr>
        <w:t>2012</w:t>
      </w:r>
      <w:r>
        <w:rPr>
          <w:lang w:eastAsia="en-AU" w:bidi="ar-SA"/>
        </w:rPr>
        <w:t>)</w:t>
      </w:r>
      <w:r w:rsidRPr="00823719">
        <w:rPr>
          <w:lang w:eastAsia="en-AU" w:bidi="ar-SA"/>
        </w:rPr>
        <w:t xml:space="preserve"> report </w:t>
      </w:r>
      <w:r>
        <w:rPr>
          <w:lang w:eastAsia="en-AU" w:bidi="ar-SA"/>
        </w:rPr>
        <w:t xml:space="preserve">along </w:t>
      </w:r>
      <w:r w:rsidRPr="00823719">
        <w:rPr>
          <w:lang w:eastAsia="en-AU" w:bidi="ar-SA"/>
        </w:rPr>
        <w:t>with information provided by the Applicant. L-carnitine incorporated in a vitamin-mineral premixture for animal feed containing L-carnitine at 8,000 mg/kg was stable with no losses after storage at 25°C for six months. L-carnitine incorporated into mash and pelleted feed for piglets at 50 mg/kg indicated no loss of L-carnitine after processing or storage for three months at 25°C. No reduction in L-carnitine was observed when both L-carnitine and L-</w:t>
      </w:r>
      <w:r>
        <w:rPr>
          <w:lang w:eastAsia="en-AU" w:bidi="ar-SA"/>
        </w:rPr>
        <w:t>carnitine-L-tartrate</w:t>
      </w:r>
      <w:r w:rsidRPr="00823719">
        <w:rPr>
          <w:lang w:eastAsia="en-AU" w:bidi="ar-SA"/>
        </w:rPr>
        <w:t xml:space="preserve"> were added to water at concentrations o</w:t>
      </w:r>
      <w:r>
        <w:rPr>
          <w:lang w:eastAsia="en-AU" w:bidi="ar-SA"/>
        </w:rPr>
        <w:t>f 1 g/L when stored for 24 h</w:t>
      </w:r>
      <w:r w:rsidRPr="00823719">
        <w:rPr>
          <w:lang w:eastAsia="en-AU" w:bidi="ar-SA"/>
        </w:rPr>
        <w:t xml:space="preserve"> at 25°C.</w:t>
      </w:r>
    </w:p>
    <w:p w14:paraId="2ECEBF4F" w14:textId="77777777" w:rsidR="00785714" w:rsidRPr="00823719" w:rsidRDefault="00785714" w:rsidP="00785714">
      <w:pPr>
        <w:rPr>
          <w:lang w:eastAsia="en-AU" w:bidi="ar-SA"/>
        </w:rPr>
      </w:pPr>
    </w:p>
    <w:p w14:paraId="4C8E0B4C" w14:textId="77777777" w:rsidR="00785714" w:rsidRDefault="00785714" w:rsidP="00785714">
      <w:pPr>
        <w:rPr>
          <w:lang w:eastAsia="en-AU" w:bidi="ar-SA"/>
        </w:rPr>
      </w:pPr>
      <w:r w:rsidRPr="00823719">
        <w:rPr>
          <w:lang w:eastAsia="en-AU" w:bidi="ar-SA"/>
        </w:rPr>
        <w:t>No data were provided by the Applicant in relation to the stability of L-</w:t>
      </w:r>
      <w:r>
        <w:rPr>
          <w:lang w:eastAsia="en-AU" w:bidi="ar-SA"/>
        </w:rPr>
        <w:t>carnitine-L-tartrate</w:t>
      </w:r>
      <w:r w:rsidRPr="00823719">
        <w:rPr>
          <w:lang w:eastAsia="en-AU" w:bidi="ar-SA"/>
        </w:rPr>
        <w:t xml:space="preserve"> except a statement that L-</w:t>
      </w:r>
      <w:r>
        <w:rPr>
          <w:lang w:eastAsia="en-AU" w:bidi="ar-SA"/>
        </w:rPr>
        <w:t>carnitine-L-tartrate</w:t>
      </w:r>
      <w:r w:rsidRPr="00823719">
        <w:rPr>
          <w:lang w:eastAsia="en-AU" w:bidi="ar-SA"/>
        </w:rPr>
        <w:t xml:space="preserve"> has similar stability to L-carnitine when incorporated into premixtures and animal feed. </w:t>
      </w:r>
    </w:p>
    <w:p w14:paraId="00543509" w14:textId="77777777" w:rsidR="00785714" w:rsidRPr="00823719" w:rsidRDefault="00785714" w:rsidP="00785714">
      <w:pPr>
        <w:pStyle w:val="Heading2"/>
        <w:rPr>
          <w:lang w:bidi="ar-SA"/>
        </w:rPr>
      </w:pPr>
      <w:bookmarkStart w:id="13" w:name="_Toc520888215"/>
      <w:r>
        <w:rPr>
          <w:lang w:bidi="ar-SA"/>
        </w:rPr>
        <w:t>2.6</w:t>
      </w:r>
      <w:r>
        <w:rPr>
          <w:lang w:bidi="ar-SA"/>
        </w:rPr>
        <w:tab/>
      </w:r>
      <w:r w:rsidRPr="00823719">
        <w:rPr>
          <w:lang w:bidi="ar-SA"/>
        </w:rPr>
        <w:t>Food technology conclusion</w:t>
      </w:r>
      <w:bookmarkEnd w:id="13"/>
    </w:p>
    <w:p w14:paraId="4B408B4C" w14:textId="06050A1C" w:rsidR="00785714" w:rsidRDefault="00785714" w:rsidP="00103A04">
      <w:pPr>
        <w:rPr>
          <w:rFonts w:ascii="Arial Bold" w:hAnsi="Arial Bold"/>
          <w:b/>
          <w:bCs/>
          <w:smallCaps/>
          <w:sz w:val="36"/>
          <w:szCs w:val="28"/>
          <w:lang w:bidi="ar-SA"/>
        </w:rPr>
      </w:pPr>
      <w:r w:rsidRPr="00823719">
        <w:rPr>
          <w:lang w:bidi="ar-SA"/>
        </w:rPr>
        <w:t>The food technology assessment concludes that both L-carnitine and L-</w:t>
      </w:r>
      <w:r>
        <w:rPr>
          <w:lang w:bidi="ar-SA"/>
        </w:rPr>
        <w:t>carnitine-L-tartrate</w:t>
      </w:r>
      <w:r w:rsidRPr="00823719">
        <w:rPr>
          <w:lang w:bidi="ar-SA"/>
        </w:rPr>
        <w:t xml:space="preserve"> are well known and understood chemicals for which there are relevant specifications and analytical methods for their addition to food. There are specifications for both L-carnitine and L-tartrate in monographs within Schedule 3. There is not a specification for the L-</w:t>
      </w:r>
      <w:r>
        <w:rPr>
          <w:lang w:bidi="ar-SA"/>
        </w:rPr>
        <w:t>carnitine-L-tartrate</w:t>
      </w:r>
      <w:r w:rsidRPr="00823719">
        <w:rPr>
          <w:lang w:bidi="ar-SA"/>
        </w:rPr>
        <w:t xml:space="preserve"> salt but because this compound is produced by combining the two chemicals with their own specifications together there should not be any need to write a specific specification into Schedule 3 for this substance. The two substances are expected to be readily incorporated into various food matrices being very soluble in water and are also expected to be quite stable in food.</w:t>
      </w:r>
      <w:r>
        <w:rPr>
          <w:rFonts w:ascii="Arial Bold" w:hAnsi="Arial Bold"/>
          <w:smallCaps/>
        </w:rPr>
        <w:br w:type="page"/>
      </w:r>
    </w:p>
    <w:p w14:paraId="062CCA9D" w14:textId="77777777" w:rsidR="00785714" w:rsidRPr="00E12CFA" w:rsidRDefault="00785714" w:rsidP="00785714">
      <w:pPr>
        <w:pStyle w:val="Heading1"/>
        <w:rPr>
          <w:rFonts w:ascii="Arial Bold" w:hAnsi="Arial Bold"/>
          <w:smallCaps/>
        </w:rPr>
      </w:pPr>
      <w:bookmarkStart w:id="14" w:name="_Toc520888216"/>
      <w:r>
        <w:rPr>
          <w:rFonts w:ascii="Arial Bold" w:hAnsi="Arial Bold"/>
          <w:smallCaps/>
        </w:rPr>
        <w:lastRenderedPageBreak/>
        <w:t>3</w:t>
      </w:r>
      <w:r>
        <w:rPr>
          <w:rFonts w:ascii="Arial Bold" w:hAnsi="Arial Bold"/>
          <w:smallCaps/>
        </w:rPr>
        <w:tab/>
      </w:r>
      <w:r w:rsidRPr="00E12CFA">
        <w:rPr>
          <w:rFonts w:ascii="Arial Bold" w:hAnsi="Arial Bold"/>
          <w:smallCaps/>
        </w:rPr>
        <w:t>Risk Assessment</w:t>
      </w:r>
      <w:bookmarkEnd w:id="14"/>
    </w:p>
    <w:p w14:paraId="7F65A101" w14:textId="77777777" w:rsidR="00785714" w:rsidRPr="00E12CFA" w:rsidRDefault="00785714" w:rsidP="00785714">
      <w:pPr>
        <w:pStyle w:val="Heading2"/>
      </w:pPr>
      <w:bookmarkStart w:id="15" w:name="_Toc520888217"/>
      <w:r>
        <w:t>3.1</w:t>
      </w:r>
      <w:r>
        <w:tab/>
      </w:r>
      <w:r w:rsidRPr="00E12CFA">
        <w:t>Hazard Assessment</w:t>
      </w:r>
      <w:bookmarkEnd w:id="15"/>
    </w:p>
    <w:p w14:paraId="78DE9780" w14:textId="3B7E1285" w:rsidR="00785714" w:rsidRDefault="00785714" w:rsidP="00C7573A">
      <w:pPr>
        <w:rPr>
          <w:rFonts w:cs="Arial"/>
          <w:szCs w:val="22"/>
        </w:rPr>
      </w:pPr>
      <w:r>
        <w:rPr>
          <w:rFonts w:eastAsia="Calibri"/>
          <w:szCs w:val="22"/>
          <w:lang w:bidi="ar-SA"/>
        </w:rPr>
        <w:t>The hazard assessment considered information on the physiology, biochemistry and pharmacokinetics of L-carnitine</w:t>
      </w:r>
      <w:r w:rsidR="00C7573A">
        <w:rPr>
          <w:rFonts w:eastAsia="Calibri"/>
          <w:szCs w:val="22"/>
          <w:lang w:bidi="ar-SA"/>
        </w:rPr>
        <w:t>,</w:t>
      </w:r>
      <w:r w:rsidRPr="00302936">
        <w:t xml:space="preserve"> </w:t>
      </w:r>
      <w:r w:rsidRPr="00302936">
        <w:rPr>
          <w:rFonts w:eastAsia="Calibri"/>
          <w:szCs w:val="22"/>
          <w:lang w:bidi="ar-SA"/>
        </w:rPr>
        <w:t>L-carnitine-L-tartrate</w:t>
      </w:r>
      <w:r>
        <w:rPr>
          <w:rFonts w:eastAsia="Calibri"/>
          <w:szCs w:val="22"/>
          <w:lang w:bidi="ar-SA"/>
        </w:rPr>
        <w:t xml:space="preserve">, </w:t>
      </w:r>
      <w:r w:rsidR="00C7573A">
        <w:rPr>
          <w:rFonts w:eastAsia="Calibri"/>
          <w:szCs w:val="22"/>
          <w:lang w:bidi="ar-SA"/>
        </w:rPr>
        <w:t xml:space="preserve">other available forms of L-carnitine </w:t>
      </w:r>
      <w:r>
        <w:rPr>
          <w:rFonts w:eastAsia="Calibri"/>
          <w:szCs w:val="22"/>
          <w:lang w:bidi="ar-SA"/>
        </w:rPr>
        <w:t>and</w:t>
      </w:r>
      <w:r w:rsidRPr="00302936">
        <w:rPr>
          <w:rFonts w:eastAsia="Calibri"/>
          <w:szCs w:val="22"/>
          <w:lang w:bidi="ar-SA"/>
        </w:rPr>
        <w:t xml:space="preserve"> </w:t>
      </w:r>
      <w:r>
        <w:rPr>
          <w:rFonts w:eastAsia="Calibri"/>
          <w:szCs w:val="22"/>
          <w:lang w:bidi="ar-SA"/>
        </w:rPr>
        <w:t>data from animal and human studies investigating a wide range of parameters relevant to safety.</w:t>
      </w:r>
    </w:p>
    <w:p w14:paraId="0E66F853" w14:textId="77777777" w:rsidR="00785714" w:rsidRPr="00E12CFA" w:rsidRDefault="00785714" w:rsidP="00785714">
      <w:pPr>
        <w:pStyle w:val="Heading3"/>
      </w:pPr>
      <w:bookmarkStart w:id="16" w:name="_Toc520888218"/>
      <w:r>
        <w:t>3.1.1</w:t>
      </w:r>
      <w:r>
        <w:tab/>
      </w:r>
      <w:r w:rsidRPr="00E12CFA">
        <w:t>Biochemistry</w:t>
      </w:r>
      <w:r>
        <w:t xml:space="preserve"> and physiology of L-carnitine</w:t>
      </w:r>
      <w:bookmarkEnd w:id="16"/>
    </w:p>
    <w:p w14:paraId="1F512E25" w14:textId="77777777" w:rsidR="00785714" w:rsidRDefault="00785714" w:rsidP="00785714">
      <w:pPr>
        <w:rPr>
          <w:rFonts w:cs="Arial"/>
          <w:szCs w:val="22"/>
        </w:rPr>
      </w:pPr>
      <w:r w:rsidRPr="00433BC9">
        <w:rPr>
          <w:rFonts w:cs="Arial"/>
          <w:szCs w:val="22"/>
        </w:rPr>
        <w:t>Carnitine</w:t>
      </w:r>
      <w:r>
        <w:rPr>
          <w:rFonts w:cs="Arial"/>
          <w:szCs w:val="22"/>
        </w:rPr>
        <w:t xml:space="preserve">, </w:t>
      </w:r>
      <w:r w:rsidRPr="00D91724">
        <w:rPr>
          <w:rFonts w:eastAsiaTheme="minorEastAsia" w:cs="Arial"/>
          <w:color w:val="000000" w:themeColor="text1"/>
          <w:kern w:val="24"/>
          <w:szCs w:val="22"/>
          <w:lang w:val="en-AU" w:eastAsia="en-GB"/>
        </w:rPr>
        <w:t xml:space="preserve">a </w:t>
      </w:r>
      <w:r>
        <w:rPr>
          <w:rFonts w:eastAsiaTheme="minorEastAsia" w:cs="Arial"/>
          <w:color w:val="000000" w:themeColor="text1"/>
          <w:kern w:val="24"/>
          <w:szCs w:val="22"/>
          <w:lang w:val="en-AU" w:eastAsia="en-GB"/>
        </w:rPr>
        <w:sym w:font="Symbol" w:char="F067"/>
      </w:r>
      <w:r>
        <w:rPr>
          <w:rFonts w:eastAsiaTheme="minorEastAsia" w:cs="Arial"/>
          <w:color w:val="000000" w:themeColor="text1"/>
          <w:kern w:val="24"/>
          <w:szCs w:val="22"/>
          <w:lang w:val="en-AU" w:eastAsia="en-GB"/>
        </w:rPr>
        <w:t>-amino β-hydroxyl acid,</w:t>
      </w:r>
      <w:r>
        <w:rPr>
          <w:rFonts w:cs="Arial"/>
          <w:szCs w:val="22"/>
        </w:rPr>
        <w:t xml:space="preserve"> was originally isolated from bovine muscle and subsequently shown </w:t>
      </w:r>
      <w:r>
        <w:rPr>
          <w:rFonts w:eastAsiaTheme="minorEastAsia" w:cs="Arial"/>
          <w:color w:val="000000" w:themeColor="text1"/>
          <w:kern w:val="24"/>
          <w:szCs w:val="22"/>
          <w:lang w:val="en-AU" w:eastAsia="en-GB"/>
        </w:rPr>
        <w:t>to be exclusively the L-isomer (</w:t>
      </w:r>
      <w:r>
        <w:rPr>
          <w:rFonts w:cs="Arial"/>
          <w:szCs w:val="22"/>
        </w:rPr>
        <w:t>Figure 2)</w:t>
      </w:r>
      <w:r w:rsidRPr="00433BC9">
        <w:rPr>
          <w:rFonts w:cs="Arial"/>
          <w:szCs w:val="22"/>
        </w:rPr>
        <w:t>.</w:t>
      </w:r>
    </w:p>
    <w:p w14:paraId="0863F871" w14:textId="77777777" w:rsidR="00785714" w:rsidRDefault="00785714" w:rsidP="00785714">
      <w:pPr>
        <w:jc w:val="both"/>
        <w:rPr>
          <w:rFonts w:cs="Arial"/>
          <w:szCs w:val="22"/>
        </w:rPr>
      </w:pPr>
    </w:p>
    <w:p w14:paraId="7E3EC6F6" w14:textId="61A30EC6" w:rsidR="00785714" w:rsidRPr="00433BC9" w:rsidRDefault="00952144" w:rsidP="00785714">
      <w:pPr>
        <w:ind w:left="2268" w:firstLine="567"/>
        <w:rPr>
          <w:rFonts w:cs="Arial"/>
          <w:szCs w:val="22"/>
        </w:rPr>
      </w:pPr>
      <w:r>
        <w:object w:dxaOrig="2052" w:dyaOrig="710" w14:anchorId="1AD3A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emical structure of L-carnitine" style="width:94.2pt;height:32.4pt;mso-position-horizontal:absolute" o:ole="">
            <v:imagedata r:id="rId24" o:title=""/>
          </v:shape>
          <o:OLEObject Type="Embed" ProgID="ChemDraw.Document.6.0" ShapeID="_x0000_i1025" DrawAspect="Content" ObjectID="_1618912800" r:id="rId25"/>
        </w:object>
      </w:r>
    </w:p>
    <w:p w14:paraId="4963C93F" w14:textId="77777777" w:rsidR="00785714" w:rsidRPr="00433BC9" w:rsidRDefault="00785714" w:rsidP="00785714">
      <w:pPr>
        <w:jc w:val="both"/>
        <w:rPr>
          <w:rFonts w:eastAsiaTheme="minorEastAsia" w:cs="Arial"/>
          <w:color w:val="000000" w:themeColor="text1"/>
          <w:kern w:val="24"/>
          <w:szCs w:val="22"/>
          <w:lang w:val="en-AU" w:eastAsia="en-GB"/>
        </w:rPr>
      </w:pPr>
      <w:r w:rsidRPr="00433BC9">
        <w:rPr>
          <w:rFonts w:cs="Arial"/>
          <w:noProof/>
          <w:szCs w:val="22"/>
          <w:lang w:eastAsia="en-GB" w:bidi="ar-SA"/>
        </w:rPr>
        <mc:AlternateContent>
          <mc:Choice Requires="wps">
            <w:drawing>
              <wp:anchor distT="0" distB="0" distL="114300" distR="114300" simplePos="0" relativeHeight="251658240" behindDoc="0" locked="0" layoutInCell="1" allowOverlap="1" wp14:anchorId="49F5285A" wp14:editId="5D19F35D">
                <wp:simplePos x="0" y="0"/>
                <wp:positionH relativeFrom="column">
                  <wp:posOffset>941070</wp:posOffset>
                </wp:positionH>
                <wp:positionV relativeFrom="paragraph">
                  <wp:posOffset>108585</wp:posOffset>
                </wp:positionV>
                <wp:extent cx="2748280" cy="276860"/>
                <wp:effectExtent l="0" t="0" r="0" b="0"/>
                <wp:wrapNone/>
                <wp:docPr id="25" name="TextBox 24"/>
                <wp:cNvGraphicFramePr/>
                <a:graphic xmlns:a="http://schemas.openxmlformats.org/drawingml/2006/main">
                  <a:graphicData uri="http://schemas.microsoft.com/office/word/2010/wordprocessingShape">
                    <wps:wsp>
                      <wps:cNvSpPr txBox="1"/>
                      <wps:spPr>
                        <a:xfrm>
                          <a:off x="0" y="0"/>
                          <a:ext cx="2748280" cy="276860"/>
                        </a:xfrm>
                        <a:prstGeom prst="rect">
                          <a:avLst/>
                        </a:prstGeom>
                        <a:noFill/>
                      </wps:spPr>
                      <wps:txbx>
                        <w:txbxContent>
                          <w:p w14:paraId="02F848CF" w14:textId="310CE3BC" w:rsidR="00DF510F" w:rsidRPr="00AC21A2" w:rsidRDefault="00DF510F" w:rsidP="00785714">
                            <w:pPr>
                              <w:pStyle w:val="NormalWeb"/>
                              <w:spacing w:before="0" w:beforeAutospacing="0" w:after="0" w:afterAutospacing="0"/>
                              <w:jc w:val="right"/>
                              <w:rPr>
                                <w:rFonts w:ascii="Arial" w:hAnsi="Arial" w:cs="Arial"/>
                                <w:i/>
                                <w:color w:val="000000" w:themeColor="text1"/>
                                <w:kern w:val="24"/>
                                <w:szCs w:val="22"/>
                              </w:rPr>
                            </w:pPr>
                            <w:r w:rsidRPr="00AC21A2">
                              <w:rPr>
                                <w:rFonts w:ascii="Arial" w:hAnsi="Arial" w:cs="Arial"/>
                                <w:i/>
                                <w:color w:val="000000" w:themeColor="text1"/>
                                <w:kern w:val="24"/>
                                <w:szCs w:val="22"/>
                              </w:rPr>
                              <w:t>Figure 2</w:t>
                            </w:r>
                            <w:r>
                              <w:rPr>
                                <w:rFonts w:ascii="Arial" w:hAnsi="Arial" w:cs="Arial"/>
                                <w:i/>
                                <w:color w:val="000000" w:themeColor="text1"/>
                                <w:kern w:val="24"/>
                                <w:szCs w:val="22"/>
                              </w:rPr>
                              <w:t xml:space="preserve">: </w:t>
                            </w:r>
                            <w:r w:rsidRPr="00AC21A2">
                              <w:rPr>
                                <w:rFonts w:ascii="Arial" w:hAnsi="Arial" w:cs="Arial"/>
                                <w:i/>
                                <w:color w:val="000000" w:themeColor="text1"/>
                                <w:kern w:val="24"/>
                                <w:szCs w:val="22"/>
                              </w:rPr>
                              <w:t>Chemical structure of L-carnitine</w:t>
                            </w:r>
                          </w:p>
                        </w:txbxContent>
                      </wps:txbx>
                      <wps:bodyPr wrap="none" rtlCol="0">
                        <a:spAutoFit/>
                      </wps:bodyPr>
                    </wps:wsp>
                  </a:graphicData>
                </a:graphic>
              </wp:anchor>
            </w:drawing>
          </mc:Choice>
          <mc:Fallback>
            <w:pict>
              <v:shape w14:anchorId="49F5285A" id="TextBox 24" o:spid="_x0000_s1027" type="#_x0000_t202" style="position:absolute;left:0;text-align:left;margin-left:74.1pt;margin-top:8.55pt;width:216.4pt;height:21.8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" filled="f" stroked="f">
                <v:textbox style="mso-fit-shape-to-text:t">
                  <w:txbxContent>
                    <w:p w14:paraId="02F848CF" w14:textId="310CE3BC" w:rsidR="00DF510F" w:rsidRPr="00AC21A2" w:rsidRDefault="00DF510F" w:rsidP="00785714">
                      <w:pPr>
                        <w:pStyle w:val="NormalWeb"/>
                        <w:spacing w:before="0" w:beforeAutospacing="0" w:after="0" w:afterAutospacing="0"/>
                        <w:jc w:val="right"/>
                        <w:rPr>
                          <w:rFonts w:ascii="Arial" w:hAnsi="Arial" w:cs="Arial"/>
                          <w:i/>
                          <w:color w:val="000000" w:themeColor="text1"/>
                          <w:kern w:val="24"/>
                          <w:szCs w:val="22"/>
                        </w:rPr>
                      </w:pPr>
                      <w:r w:rsidRPr="00AC21A2">
                        <w:rPr>
                          <w:rFonts w:ascii="Arial" w:hAnsi="Arial" w:cs="Arial"/>
                          <w:i/>
                          <w:color w:val="000000" w:themeColor="text1"/>
                          <w:kern w:val="24"/>
                          <w:szCs w:val="22"/>
                        </w:rPr>
                        <w:t>Figure 2</w:t>
                      </w:r>
                      <w:r>
                        <w:rPr>
                          <w:rFonts w:ascii="Arial" w:hAnsi="Arial" w:cs="Arial"/>
                          <w:i/>
                          <w:color w:val="000000" w:themeColor="text1"/>
                          <w:kern w:val="24"/>
                          <w:szCs w:val="22"/>
                        </w:rPr>
                        <w:t xml:space="preserve">: </w:t>
                      </w:r>
                      <w:r w:rsidRPr="00AC21A2">
                        <w:rPr>
                          <w:rFonts w:ascii="Arial" w:hAnsi="Arial" w:cs="Arial"/>
                          <w:i/>
                          <w:color w:val="000000" w:themeColor="text1"/>
                          <w:kern w:val="24"/>
                          <w:szCs w:val="22"/>
                        </w:rPr>
                        <w:t>Chemical structure of L-carnitine</w:t>
                      </w:r>
                    </w:p>
                  </w:txbxContent>
                </v:textbox>
              </v:shape>
            </w:pict>
          </mc:Fallback>
        </mc:AlternateContent>
      </w:r>
    </w:p>
    <w:p w14:paraId="142C55B9" w14:textId="77777777" w:rsidR="00785714" w:rsidRPr="00433BC9" w:rsidRDefault="00785714" w:rsidP="00785714">
      <w:pPr>
        <w:jc w:val="center"/>
        <w:rPr>
          <w:rFonts w:eastAsiaTheme="minorEastAsia" w:cs="Arial"/>
          <w:color w:val="000000" w:themeColor="text1"/>
          <w:kern w:val="24"/>
          <w:szCs w:val="22"/>
          <w:lang w:val="en-AU" w:eastAsia="en-GB"/>
        </w:rPr>
      </w:pPr>
    </w:p>
    <w:p w14:paraId="03E159E6" w14:textId="77777777" w:rsidR="00785714" w:rsidRDefault="00785714" w:rsidP="00785714">
      <w:pPr>
        <w:rPr>
          <w:rFonts w:eastAsiaTheme="minorEastAsia"/>
          <w:lang w:val="en-AU" w:eastAsia="en-GB"/>
        </w:rPr>
      </w:pPr>
    </w:p>
    <w:p w14:paraId="77428F2A" w14:textId="77777777" w:rsidR="00785714" w:rsidRPr="00855A4B" w:rsidRDefault="00785714" w:rsidP="00785714">
      <w:pPr>
        <w:rPr>
          <w:rFonts w:eastAsiaTheme="minorEastAsia"/>
          <w:lang w:val="en-AU" w:eastAsia="en-GB"/>
        </w:rPr>
      </w:pPr>
      <w:r>
        <w:rPr>
          <w:rFonts w:eastAsiaTheme="minorEastAsia"/>
          <w:lang w:val="en-AU" w:eastAsia="en-GB"/>
        </w:rPr>
        <w:t xml:space="preserve">L-carnitine plays an essential role in metabolism due to its involvement in the transport of fatty acids from the cytoplasm to the mitochondria, where </w:t>
      </w:r>
      <w:r>
        <w:rPr>
          <w:rFonts w:eastAsiaTheme="minorEastAsia" w:cs="Arial"/>
          <w:lang w:val="en-AU" w:eastAsia="en-GB"/>
        </w:rPr>
        <w:t>β</w:t>
      </w:r>
      <w:r w:rsidRPr="003B2CF8">
        <w:rPr>
          <w:rFonts w:eastAsiaTheme="minorEastAsia"/>
          <w:lang w:val="en-AU" w:eastAsia="en-GB"/>
        </w:rPr>
        <w:t>-oxidation takes place</w:t>
      </w:r>
      <w:r>
        <w:rPr>
          <w:rFonts w:eastAsiaTheme="minorEastAsia"/>
          <w:lang w:val="en-AU" w:eastAsia="en-GB"/>
        </w:rPr>
        <w:t>. T</w:t>
      </w:r>
      <w:r w:rsidRPr="00855A4B">
        <w:rPr>
          <w:rFonts w:eastAsiaTheme="minorEastAsia"/>
          <w:lang w:val="en-AU" w:eastAsia="en-GB"/>
        </w:rPr>
        <w:t xml:space="preserve">he biochemical pathway starts with the reaction of the </w:t>
      </w:r>
      <w:r>
        <w:rPr>
          <w:rFonts w:eastAsiaTheme="minorEastAsia"/>
          <w:lang w:val="en-AU" w:eastAsia="en-GB"/>
        </w:rPr>
        <w:t xml:space="preserve">L-carnitine </w:t>
      </w:r>
      <w:r w:rsidRPr="00855A4B">
        <w:rPr>
          <w:rFonts w:eastAsiaTheme="minorEastAsia"/>
          <w:lang w:val="en-AU" w:eastAsia="en-GB"/>
        </w:rPr>
        <w:t xml:space="preserve">hydroxyl group with acyl co-enzyme A esters </w:t>
      </w:r>
      <w:r>
        <w:rPr>
          <w:rFonts w:eastAsiaTheme="minorEastAsia"/>
          <w:lang w:val="en-AU" w:eastAsia="en-GB"/>
        </w:rPr>
        <w:t xml:space="preserve">of fatty acids </w:t>
      </w:r>
      <w:r w:rsidRPr="00855A4B">
        <w:rPr>
          <w:rFonts w:eastAsiaTheme="minorEastAsia"/>
          <w:lang w:val="en-AU" w:eastAsia="en-GB"/>
        </w:rPr>
        <w:t>to form the corresponding acylcarnitines. The reaction is reversible and is catalysed by the family of enzymes known as L-carnitine acyltransferases. The acyl co-enzyme A esters that are substrates for L-carnitine acyltransferases have chain lengths that range from two to twenty-two carbon atoms and include branch</w:t>
      </w:r>
      <w:r>
        <w:rPr>
          <w:rFonts w:eastAsiaTheme="minorEastAsia"/>
          <w:lang w:val="en-AU" w:eastAsia="en-GB"/>
        </w:rPr>
        <w:t>ed</w:t>
      </w:r>
      <w:r w:rsidRPr="00855A4B">
        <w:rPr>
          <w:rFonts w:eastAsiaTheme="minorEastAsia"/>
          <w:lang w:val="en-AU" w:eastAsia="en-GB"/>
        </w:rPr>
        <w:t xml:space="preserve"> chain fatty acids that are metabolically derived from amino acids.</w:t>
      </w:r>
      <w:r>
        <w:rPr>
          <w:rFonts w:eastAsiaTheme="minorEastAsia"/>
          <w:lang w:val="en-AU" w:eastAsia="en-GB"/>
        </w:rPr>
        <w:t xml:space="preserve"> </w:t>
      </w:r>
    </w:p>
    <w:p w14:paraId="4F7B2A74" w14:textId="77777777" w:rsidR="00785714" w:rsidRDefault="00785714" w:rsidP="00785714">
      <w:pPr>
        <w:rPr>
          <w:rFonts w:eastAsiaTheme="minorEastAsia" w:cs="Arial"/>
          <w:color w:val="000000" w:themeColor="text1"/>
          <w:kern w:val="24"/>
          <w:sz w:val="24"/>
          <w:lang w:val="en-AU" w:eastAsia="en-GB"/>
        </w:rPr>
      </w:pPr>
    </w:p>
    <w:p w14:paraId="43188912" w14:textId="77777777" w:rsidR="00785714" w:rsidRPr="00855A4B" w:rsidRDefault="00785714" w:rsidP="00785714">
      <w:pPr>
        <w:rPr>
          <w:rFonts w:eastAsiaTheme="minorEastAsia" w:cs="Arial"/>
          <w:color w:val="000000" w:themeColor="text1"/>
          <w:kern w:val="24"/>
          <w:szCs w:val="22"/>
          <w:lang w:val="en-AU" w:eastAsia="en-GB"/>
        </w:rPr>
      </w:pPr>
      <w:r w:rsidRPr="00855A4B">
        <w:rPr>
          <w:rFonts w:eastAsiaTheme="minorEastAsia" w:cs="Arial"/>
          <w:color w:val="000000" w:themeColor="text1"/>
          <w:kern w:val="24"/>
          <w:szCs w:val="22"/>
          <w:lang w:val="en-AU" w:eastAsia="en-GB"/>
        </w:rPr>
        <w:t>The acylcarnitines formed by trans</w:t>
      </w:r>
      <w:r>
        <w:rPr>
          <w:rFonts w:eastAsiaTheme="minorEastAsia" w:cs="Arial"/>
          <w:color w:val="000000" w:themeColor="text1"/>
          <w:kern w:val="24"/>
          <w:szCs w:val="22"/>
          <w:lang w:val="en-AU" w:eastAsia="en-GB"/>
        </w:rPr>
        <w:t>-</w:t>
      </w:r>
      <w:r w:rsidRPr="00855A4B">
        <w:rPr>
          <w:rFonts w:eastAsiaTheme="minorEastAsia" w:cs="Arial"/>
          <w:color w:val="000000" w:themeColor="text1"/>
          <w:kern w:val="24"/>
          <w:szCs w:val="22"/>
          <w:lang w:val="en-AU" w:eastAsia="en-GB"/>
        </w:rPr>
        <w:t xml:space="preserve">esterification are subsequently transported from the cytosol of the cell into the mitochondria. After transport, the acylcarnitines transfer their acyl groups to co-enzyme A within the mitochondria to form the corresponding acyl co-enzyme A thioesters. </w:t>
      </w:r>
      <w:r>
        <w:rPr>
          <w:rFonts w:eastAsiaTheme="minorEastAsia" w:cs="Arial"/>
          <w:color w:val="000000" w:themeColor="text1"/>
          <w:kern w:val="24"/>
          <w:szCs w:val="22"/>
          <w:lang w:val="en-AU" w:eastAsia="en-GB"/>
        </w:rPr>
        <w:t>T</w:t>
      </w:r>
      <w:r w:rsidRPr="00855A4B">
        <w:rPr>
          <w:rFonts w:eastAsiaTheme="minorEastAsia" w:cs="Arial"/>
          <w:color w:val="000000" w:themeColor="text1"/>
          <w:kern w:val="24"/>
          <w:szCs w:val="22"/>
          <w:lang w:val="en-AU" w:eastAsia="en-GB"/>
        </w:rPr>
        <w:t>he acyl groups are cataboli</w:t>
      </w:r>
      <w:r>
        <w:rPr>
          <w:rFonts w:eastAsiaTheme="minorEastAsia" w:cs="Arial"/>
          <w:color w:val="000000" w:themeColor="text1"/>
          <w:kern w:val="24"/>
          <w:szCs w:val="22"/>
          <w:lang w:val="en-AU" w:eastAsia="en-GB"/>
        </w:rPr>
        <w:t>s</w:t>
      </w:r>
      <w:r w:rsidRPr="00855A4B">
        <w:rPr>
          <w:rFonts w:eastAsiaTheme="minorEastAsia" w:cs="Arial"/>
          <w:color w:val="000000" w:themeColor="text1"/>
          <w:kern w:val="24"/>
          <w:szCs w:val="22"/>
          <w:lang w:val="en-AU" w:eastAsia="en-GB"/>
        </w:rPr>
        <w:t>ed by the biochemical process known as β-oxidation to produce acetyl co-</w:t>
      </w:r>
      <w:r>
        <w:rPr>
          <w:rFonts w:eastAsiaTheme="minorEastAsia" w:cs="Arial"/>
          <w:color w:val="000000" w:themeColor="text1"/>
          <w:kern w:val="24"/>
          <w:szCs w:val="22"/>
          <w:lang w:val="en-AU" w:eastAsia="en-GB"/>
        </w:rPr>
        <w:t>enzyme A, which enters the citric acid</w:t>
      </w:r>
      <w:r w:rsidRPr="00855A4B">
        <w:rPr>
          <w:rFonts w:eastAsiaTheme="minorEastAsia" w:cs="Arial"/>
          <w:color w:val="000000" w:themeColor="text1"/>
          <w:kern w:val="24"/>
          <w:szCs w:val="22"/>
          <w:lang w:val="en-AU" w:eastAsia="en-GB"/>
        </w:rPr>
        <w:t xml:space="preserve"> cycle to produce energy for cellular processes.</w:t>
      </w:r>
    </w:p>
    <w:p w14:paraId="1F4F44B8" w14:textId="77777777" w:rsidR="00785714" w:rsidRDefault="00785714" w:rsidP="00785714">
      <w:pPr>
        <w:rPr>
          <w:rFonts w:eastAsiaTheme="minorEastAsia"/>
          <w:lang w:val="en-AU" w:eastAsia="en-GB"/>
        </w:rPr>
      </w:pPr>
    </w:p>
    <w:p w14:paraId="3F0BFDC4" w14:textId="77777777" w:rsidR="00785714" w:rsidRDefault="00785714" w:rsidP="00785714">
      <w:pPr>
        <w:rPr>
          <w:rFonts w:eastAsiaTheme="minorEastAsia"/>
          <w:lang w:val="en-AU" w:eastAsia="en-GB"/>
        </w:rPr>
      </w:pPr>
      <w:r>
        <w:rPr>
          <w:rFonts w:eastAsiaTheme="minorEastAsia"/>
          <w:lang w:val="en-AU" w:eastAsia="en-GB"/>
        </w:rPr>
        <w:t xml:space="preserve">Body stores of L-carnitine are maintained by the consumption of foods containing L-carnitine and by endogenous synthesis </w:t>
      </w:r>
      <w:r w:rsidRPr="00855A4B">
        <w:rPr>
          <w:rFonts w:eastAsiaTheme="minorEastAsia"/>
          <w:lang w:val="en-AU" w:eastAsia="en-GB"/>
        </w:rPr>
        <w:t>from</w:t>
      </w:r>
      <w:r w:rsidRPr="004774C6">
        <w:t xml:space="preserve"> </w:t>
      </w:r>
      <w:r>
        <w:rPr>
          <w:rFonts w:eastAsiaTheme="minorEastAsia"/>
          <w:lang w:val="en-AU" w:eastAsia="en-GB"/>
        </w:rPr>
        <w:t xml:space="preserve">the amino acids </w:t>
      </w:r>
      <w:r w:rsidRPr="004774C6">
        <w:rPr>
          <w:rFonts w:eastAsiaTheme="minorEastAsia"/>
          <w:lang w:val="en-AU" w:eastAsia="en-GB"/>
        </w:rPr>
        <w:t>lysine and methionine.</w:t>
      </w:r>
      <w:r w:rsidRPr="00855A4B">
        <w:rPr>
          <w:rFonts w:eastAsiaTheme="minorEastAsia"/>
          <w:lang w:val="en-AU" w:eastAsia="en-GB"/>
        </w:rPr>
        <w:t xml:space="preserve"> </w:t>
      </w:r>
      <w:r>
        <w:rPr>
          <w:rFonts w:eastAsiaTheme="minorEastAsia"/>
          <w:lang w:val="en-AU" w:eastAsia="en-GB"/>
        </w:rPr>
        <w:t>Bio</w:t>
      </w:r>
      <w:r w:rsidRPr="00855A4B">
        <w:rPr>
          <w:rFonts w:eastAsiaTheme="minorEastAsia"/>
          <w:lang w:val="en-AU" w:eastAsia="en-GB"/>
        </w:rPr>
        <w:t>synthesis</w:t>
      </w:r>
      <w:r>
        <w:rPr>
          <w:rFonts w:eastAsiaTheme="minorEastAsia"/>
          <w:lang w:val="en-AU" w:eastAsia="en-GB"/>
        </w:rPr>
        <w:t xml:space="preserve"> </w:t>
      </w:r>
      <w:r w:rsidRPr="00855A4B">
        <w:rPr>
          <w:rFonts w:eastAsiaTheme="minorEastAsia"/>
          <w:lang w:val="en-AU" w:eastAsia="en-GB"/>
        </w:rPr>
        <w:t>primarily occurs in the kidney a</w:t>
      </w:r>
      <w:r>
        <w:rPr>
          <w:rFonts w:eastAsiaTheme="minorEastAsia"/>
          <w:lang w:val="en-AU" w:eastAsia="en-GB"/>
        </w:rPr>
        <w:t xml:space="preserve">nd liver. </w:t>
      </w:r>
    </w:p>
    <w:p w14:paraId="4A132783" w14:textId="77777777" w:rsidR="00785714" w:rsidRPr="00EE0CC5" w:rsidRDefault="00785714" w:rsidP="00785714">
      <w:pPr>
        <w:pStyle w:val="Heading3"/>
      </w:pPr>
      <w:bookmarkStart w:id="17" w:name="_Toc520888219"/>
      <w:r>
        <w:t>3.1</w:t>
      </w:r>
      <w:r w:rsidRPr="00EE0CC5">
        <w:t>.2</w:t>
      </w:r>
      <w:r w:rsidRPr="00EE0CC5">
        <w:tab/>
        <w:t>Absorption, distribution, metabolism and excretion</w:t>
      </w:r>
      <w:bookmarkEnd w:id="17"/>
    </w:p>
    <w:p w14:paraId="5BDFA83A" w14:textId="6F7EE605" w:rsidR="00785714" w:rsidRDefault="00785714" w:rsidP="00785714">
      <w:pPr>
        <w:rPr>
          <w:lang w:val="en"/>
        </w:rPr>
      </w:pPr>
      <w:r>
        <w:rPr>
          <w:rFonts w:cs="Arial"/>
          <w:color w:val="252525"/>
          <w:szCs w:val="22"/>
        </w:rPr>
        <w:t xml:space="preserve">A comprehensive review of the pharmacokinetics of L-carnitine and acylcarnitines is available </w:t>
      </w:r>
      <w:r w:rsidRPr="00752F1F">
        <w:rPr>
          <w:rFonts w:cs="Arial"/>
          <w:color w:val="252525"/>
          <w:szCs w:val="22"/>
        </w:rPr>
        <w:t>(Reuter and Evans 2012).</w:t>
      </w:r>
      <w:r>
        <w:rPr>
          <w:rFonts w:cs="Arial"/>
          <w:color w:val="252525"/>
          <w:szCs w:val="22"/>
        </w:rPr>
        <w:t xml:space="preserve"> The bioavailability</w:t>
      </w:r>
      <w:r w:rsidRPr="007C437E">
        <w:rPr>
          <w:rFonts w:cs="Arial"/>
          <w:color w:val="252525"/>
          <w:szCs w:val="22"/>
        </w:rPr>
        <w:t xml:space="preserve"> of</w:t>
      </w:r>
      <w:r>
        <w:rPr>
          <w:rFonts w:cs="Arial"/>
          <w:color w:val="252525"/>
          <w:szCs w:val="22"/>
        </w:rPr>
        <w:t xml:space="preserve"> L-carnitine</w:t>
      </w:r>
      <w:r w:rsidRPr="007C437E">
        <w:rPr>
          <w:rFonts w:cs="Arial"/>
          <w:color w:val="252525"/>
          <w:szCs w:val="22"/>
        </w:rPr>
        <w:t xml:space="preserve"> from </w:t>
      </w:r>
      <w:r>
        <w:rPr>
          <w:rFonts w:cs="Arial"/>
          <w:color w:val="252525"/>
          <w:szCs w:val="22"/>
        </w:rPr>
        <w:t xml:space="preserve">a normal Western diet has been estimated to be </w:t>
      </w:r>
      <w:r w:rsidRPr="007C437E">
        <w:rPr>
          <w:rFonts w:cs="Arial"/>
          <w:color w:val="252525"/>
          <w:szCs w:val="22"/>
        </w:rPr>
        <w:t>54</w:t>
      </w:r>
      <w:r>
        <w:rPr>
          <w:rFonts w:cs="Arial"/>
          <w:color w:val="252525"/>
          <w:szCs w:val="22"/>
        </w:rPr>
        <w:t xml:space="preserve">–87% (Rebouche and Chenard </w:t>
      </w:r>
      <w:r>
        <w:rPr>
          <w:rFonts w:cs="Arial"/>
          <w:szCs w:val="22"/>
        </w:rPr>
        <w:t xml:space="preserve">1991; </w:t>
      </w:r>
      <w:r>
        <w:rPr>
          <w:rFonts w:cs="Arial"/>
          <w:color w:val="252525"/>
          <w:szCs w:val="22"/>
        </w:rPr>
        <w:t>Rebouche 2004), whereas b</w:t>
      </w:r>
      <w:r w:rsidRPr="00226EED">
        <w:rPr>
          <w:rFonts w:cs="Arial"/>
          <w:color w:val="252525"/>
          <w:szCs w:val="22"/>
        </w:rPr>
        <w:t xml:space="preserve">ioavailability </w:t>
      </w:r>
      <w:r>
        <w:rPr>
          <w:rFonts w:cs="Arial"/>
          <w:color w:val="252525"/>
          <w:szCs w:val="22"/>
        </w:rPr>
        <w:t xml:space="preserve">at higher oral doses, achievable from </w:t>
      </w:r>
      <w:r w:rsidRPr="00226EED">
        <w:rPr>
          <w:rFonts w:cs="Arial"/>
          <w:color w:val="252525"/>
          <w:szCs w:val="22"/>
        </w:rPr>
        <w:t>d</w:t>
      </w:r>
      <w:r>
        <w:rPr>
          <w:rFonts w:cs="Arial"/>
          <w:color w:val="252525"/>
          <w:szCs w:val="22"/>
        </w:rPr>
        <w:t>ietary supplements (0.5–6 g), has been estimated at 1</w:t>
      </w:r>
      <w:r w:rsidRPr="00226EED">
        <w:rPr>
          <w:rFonts w:cs="Arial"/>
          <w:color w:val="252525"/>
          <w:szCs w:val="22"/>
        </w:rPr>
        <w:t>4–18%</w:t>
      </w:r>
      <w:r w:rsidR="00611477">
        <w:rPr>
          <w:rFonts w:cs="Arial"/>
          <w:color w:val="252525"/>
          <w:szCs w:val="22"/>
        </w:rPr>
        <w:t xml:space="preserve"> (Rebouche 2004)</w:t>
      </w:r>
      <w:r w:rsidRPr="00226EED">
        <w:rPr>
          <w:rFonts w:cs="Arial"/>
          <w:color w:val="252525"/>
          <w:szCs w:val="22"/>
        </w:rPr>
        <w:t>.</w:t>
      </w:r>
      <w:r>
        <w:rPr>
          <w:rFonts w:cs="Arial"/>
          <w:color w:val="252525"/>
          <w:szCs w:val="22"/>
        </w:rPr>
        <w:t xml:space="preserve"> </w:t>
      </w:r>
      <w:r>
        <w:rPr>
          <w:lang w:val="en"/>
        </w:rPr>
        <w:t>T</w:t>
      </w:r>
      <w:r w:rsidRPr="000D1653">
        <w:rPr>
          <w:lang w:val="en"/>
        </w:rPr>
        <w:t>ime to maximum plasma</w:t>
      </w:r>
      <w:r>
        <w:rPr>
          <w:lang w:val="en"/>
        </w:rPr>
        <w:t xml:space="preserve"> concentration (T</w:t>
      </w:r>
      <w:r w:rsidRPr="00682798">
        <w:rPr>
          <w:vertAlign w:val="subscript"/>
          <w:lang w:val="en"/>
        </w:rPr>
        <w:t>max</w:t>
      </w:r>
      <w:r w:rsidRPr="000D1653">
        <w:rPr>
          <w:lang w:val="en"/>
        </w:rPr>
        <w:t xml:space="preserve">) after </w:t>
      </w:r>
      <w:r>
        <w:rPr>
          <w:lang w:val="en"/>
        </w:rPr>
        <w:t xml:space="preserve">oral </w:t>
      </w:r>
      <w:r w:rsidRPr="000D1653">
        <w:rPr>
          <w:lang w:val="en"/>
        </w:rPr>
        <w:t>administration</w:t>
      </w:r>
      <w:r>
        <w:rPr>
          <w:lang w:val="en"/>
        </w:rPr>
        <w:t xml:space="preserve"> of L-carnitine at doses of 0.5 to 6 g is 3–5 hours (Reuter and Evans 2012).</w:t>
      </w:r>
    </w:p>
    <w:p w14:paraId="2E459888" w14:textId="77777777" w:rsidR="00785714" w:rsidRDefault="00785714" w:rsidP="00785714">
      <w:pPr>
        <w:rPr>
          <w:rFonts w:cs="Arial"/>
          <w:color w:val="252525"/>
          <w:szCs w:val="22"/>
        </w:rPr>
      </w:pPr>
    </w:p>
    <w:p w14:paraId="3EF95C9E" w14:textId="77777777" w:rsidR="00785714" w:rsidRDefault="00785714" w:rsidP="00F17CB3">
      <w:pPr>
        <w:widowControl/>
        <w:rPr>
          <w:rFonts w:cs="Arial"/>
          <w:color w:val="252525"/>
          <w:szCs w:val="22"/>
        </w:rPr>
      </w:pPr>
      <w:r w:rsidRPr="00D26911">
        <w:rPr>
          <w:rFonts w:cs="Arial"/>
          <w:color w:val="252525"/>
          <w:szCs w:val="22"/>
        </w:rPr>
        <w:t>Circulating L-carnitine is distributed to two kinetically</w:t>
      </w:r>
      <w:r>
        <w:rPr>
          <w:rFonts w:cs="Arial"/>
          <w:color w:val="252525"/>
          <w:szCs w:val="22"/>
        </w:rPr>
        <w:t xml:space="preserve"> </w:t>
      </w:r>
      <w:r w:rsidRPr="00D26911">
        <w:rPr>
          <w:rFonts w:cs="Arial"/>
          <w:color w:val="252525"/>
          <w:szCs w:val="22"/>
        </w:rPr>
        <w:t>defined compartments: one larg</w:t>
      </w:r>
      <w:r>
        <w:rPr>
          <w:rFonts w:cs="Arial"/>
          <w:color w:val="252525"/>
          <w:szCs w:val="22"/>
        </w:rPr>
        <w:t>e and slow-turnover (</w:t>
      </w:r>
      <w:r w:rsidRPr="00D26911">
        <w:rPr>
          <w:rFonts w:cs="Arial"/>
          <w:color w:val="252525"/>
          <w:szCs w:val="22"/>
        </w:rPr>
        <w:t>muscle), and</w:t>
      </w:r>
      <w:r>
        <w:rPr>
          <w:rFonts w:cs="Arial"/>
          <w:color w:val="252525"/>
          <w:szCs w:val="22"/>
        </w:rPr>
        <w:t xml:space="preserve"> a</w:t>
      </w:r>
      <w:r w:rsidRPr="00D26911">
        <w:rPr>
          <w:rFonts w:cs="Arial"/>
          <w:color w:val="252525"/>
          <w:szCs w:val="22"/>
        </w:rPr>
        <w:t xml:space="preserve">nother </w:t>
      </w:r>
      <w:r>
        <w:rPr>
          <w:rFonts w:cs="Arial"/>
          <w:color w:val="252525"/>
          <w:szCs w:val="22"/>
        </w:rPr>
        <w:t xml:space="preserve">which is </w:t>
      </w:r>
      <w:r w:rsidRPr="00D26911">
        <w:rPr>
          <w:rFonts w:cs="Arial"/>
          <w:color w:val="252525"/>
          <w:szCs w:val="22"/>
        </w:rPr>
        <w:t>relat</w:t>
      </w:r>
      <w:r>
        <w:rPr>
          <w:rFonts w:cs="Arial"/>
          <w:color w:val="252525"/>
          <w:szCs w:val="22"/>
        </w:rPr>
        <w:t>ively small and with rapid-turnover (liver, kidney</w:t>
      </w:r>
      <w:r w:rsidRPr="00D26911">
        <w:rPr>
          <w:rFonts w:cs="Arial"/>
          <w:color w:val="252525"/>
          <w:szCs w:val="22"/>
        </w:rPr>
        <w:t xml:space="preserve"> and</w:t>
      </w:r>
      <w:r>
        <w:rPr>
          <w:rFonts w:cs="Arial"/>
          <w:color w:val="252525"/>
          <w:szCs w:val="22"/>
        </w:rPr>
        <w:t xml:space="preserve"> other tissues)</w:t>
      </w:r>
      <w:r w:rsidRPr="00D26911">
        <w:rPr>
          <w:rFonts w:cs="Arial"/>
          <w:color w:val="252525"/>
          <w:szCs w:val="22"/>
        </w:rPr>
        <w:t>.</w:t>
      </w:r>
      <w:r w:rsidRPr="00067BCD">
        <w:rPr>
          <w:rFonts w:cs="Arial"/>
          <w:color w:val="252525"/>
          <w:szCs w:val="22"/>
        </w:rPr>
        <w:t xml:space="preserve"> </w:t>
      </w:r>
      <w:r>
        <w:rPr>
          <w:rFonts w:cs="Arial"/>
          <w:color w:val="252525"/>
          <w:szCs w:val="22"/>
        </w:rPr>
        <w:t xml:space="preserve">Approximately 97% of total body carnitine is present in muscle, </w:t>
      </w:r>
      <w:r>
        <w:rPr>
          <w:rFonts w:cs="Arial"/>
          <w:color w:val="252525"/>
          <w:szCs w:val="22"/>
        </w:rPr>
        <w:lastRenderedPageBreak/>
        <w:t xml:space="preserve">with only ~0.1% in plasma. The mean residence time (turnover time) of L-carnitine in skeletal muscle has been reported to be 105 hours </w:t>
      </w:r>
      <w:r w:rsidRPr="00295471">
        <w:rPr>
          <w:rFonts w:cs="Arial"/>
          <w:color w:val="252525"/>
          <w:szCs w:val="22"/>
        </w:rPr>
        <w:t>(Reuter and Evans 2012).</w:t>
      </w:r>
    </w:p>
    <w:p w14:paraId="7F62F09D" w14:textId="77777777" w:rsidR="00785714" w:rsidRDefault="00785714" w:rsidP="00785714">
      <w:pPr>
        <w:rPr>
          <w:rFonts w:cs="Arial"/>
          <w:color w:val="252525"/>
          <w:szCs w:val="22"/>
        </w:rPr>
      </w:pPr>
    </w:p>
    <w:p w14:paraId="11B5A15D" w14:textId="6CC8095E" w:rsidR="00785714" w:rsidRDefault="00785714" w:rsidP="00785714">
      <w:pPr>
        <w:rPr>
          <w:rFonts w:cs="Arial"/>
          <w:szCs w:val="22"/>
        </w:rPr>
      </w:pPr>
      <w:r w:rsidRPr="00D0043A">
        <w:rPr>
          <w:rFonts w:cs="Arial"/>
          <w:szCs w:val="22"/>
        </w:rPr>
        <w:t xml:space="preserve">L-carnitine </w:t>
      </w:r>
      <w:r>
        <w:rPr>
          <w:rFonts w:cs="Arial"/>
          <w:szCs w:val="22"/>
        </w:rPr>
        <w:t>that is not absorbed following oral ingestion undergoes degradation</w:t>
      </w:r>
      <w:r w:rsidRPr="00D0043A">
        <w:rPr>
          <w:rFonts w:cs="Arial"/>
          <w:szCs w:val="22"/>
        </w:rPr>
        <w:t xml:space="preserve"> by </w:t>
      </w:r>
      <w:r>
        <w:rPr>
          <w:rFonts w:cs="Arial"/>
          <w:szCs w:val="22"/>
        </w:rPr>
        <w:t>intestinal microbiota</w:t>
      </w:r>
      <w:r w:rsidRPr="00D0043A">
        <w:rPr>
          <w:rFonts w:cs="Arial"/>
          <w:szCs w:val="22"/>
        </w:rPr>
        <w:t xml:space="preserve"> </w:t>
      </w:r>
      <w:r>
        <w:rPr>
          <w:rFonts w:cs="Arial"/>
          <w:szCs w:val="22"/>
        </w:rPr>
        <w:t xml:space="preserve">to trimethylamine (TMA) which is absorbed and then metabolised to trimethylamine-N-oxide (TMAO; abbreviated as TMNO in some publications) by </w:t>
      </w:r>
      <w:r w:rsidRPr="006A0D2B">
        <w:rPr>
          <w:rFonts w:cs="Arial"/>
          <w:szCs w:val="22"/>
        </w:rPr>
        <w:t>flavin mono-oxygenase 3</w:t>
      </w:r>
      <w:r>
        <w:rPr>
          <w:rFonts w:cs="Arial"/>
          <w:szCs w:val="22"/>
        </w:rPr>
        <w:t xml:space="preserve"> (FMO3) i</w:t>
      </w:r>
      <w:r w:rsidR="00BF2E76">
        <w:rPr>
          <w:rFonts w:cs="Arial"/>
          <w:szCs w:val="22"/>
        </w:rPr>
        <w:t xml:space="preserve">n the liver. Gut microbiota </w:t>
      </w:r>
      <w:r>
        <w:rPr>
          <w:rFonts w:cs="Arial"/>
          <w:szCs w:val="22"/>
        </w:rPr>
        <w:t xml:space="preserve">also </w:t>
      </w:r>
      <w:r w:rsidR="00BF2E76">
        <w:rPr>
          <w:rFonts w:cs="Arial"/>
          <w:szCs w:val="22"/>
        </w:rPr>
        <w:t xml:space="preserve">convert L-carnitine to </w:t>
      </w:r>
      <w:r>
        <w:rPr>
          <w:rFonts w:cs="Arial"/>
          <w:szCs w:val="22"/>
        </w:rPr>
        <w:sym w:font="Symbol" w:char="F067"/>
      </w:r>
      <w:r>
        <w:rPr>
          <w:rFonts w:cs="Arial"/>
          <w:szCs w:val="22"/>
        </w:rPr>
        <w:t xml:space="preserve">-butyrobetaine </w:t>
      </w:r>
      <w:r w:rsidR="00BF2E76">
        <w:rPr>
          <w:rFonts w:cs="Arial"/>
          <w:szCs w:val="22"/>
        </w:rPr>
        <w:t xml:space="preserve">which is primarily excreted in faeces </w:t>
      </w:r>
      <w:r>
        <w:rPr>
          <w:rFonts w:cs="Arial"/>
          <w:szCs w:val="22"/>
        </w:rPr>
        <w:t>(Figure 3).</w:t>
      </w:r>
    </w:p>
    <w:p w14:paraId="7FFC16AB" w14:textId="77777777" w:rsidR="00785714" w:rsidRDefault="00785714" w:rsidP="00785714">
      <w:pPr>
        <w:rPr>
          <w:rFonts w:cs="Arial"/>
          <w:szCs w:val="22"/>
        </w:rPr>
      </w:pPr>
    </w:p>
    <w:p w14:paraId="04FE8C92" w14:textId="4C186BD0" w:rsidR="00785714" w:rsidRDefault="00785714" w:rsidP="00785714">
      <w:pPr>
        <w:rPr>
          <w:rFonts w:cs="Arial"/>
          <w:color w:val="252525"/>
          <w:szCs w:val="22"/>
        </w:rPr>
      </w:pPr>
      <w:r>
        <w:rPr>
          <w:rFonts w:cs="Arial"/>
          <w:color w:val="252525"/>
          <w:szCs w:val="22"/>
        </w:rPr>
        <w:t xml:space="preserve">Efficient </w:t>
      </w:r>
      <w:r w:rsidRPr="00226EED">
        <w:rPr>
          <w:rFonts w:cs="Arial"/>
          <w:color w:val="252525"/>
          <w:szCs w:val="22"/>
        </w:rPr>
        <w:t>renal reabsorption</w:t>
      </w:r>
      <w:r>
        <w:rPr>
          <w:rFonts w:cs="Arial"/>
          <w:color w:val="252525"/>
          <w:szCs w:val="22"/>
        </w:rPr>
        <w:t xml:space="preserve"> of </w:t>
      </w:r>
      <w:r w:rsidRPr="00226EED">
        <w:rPr>
          <w:rFonts w:cs="Arial"/>
          <w:color w:val="252525"/>
          <w:szCs w:val="22"/>
        </w:rPr>
        <w:t xml:space="preserve">L-carnitine </w:t>
      </w:r>
      <w:r>
        <w:rPr>
          <w:rFonts w:cs="Arial"/>
          <w:color w:val="252525"/>
          <w:szCs w:val="22"/>
        </w:rPr>
        <w:t>occurs a</w:t>
      </w:r>
      <w:r w:rsidRPr="00226EED">
        <w:rPr>
          <w:rFonts w:cs="Arial"/>
          <w:color w:val="252525"/>
          <w:szCs w:val="22"/>
        </w:rPr>
        <w:t xml:space="preserve">t normal circulating concentrations. </w:t>
      </w:r>
      <w:r>
        <w:rPr>
          <w:rFonts w:cs="Arial"/>
          <w:color w:val="252525"/>
          <w:szCs w:val="22"/>
        </w:rPr>
        <w:t>A</w:t>
      </w:r>
      <w:r w:rsidRPr="00226EED">
        <w:rPr>
          <w:rFonts w:cs="Arial"/>
          <w:color w:val="252525"/>
          <w:szCs w:val="22"/>
        </w:rPr>
        <w:t>fter high-dose intravenous or ora</w:t>
      </w:r>
      <w:r>
        <w:rPr>
          <w:rFonts w:cs="Arial"/>
          <w:color w:val="252525"/>
          <w:szCs w:val="22"/>
        </w:rPr>
        <w:t>l administration of L-carnitine</w:t>
      </w:r>
      <w:r w:rsidRPr="00226EED">
        <w:rPr>
          <w:rFonts w:cs="Arial"/>
          <w:color w:val="252525"/>
          <w:szCs w:val="22"/>
        </w:rPr>
        <w:t>,</w:t>
      </w:r>
      <w:r>
        <w:rPr>
          <w:rFonts w:cs="Arial"/>
          <w:color w:val="252525"/>
          <w:szCs w:val="22"/>
        </w:rPr>
        <w:t xml:space="preserve"> </w:t>
      </w:r>
      <w:r w:rsidRPr="00226EED">
        <w:rPr>
          <w:rFonts w:cs="Arial"/>
          <w:color w:val="252525"/>
          <w:szCs w:val="22"/>
        </w:rPr>
        <w:t xml:space="preserve">efficiency of </w:t>
      </w:r>
      <w:r>
        <w:rPr>
          <w:rFonts w:cs="Arial"/>
          <w:color w:val="252525"/>
          <w:szCs w:val="22"/>
        </w:rPr>
        <w:t xml:space="preserve">renal </w:t>
      </w:r>
      <w:r w:rsidRPr="00226EED">
        <w:rPr>
          <w:rFonts w:cs="Arial"/>
          <w:color w:val="252525"/>
          <w:szCs w:val="22"/>
        </w:rPr>
        <w:t>reabsorption decreases and clearance increases, resulting in rapid</w:t>
      </w:r>
      <w:r>
        <w:rPr>
          <w:rFonts w:cs="Arial"/>
          <w:color w:val="252525"/>
          <w:szCs w:val="22"/>
        </w:rPr>
        <w:t xml:space="preserve"> decline of blood</w:t>
      </w:r>
      <w:r w:rsidRPr="00226EED">
        <w:rPr>
          <w:rFonts w:cs="Arial"/>
          <w:color w:val="252525"/>
          <w:szCs w:val="22"/>
        </w:rPr>
        <w:t xml:space="preserve"> L-carni</w:t>
      </w:r>
      <w:r>
        <w:rPr>
          <w:rFonts w:cs="Arial"/>
          <w:color w:val="252525"/>
          <w:szCs w:val="22"/>
        </w:rPr>
        <w:t>tine concentrations to baseline (Rebouche 2004).</w:t>
      </w:r>
      <w:r w:rsidRPr="006A0D2B">
        <w:rPr>
          <w:rFonts w:cs="Arial"/>
          <w:szCs w:val="22"/>
        </w:rPr>
        <w:t xml:space="preserve"> </w:t>
      </w:r>
      <w:r>
        <w:rPr>
          <w:rFonts w:cs="Arial"/>
          <w:szCs w:val="22"/>
        </w:rPr>
        <w:t>TMAO is excreted in urine (</w:t>
      </w:r>
      <w:r w:rsidRPr="00726CA9">
        <w:rPr>
          <w:rFonts w:cs="Arial"/>
          <w:szCs w:val="22"/>
        </w:rPr>
        <w:t xml:space="preserve">Taesuwan </w:t>
      </w:r>
      <w:r w:rsidR="000B7678">
        <w:rPr>
          <w:rFonts w:cs="Arial"/>
          <w:szCs w:val="22"/>
        </w:rPr>
        <w:t>et al. 2</w:t>
      </w:r>
      <w:r>
        <w:rPr>
          <w:rFonts w:cs="Arial"/>
          <w:szCs w:val="22"/>
        </w:rPr>
        <w:t>017).</w:t>
      </w:r>
    </w:p>
    <w:p w14:paraId="346366A0" w14:textId="77777777" w:rsidR="00785714" w:rsidRPr="00A77323" w:rsidRDefault="00785714" w:rsidP="00785714">
      <w:pPr>
        <w:rPr>
          <w:rFonts w:cs="Arial"/>
          <w:sz w:val="24"/>
        </w:rPr>
      </w:pPr>
    </w:p>
    <w:p w14:paraId="6464DAB2" w14:textId="77777777" w:rsidR="00785714" w:rsidRDefault="00785714" w:rsidP="00785714">
      <w:pPr>
        <w:rPr>
          <w:rFonts w:cs="Arial"/>
          <w:sz w:val="24"/>
        </w:rPr>
      </w:pPr>
    </w:p>
    <w:p w14:paraId="0C26BEF3" w14:textId="0355E715" w:rsidR="00785714" w:rsidRDefault="00952144" w:rsidP="00785714">
      <w:pPr>
        <w:rPr>
          <w:rFonts w:cs="Arial"/>
          <w:sz w:val="24"/>
        </w:rPr>
      </w:pPr>
      <w:r>
        <w:object w:dxaOrig="12280" w:dyaOrig="1206" w14:anchorId="453AE728">
          <v:shape id="_x0000_i1026" type="#_x0000_t75" alt="Metabolic fate of unabsorbed L-carnitine" style="width:487.5pt;height:47.4pt" o:ole="">
            <v:imagedata r:id="rId26" o:title=""/>
          </v:shape>
          <o:OLEObject Type="Embed" ProgID="ChemDraw.Document.6.0" ShapeID="_x0000_i1026" DrawAspect="Content" ObjectID="_1618912801" r:id="rId27"/>
        </w:object>
      </w:r>
    </w:p>
    <w:p w14:paraId="4578336A" w14:textId="77777777" w:rsidR="00785714" w:rsidRDefault="00785714" w:rsidP="00785714">
      <w:pPr>
        <w:rPr>
          <w:rFonts w:cs="Arial"/>
          <w:sz w:val="24"/>
        </w:rPr>
      </w:pPr>
    </w:p>
    <w:p w14:paraId="2F5939C2" w14:textId="1553583E" w:rsidR="00785714" w:rsidRPr="00AC21A2" w:rsidRDefault="00785714" w:rsidP="00785714">
      <w:pPr>
        <w:jc w:val="center"/>
        <w:rPr>
          <w:rFonts w:cs="Arial"/>
          <w:i/>
          <w:szCs w:val="22"/>
        </w:rPr>
      </w:pPr>
      <w:r w:rsidRPr="00AC21A2">
        <w:rPr>
          <w:rFonts w:cs="Arial"/>
          <w:i/>
          <w:szCs w:val="22"/>
        </w:rPr>
        <w:t>Figure 3:</w:t>
      </w:r>
      <w:r w:rsidR="00AC21A2">
        <w:rPr>
          <w:rFonts w:cs="Arial"/>
          <w:i/>
          <w:szCs w:val="22"/>
        </w:rPr>
        <w:t xml:space="preserve"> </w:t>
      </w:r>
      <w:r w:rsidRPr="00AC21A2">
        <w:rPr>
          <w:rFonts w:cs="Arial"/>
          <w:i/>
          <w:szCs w:val="22"/>
        </w:rPr>
        <w:t>Metabolic fate of unabsorbed L-carnitine</w:t>
      </w:r>
    </w:p>
    <w:p w14:paraId="0D098F90" w14:textId="77777777" w:rsidR="00785714" w:rsidRDefault="00785714" w:rsidP="00785714">
      <w:pPr>
        <w:rPr>
          <w:rFonts w:cs="Arial"/>
          <w:szCs w:val="22"/>
        </w:rPr>
      </w:pPr>
    </w:p>
    <w:p w14:paraId="42D530BF" w14:textId="77777777" w:rsidR="00785714" w:rsidRPr="00E12CFA" w:rsidRDefault="00785714" w:rsidP="00785714">
      <w:pPr>
        <w:pStyle w:val="Heading3"/>
      </w:pPr>
      <w:bookmarkStart w:id="18" w:name="_Toc520888220"/>
      <w:r>
        <w:t>3.1.3</w:t>
      </w:r>
      <w:r>
        <w:tab/>
      </w:r>
      <w:r w:rsidRPr="00A055EC">
        <w:rPr>
          <w:i/>
        </w:rPr>
        <w:t>In vitro</w:t>
      </w:r>
      <w:r w:rsidRPr="00E12CFA">
        <w:t xml:space="preserve"> </w:t>
      </w:r>
      <w:r>
        <w:t xml:space="preserve">studies </w:t>
      </w:r>
      <w:r w:rsidRPr="00E12CFA">
        <w:t xml:space="preserve">and animal </w:t>
      </w:r>
      <w:r>
        <w:t xml:space="preserve">toxicity </w:t>
      </w:r>
      <w:r w:rsidRPr="00E12CFA">
        <w:t>studi</w:t>
      </w:r>
      <w:r>
        <w:t>es</w:t>
      </w:r>
      <w:bookmarkEnd w:id="18"/>
    </w:p>
    <w:p w14:paraId="07BBFA63" w14:textId="77777777" w:rsidR="00785714" w:rsidRDefault="00785714" w:rsidP="00785714">
      <w:pPr>
        <w:rPr>
          <w:rFonts w:cs="Arial"/>
          <w:szCs w:val="22"/>
        </w:rPr>
      </w:pPr>
      <w:r>
        <w:rPr>
          <w:rFonts w:cs="Arial"/>
          <w:szCs w:val="22"/>
        </w:rPr>
        <w:t xml:space="preserve">An evaluation of in vitro and animal toxicity studies on L-carnitine, L-carnitine-L-tartrate and other L-carnitine salts is provided in Appendix 1. The majority of studies were conducted using L-carnitine chloride which dissociates in the gastrointestinal tract to liberate free L-carnitine. However, in studies in which the test article is L-carnitine chloride, some effects such </w:t>
      </w:r>
      <w:r w:rsidRPr="004704C0">
        <w:rPr>
          <w:rFonts w:cs="Arial"/>
          <w:szCs w:val="22"/>
        </w:rPr>
        <w:t>gastrointestinal irritation and increased water</w:t>
      </w:r>
      <w:r>
        <w:rPr>
          <w:rFonts w:cs="Arial"/>
          <w:szCs w:val="22"/>
        </w:rPr>
        <w:t xml:space="preserve"> intake</w:t>
      </w:r>
      <w:r w:rsidRPr="004704C0">
        <w:rPr>
          <w:rFonts w:cs="Arial"/>
          <w:szCs w:val="22"/>
        </w:rPr>
        <w:t xml:space="preserve"> are likely to be effects of chloride ions</w:t>
      </w:r>
      <w:r>
        <w:rPr>
          <w:rFonts w:cs="Arial"/>
          <w:szCs w:val="22"/>
        </w:rPr>
        <w:t xml:space="preserve"> rather than of L-carnitine.</w:t>
      </w:r>
    </w:p>
    <w:p w14:paraId="51816A20" w14:textId="77777777" w:rsidR="00785714" w:rsidRDefault="00785714" w:rsidP="00785714">
      <w:pPr>
        <w:rPr>
          <w:rFonts w:cs="Arial"/>
          <w:szCs w:val="22"/>
        </w:rPr>
      </w:pPr>
    </w:p>
    <w:p w14:paraId="6CD1365F" w14:textId="77777777" w:rsidR="00785714" w:rsidRDefault="00785714" w:rsidP="00785714">
      <w:pPr>
        <w:rPr>
          <w:rFonts w:cs="Arial"/>
          <w:szCs w:val="22"/>
        </w:rPr>
      </w:pPr>
      <w:r>
        <w:rPr>
          <w:rFonts w:cs="Arial"/>
          <w:szCs w:val="22"/>
        </w:rPr>
        <w:t xml:space="preserve">The oral LD50 in rats was greater than 2000 mg/kg bw. </w:t>
      </w:r>
      <w:r w:rsidRPr="004A29A0">
        <w:rPr>
          <w:rFonts w:cs="Arial"/>
          <w:szCs w:val="22"/>
        </w:rPr>
        <w:t xml:space="preserve">L-carnitine chloride </w:t>
      </w:r>
      <w:r>
        <w:rPr>
          <w:rFonts w:cs="Arial"/>
          <w:szCs w:val="22"/>
        </w:rPr>
        <w:t xml:space="preserve">was also of low </w:t>
      </w:r>
      <w:r w:rsidRPr="004A29A0">
        <w:rPr>
          <w:rFonts w:cs="Arial"/>
          <w:szCs w:val="22"/>
        </w:rPr>
        <w:t xml:space="preserve">acute oral toxicity in mice, rats, rabbits and </w:t>
      </w:r>
      <w:r>
        <w:rPr>
          <w:rFonts w:cs="Arial"/>
          <w:szCs w:val="22"/>
        </w:rPr>
        <w:t xml:space="preserve">dogs. </w:t>
      </w:r>
    </w:p>
    <w:p w14:paraId="311FD82B" w14:textId="77777777" w:rsidR="00785714" w:rsidRDefault="00785714" w:rsidP="00785714">
      <w:pPr>
        <w:rPr>
          <w:rFonts w:cs="Arial"/>
          <w:szCs w:val="22"/>
        </w:rPr>
      </w:pPr>
    </w:p>
    <w:p w14:paraId="2DB4B4A0" w14:textId="753E3E78" w:rsidR="00785714" w:rsidRDefault="00785714" w:rsidP="00785714">
      <w:pPr>
        <w:rPr>
          <w:rFonts w:cs="Arial"/>
          <w:szCs w:val="22"/>
        </w:rPr>
      </w:pPr>
      <w:r>
        <w:rPr>
          <w:rFonts w:cs="Arial"/>
          <w:szCs w:val="22"/>
        </w:rPr>
        <w:t>D</w:t>
      </w:r>
      <w:r w:rsidRPr="004A29A0">
        <w:rPr>
          <w:rFonts w:cs="Arial"/>
          <w:szCs w:val="22"/>
        </w:rPr>
        <w:t xml:space="preserve">ietary administration of </w:t>
      </w:r>
      <w:r w:rsidRPr="00EA5625">
        <w:rPr>
          <w:rFonts w:cs="Arial"/>
          <w:szCs w:val="22"/>
        </w:rPr>
        <w:t xml:space="preserve">L-carnitine </w:t>
      </w:r>
      <w:r>
        <w:rPr>
          <w:rFonts w:cs="Arial"/>
          <w:szCs w:val="22"/>
        </w:rPr>
        <w:t xml:space="preserve">to rats at </w:t>
      </w:r>
      <w:r w:rsidRPr="004A29A0">
        <w:rPr>
          <w:rFonts w:cs="Arial"/>
          <w:szCs w:val="22"/>
        </w:rPr>
        <w:t>14</w:t>
      </w:r>
      <w:r w:rsidR="00952144">
        <w:rPr>
          <w:rFonts w:cs="Arial"/>
          <w:szCs w:val="22"/>
        </w:rPr>
        <w:t xml:space="preserve"> mg</w:t>
      </w:r>
      <w:r>
        <w:rPr>
          <w:rFonts w:cs="Arial"/>
          <w:szCs w:val="22"/>
        </w:rPr>
        <w:t>/kg bw/</w:t>
      </w:r>
      <w:r w:rsidRPr="004A29A0">
        <w:rPr>
          <w:rFonts w:cs="Arial"/>
          <w:szCs w:val="22"/>
        </w:rPr>
        <w:t>d</w:t>
      </w:r>
      <w:r>
        <w:rPr>
          <w:rFonts w:cs="Arial"/>
          <w:szCs w:val="22"/>
        </w:rPr>
        <w:t>ay</w:t>
      </w:r>
      <w:r w:rsidRPr="004A29A0">
        <w:rPr>
          <w:rFonts w:cs="Arial"/>
          <w:szCs w:val="22"/>
        </w:rPr>
        <w:t xml:space="preserve"> for up to 30 days </w:t>
      </w:r>
      <w:r>
        <w:rPr>
          <w:rFonts w:cs="Arial"/>
          <w:szCs w:val="22"/>
        </w:rPr>
        <w:t>was not associated with any signs of toxicity</w:t>
      </w:r>
      <w:r w:rsidRPr="004A29A0">
        <w:rPr>
          <w:rFonts w:cs="Arial"/>
          <w:szCs w:val="22"/>
        </w:rPr>
        <w:t xml:space="preserve"> (Clouet </w:t>
      </w:r>
      <w:r w:rsidR="000B7678">
        <w:rPr>
          <w:rFonts w:cs="Arial"/>
          <w:szCs w:val="22"/>
        </w:rPr>
        <w:t>et al. 1</w:t>
      </w:r>
      <w:r w:rsidRPr="004A29A0">
        <w:rPr>
          <w:rFonts w:cs="Arial"/>
          <w:szCs w:val="22"/>
        </w:rPr>
        <w:t>996)</w:t>
      </w:r>
      <w:r>
        <w:rPr>
          <w:rFonts w:cs="Arial"/>
          <w:szCs w:val="22"/>
        </w:rPr>
        <w:t>.</w:t>
      </w:r>
      <w:r w:rsidRPr="004A29A0">
        <w:rPr>
          <w:rFonts w:cs="Arial"/>
          <w:szCs w:val="22"/>
        </w:rPr>
        <w:t xml:space="preserve"> </w:t>
      </w:r>
      <w:r>
        <w:rPr>
          <w:rFonts w:cs="Arial"/>
          <w:szCs w:val="22"/>
        </w:rPr>
        <w:t xml:space="preserve">There were no adverse effects </w:t>
      </w:r>
      <w:r w:rsidRPr="003818BF">
        <w:rPr>
          <w:rFonts w:cs="Arial"/>
          <w:szCs w:val="22"/>
        </w:rPr>
        <w:t xml:space="preserve">in male New Zealand White rabbits </w:t>
      </w:r>
      <w:r>
        <w:rPr>
          <w:rFonts w:cs="Arial"/>
          <w:szCs w:val="22"/>
        </w:rPr>
        <w:t xml:space="preserve">given </w:t>
      </w:r>
      <w:r w:rsidRPr="004A29A0">
        <w:rPr>
          <w:rFonts w:cs="Arial"/>
          <w:szCs w:val="22"/>
        </w:rPr>
        <w:t xml:space="preserve">L-carnitine </w:t>
      </w:r>
      <w:r>
        <w:rPr>
          <w:rFonts w:cs="Arial"/>
          <w:szCs w:val="22"/>
        </w:rPr>
        <w:t>in</w:t>
      </w:r>
      <w:r w:rsidRPr="004A29A0">
        <w:rPr>
          <w:rFonts w:cs="Arial"/>
          <w:szCs w:val="22"/>
        </w:rPr>
        <w:t xml:space="preserve"> drinking water, at an average intake of 170 </w:t>
      </w:r>
      <w:r>
        <w:rPr>
          <w:rFonts w:cs="Arial"/>
          <w:szCs w:val="22"/>
        </w:rPr>
        <w:t xml:space="preserve">mg/kg bw/day for four weeks </w:t>
      </w:r>
      <w:r w:rsidRPr="004A29A0">
        <w:rPr>
          <w:rFonts w:cs="Arial"/>
          <w:szCs w:val="22"/>
        </w:rPr>
        <w:t xml:space="preserve">(Seccombe </w:t>
      </w:r>
      <w:r w:rsidR="000B7678">
        <w:rPr>
          <w:rFonts w:cs="Arial"/>
          <w:szCs w:val="22"/>
        </w:rPr>
        <w:t>et al. 1</w:t>
      </w:r>
      <w:r w:rsidRPr="004A29A0">
        <w:rPr>
          <w:rFonts w:cs="Arial"/>
          <w:szCs w:val="22"/>
        </w:rPr>
        <w:t>987).</w:t>
      </w:r>
      <w:r>
        <w:rPr>
          <w:rFonts w:cs="Arial"/>
          <w:szCs w:val="22"/>
        </w:rPr>
        <w:t xml:space="preserve"> No toxicologically significant effects were observed in a</w:t>
      </w:r>
      <w:r w:rsidRPr="00EA5625">
        <w:rPr>
          <w:rFonts w:cs="Arial"/>
          <w:szCs w:val="22"/>
        </w:rPr>
        <w:t xml:space="preserve"> </w:t>
      </w:r>
      <w:r>
        <w:rPr>
          <w:rFonts w:cs="Arial"/>
          <w:szCs w:val="22"/>
        </w:rPr>
        <w:t>13-week</w:t>
      </w:r>
      <w:r w:rsidRPr="00EA5625">
        <w:rPr>
          <w:rFonts w:cs="Arial"/>
          <w:szCs w:val="22"/>
        </w:rPr>
        <w:t xml:space="preserve"> study of L-carnitine L-tartrate in rats </w:t>
      </w:r>
      <w:r>
        <w:rPr>
          <w:rFonts w:cs="Arial"/>
          <w:szCs w:val="22"/>
        </w:rPr>
        <w:t>at</w:t>
      </w:r>
      <w:r w:rsidRPr="00EA5625">
        <w:rPr>
          <w:rFonts w:cs="Arial"/>
          <w:szCs w:val="22"/>
        </w:rPr>
        <w:t xml:space="preserve"> 5.0% w/w L-carnitine L</w:t>
      </w:r>
      <w:r w:rsidR="006054D9">
        <w:rPr>
          <w:rFonts w:cs="Arial"/>
          <w:szCs w:val="22"/>
        </w:rPr>
        <w:t>-</w:t>
      </w:r>
      <w:r w:rsidRPr="00EA5625">
        <w:rPr>
          <w:rFonts w:cs="Arial"/>
          <w:szCs w:val="22"/>
        </w:rPr>
        <w:t>tartrate in the diet, equivalent to a mean intake of 393</w:t>
      </w:r>
      <w:r>
        <w:rPr>
          <w:rFonts w:cs="Arial"/>
          <w:szCs w:val="22"/>
        </w:rPr>
        <w:t xml:space="preserve">4 </w:t>
      </w:r>
      <w:r w:rsidRPr="00EA5625">
        <w:rPr>
          <w:rFonts w:cs="Arial"/>
          <w:szCs w:val="22"/>
        </w:rPr>
        <w:t>mg/kg bw/day in males, and 5042</w:t>
      </w:r>
      <w:r>
        <w:rPr>
          <w:rFonts w:cs="Arial"/>
          <w:szCs w:val="22"/>
        </w:rPr>
        <w:t xml:space="preserve"> </w:t>
      </w:r>
      <w:r w:rsidRPr="00EA5625">
        <w:rPr>
          <w:rFonts w:cs="Arial"/>
          <w:szCs w:val="22"/>
        </w:rPr>
        <w:t>mg/kg bw/day in females</w:t>
      </w:r>
      <w:r>
        <w:rPr>
          <w:rFonts w:cs="Arial"/>
          <w:szCs w:val="22"/>
        </w:rPr>
        <w:t xml:space="preserve"> (LPT 2003). </w:t>
      </w:r>
    </w:p>
    <w:p w14:paraId="08823126" w14:textId="77777777" w:rsidR="00785714" w:rsidRDefault="00785714" w:rsidP="00785714">
      <w:pPr>
        <w:rPr>
          <w:rFonts w:cs="Arial"/>
          <w:szCs w:val="22"/>
        </w:rPr>
      </w:pPr>
    </w:p>
    <w:p w14:paraId="05A43C2D" w14:textId="5428C6E2" w:rsidR="00785714" w:rsidRPr="007E79F0" w:rsidRDefault="00785714" w:rsidP="00785714">
      <w:pPr>
        <w:rPr>
          <w:lang w:bidi="ar-SA"/>
        </w:rPr>
      </w:pPr>
      <w:r>
        <w:rPr>
          <w:rFonts w:cs="Arial"/>
          <w:szCs w:val="22"/>
        </w:rPr>
        <w:t xml:space="preserve">Subchronic studies using L-carnitine chloride were also available in rats and dogs. Treatment-related mortality was observed in rats administered L-carnitine chloride by oral gavage for 13 weeks at 5000 mg/kg bw/day. Adverse clinical signs and effects on body weight were seen at 1500 mg/kg bw/day. The NOAEL was </w:t>
      </w:r>
      <w:r w:rsidRPr="004704C0">
        <w:rPr>
          <w:rFonts w:cs="Arial"/>
          <w:szCs w:val="22"/>
        </w:rPr>
        <w:t>450 mg/kg bw/day</w:t>
      </w:r>
      <w:r>
        <w:rPr>
          <w:rFonts w:cs="Arial"/>
          <w:szCs w:val="22"/>
        </w:rPr>
        <w:t xml:space="preserve"> L-carnitine chloride (Yamate </w:t>
      </w:r>
      <w:r w:rsidR="000B7678">
        <w:rPr>
          <w:rFonts w:cs="Arial"/>
          <w:szCs w:val="22"/>
        </w:rPr>
        <w:t>et al. 1</w:t>
      </w:r>
      <w:r>
        <w:rPr>
          <w:rFonts w:cs="Arial"/>
          <w:szCs w:val="22"/>
        </w:rPr>
        <w:t xml:space="preserve">988). Beagle dogs administered carnitine chloride at 800 mg/kg bw/day for 13 weeks showed an increased </w:t>
      </w:r>
      <w:r>
        <w:rPr>
          <w:lang w:bidi="ar-SA"/>
        </w:rPr>
        <w:t xml:space="preserve">incidence of vomiting and diarrhoea. </w:t>
      </w:r>
      <w:r w:rsidRPr="00BC24CD">
        <w:rPr>
          <w:lang w:bidi="ar-SA"/>
        </w:rPr>
        <w:t>These adverse effects are consistent with acute irritation of the gastrointestinal tract by the test material, which was administered as dry powder in gelatin capsules, and do not provide evidence of systemic toxicity</w:t>
      </w:r>
      <w:r>
        <w:rPr>
          <w:lang w:bidi="ar-SA"/>
        </w:rPr>
        <w:t xml:space="preserve">. </w:t>
      </w:r>
      <w:r w:rsidRPr="007E79F0">
        <w:rPr>
          <w:lang w:bidi="ar-SA"/>
        </w:rPr>
        <w:t>The NOAEL was 200 mg/kg bw/day</w:t>
      </w:r>
      <w:r>
        <w:rPr>
          <w:lang w:bidi="ar-SA"/>
        </w:rPr>
        <w:t xml:space="preserve"> L-carnitine chloride</w:t>
      </w:r>
      <w:r w:rsidRPr="007E79F0">
        <w:rPr>
          <w:lang w:bidi="ar-SA"/>
        </w:rPr>
        <w:t>.</w:t>
      </w:r>
    </w:p>
    <w:p w14:paraId="08A534C3" w14:textId="77777777" w:rsidR="00785714" w:rsidRDefault="00785714" w:rsidP="004A45CE">
      <w:pPr>
        <w:widowControl/>
        <w:rPr>
          <w:rFonts w:cs="Arial"/>
          <w:szCs w:val="22"/>
        </w:rPr>
      </w:pPr>
    </w:p>
    <w:p w14:paraId="44E5C8F9" w14:textId="6E56AADC" w:rsidR="00785714" w:rsidRDefault="00785714" w:rsidP="004A45CE">
      <w:pPr>
        <w:widowControl/>
        <w:rPr>
          <w:rFonts w:cs="Arial"/>
          <w:szCs w:val="22"/>
        </w:rPr>
      </w:pPr>
      <w:r>
        <w:rPr>
          <w:rFonts w:cs="Arial"/>
          <w:szCs w:val="22"/>
          <w:lang w:val="en-AU" w:bidi="ar-SA"/>
        </w:rPr>
        <w:lastRenderedPageBreak/>
        <w:t xml:space="preserve">Administration of L-carnitine to rats in drinking water, at doses </w:t>
      </w:r>
      <w:r w:rsidRPr="006F25C4">
        <w:rPr>
          <w:rFonts w:cs="Arial"/>
          <w:szCs w:val="22"/>
          <w:lang w:val="en-AU" w:bidi="ar-SA"/>
        </w:rPr>
        <w:t>≤ 351.9 mg/kg bw/day</w:t>
      </w:r>
      <w:r>
        <w:rPr>
          <w:rFonts w:cs="Arial"/>
          <w:szCs w:val="22"/>
          <w:lang w:val="en-AU" w:bidi="ar-SA"/>
        </w:rPr>
        <w:t>,</w:t>
      </w:r>
      <w:r w:rsidRPr="006F25C4">
        <w:rPr>
          <w:rFonts w:cs="Arial"/>
          <w:szCs w:val="22"/>
          <w:lang w:val="en-AU" w:bidi="ar-SA"/>
        </w:rPr>
        <w:t xml:space="preserve"> </w:t>
      </w:r>
      <w:r>
        <w:rPr>
          <w:rFonts w:cs="Arial"/>
          <w:szCs w:val="22"/>
          <w:lang w:val="en-AU" w:bidi="ar-SA"/>
        </w:rPr>
        <w:t xml:space="preserve">had no effect on survival, bodyweight, histology of colon or heart, or group mean values for weights of liver, kidney or spleen </w:t>
      </w:r>
      <w:r w:rsidRPr="005D4720">
        <w:rPr>
          <w:lang w:bidi="ar-SA"/>
        </w:rPr>
        <w:t xml:space="preserve">(Empl </w:t>
      </w:r>
      <w:r w:rsidR="000B7678">
        <w:rPr>
          <w:lang w:bidi="ar-SA"/>
        </w:rPr>
        <w:t>et al. 2</w:t>
      </w:r>
      <w:r w:rsidRPr="005D4720">
        <w:rPr>
          <w:lang w:bidi="ar-SA"/>
        </w:rPr>
        <w:t xml:space="preserve">015; Weinert </w:t>
      </w:r>
      <w:r w:rsidR="000B7678">
        <w:rPr>
          <w:lang w:bidi="ar-SA"/>
        </w:rPr>
        <w:t>et al. 2</w:t>
      </w:r>
      <w:r w:rsidRPr="005D4720">
        <w:rPr>
          <w:lang w:bidi="ar-SA"/>
        </w:rPr>
        <w:t>016).</w:t>
      </w:r>
      <w:r>
        <w:rPr>
          <w:i/>
          <w:lang w:bidi="ar-SA"/>
        </w:rPr>
        <w:t xml:space="preserve"> </w:t>
      </w:r>
      <w:r>
        <w:rPr>
          <w:rFonts w:cs="Arial"/>
          <w:szCs w:val="22"/>
          <w:lang w:val="en-AU" w:bidi="ar-SA"/>
        </w:rPr>
        <w:t>The NOAEL in</w:t>
      </w:r>
      <w:r w:rsidRPr="00B93636">
        <w:rPr>
          <w:rFonts w:cs="Arial"/>
          <w:szCs w:val="22"/>
          <w:lang w:val="en-AU" w:bidi="ar-SA"/>
        </w:rPr>
        <w:t xml:space="preserve"> </w:t>
      </w:r>
      <w:r>
        <w:rPr>
          <w:rFonts w:cs="Arial"/>
          <w:szCs w:val="22"/>
          <w:lang w:val="en-AU" w:bidi="ar-SA"/>
        </w:rPr>
        <w:t xml:space="preserve">a twelve month </w:t>
      </w:r>
      <w:r w:rsidRPr="00B93636">
        <w:rPr>
          <w:rFonts w:cs="Arial"/>
          <w:szCs w:val="22"/>
          <w:lang w:val="en-AU" w:bidi="ar-SA"/>
        </w:rPr>
        <w:t xml:space="preserve">oral gavage study </w:t>
      </w:r>
      <w:r>
        <w:rPr>
          <w:rFonts w:cs="Arial"/>
          <w:szCs w:val="22"/>
          <w:lang w:val="en-AU" w:bidi="ar-SA"/>
        </w:rPr>
        <w:t>of L-carnitine chloride in rats was</w:t>
      </w:r>
      <w:r w:rsidRPr="00B93636">
        <w:rPr>
          <w:rFonts w:cs="Arial"/>
          <w:szCs w:val="22"/>
          <w:lang w:val="en-AU" w:bidi="ar-SA"/>
        </w:rPr>
        <w:t xml:space="preserve"> 737 mg/kg bw/day</w:t>
      </w:r>
      <w:r>
        <w:rPr>
          <w:rFonts w:cs="Arial"/>
          <w:szCs w:val="22"/>
          <w:lang w:val="en-AU" w:bidi="ar-SA"/>
        </w:rPr>
        <w:t xml:space="preserve"> due to mortalities, adverse clinical signs and effects on body weight at 2000 mg/kg bw/day</w:t>
      </w:r>
      <w:r w:rsidRPr="00B93636">
        <w:rPr>
          <w:rFonts w:cs="Arial"/>
          <w:szCs w:val="22"/>
          <w:lang w:val="en-AU" w:bidi="ar-SA"/>
        </w:rPr>
        <w:t xml:space="preserve"> </w:t>
      </w:r>
      <w:r>
        <w:rPr>
          <w:rFonts w:cs="Arial"/>
          <w:szCs w:val="22"/>
          <w:lang w:val="en-AU" w:bidi="ar-SA"/>
        </w:rPr>
        <w:t xml:space="preserve">(Kudow </w:t>
      </w:r>
      <w:r w:rsidR="000B7678">
        <w:rPr>
          <w:rFonts w:cs="Arial"/>
          <w:szCs w:val="22"/>
          <w:lang w:val="en-AU" w:bidi="ar-SA"/>
        </w:rPr>
        <w:t>et al. 1</w:t>
      </w:r>
      <w:r>
        <w:rPr>
          <w:rFonts w:cs="Arial"/>
          <w:szCs w:val="22"/>
          <w:lang w:val="en-AU" w:bidi="ar-SA"/>
        </w:rPr>
        <w:t xml:space="preserve">988b). </w:t>
      </w:r>
      <w:r w:rsidRPr="005D54C7">
        <w:rPr>
          <w:rFonts w:cs="Arial"/>
          <w:szCs w:val="22"/>
        </w:rPr>
        <w:t xml:space="preserve">Kikumori </w:t>
      </w:r>
      <w:r w:rsidR="000B7678">
        <w:rPr>
          <w:rFonts w:cs="Arial"/>
          <w:szCs w:val="22"/>
        </w:rPr>
        <w:t>et al. (</w:t>
      </w:r>
      <w:r w:rsidRPr="005D54C7">
        <w:rPr>
          <w:rFonts w:cs="Arial"/>
          <w:szCs w:val="22"/>
        </w:rPr>
        <w:t>1988c) identified a NOAEL of 200 mg/kg bw/day for L-carnitine chloride in a chronic oral capsule study in Beagle dogs, on the basis of adverse effects on the gastroint</w:t>
      </w:r>
      <w:r>
        <w:rPr>
          <w:rFonts w:cs="Arial"/>
          <w:szCs w:val="22"/>
        </w:rPr>
        <w:t>estinal tract at higher doses. As above, the effects are consistent with the irritation of the gastrointestinal tract by the test material and do not provide evidence of systemic toxicity related to the test material.</w:t>
      </w:r>
    </w:p>
    <w:p w14:paraId="3E5BD1C6" w14:textId="77777777" w:rsidR="00785714" w:rsidRDefault="00785714" w:rsidP="00785714">
      <w:pPr>
        <w:rPr>
          <w:rFonts w:cs="Arial"/>
          <w:szCs w:val="22"/>
        </w:rPr>
      </w:pPr>
    </w:p>
    <w:p w14:paraId="638B602F" w14:textId="77777777" w:rsidR="00785714" w:rsidRDefault="00785714" w:rsidP="00785714">
      <w:pPr>
        <w:rPr>
          <w:rFonts w:cs="Arial"/>
          <w:szCs w:val="22"/>
        </w:rPr>
      </w:pPr>
      <w:r w:rsidRPr="00924F89">
        <w:rPr>
          <w:rFonts w:cs="Arial"/>
          <w:szCs w:val="22"/>
        </w:rPr>
        <w:t>No</w:t>
      </w:r>
      <w:r>
        <w:rPr>
          <w:rFonts w:cs="Arial"/>
          <w:szCs w:val="22"/>
        </w:rPr>
        <w:t xml:space="preserve"> lifetime (104 week)</w:t>
      </w:r>
      <w:r w:rsidRPr="00924F89">
        <w:rPr>
          <w:rFonts w:cs="Arial"/>
          <w:szCs w:val="22"/>
        </w:rPr>
        <w:t xml:space="preserve"> carcinogenicity studies</w:t>
      </w:r>
      <w:r>
        <w:rPr>
          <w:rFonts w:cs="Arial"/>
          <w:szCs w:val="22"/>
        </w:rPr>
        <w:t xml:space="preserve"> </w:t>
      </w:r>
      <w:r w:rsidRPr="00924F89">
        <w:rPr>
          <w:rFonts w:cs="Arial"/>
          <w:szCs w:val="22"/>
        </w:rPr>
        <w:t>were located</w:t>
      </w:r>
      <w:r>
        <w:rPr>
          <w:rFonts w:cs="Arial"/>
          <w:szCs w:val="22"/>
        </w:rPr>
        <w:t>.</w:t>
      </w:r>
      <w:r w:rsidRPr="00924F89">
        <w:rPr>
          <w:rFonts w:cs="Arial"/>
          <w:szCs w:val="22"/>
        </w:rPr>
        <w:t xml:space="preserve"> </w:t>
      </w:r>
      <w:r>
        <w:rPr>
          <w:rFonts w:cs="Arial"/>
          <w:szCs w:val="22"/>
        </w:rPr>
        <w:t xml:space="preserve">L-carnitine and L-carnitine chloride were not genotoxic and the available evidence </w:t>
      </w:r>
      <w:r w:rsidRPr="00924F89">
        <w:rPr>
          <w:rFonts w:cs="Arial"/>
          <w:szCs w:val="22"/>
        </w:rPr>
        <w:t>from subchronic and chronic studies does not suggest any potential for c</w:t>
      </w:r>
      <w:r>
        <w:rPr>
          <w:rFonts w:cs="Arial"/>
          <w:szCs w:val="22"/>
        </w:rPr>
        <w:t>arcinogenicity</w:t>
      </w:r>
      <w:r w:rsidRPr="00924F89">
        <w:rPr>
          <w:rFonts w:cs="Arial"/>
          <w:szCs w:val="22"/>
        </w:rPr>
        <w:t xml:space="preserve">. </w:t>
      </w:r>
    </w:p>
    <w:p w14:paraId="74F5E14F" w14:textId="77777777" w:rsidR="00785714" w:rsidRDefault="00785714" w:rsidP="00785714">
      <w:pPr>
        <w:rPr>
          <w:rFonts w:cs="Arial"/>
          <w:szCs w:val="22"/>
        </w:rPr>
      </w:pPr>
    </w:p>
    <w:p w14:paraId="17D185AB" w14:textId="0A5EC32E" w:rsidR="00785714" w:rsidRPr="00E206F8" w:rsidRDefault="00785714" w:rsidP="00785714">
      <w:pPr>
        <w:rPr>
          <w:rFonts w:cs="Arial"/>
          <w:szCs w:val="22"/>
        </w:rPr>
      </w:pPr>
      <w:r w:rsidRPr="004116E8">
        <w:rPr>
          <w:rFonts w:cs="Arial"/>
          <w:szCs w:val="22"/>
        </w:rPr>
        <w:t>The available evidence from two species supports</w:t>
      </w:r>
      <w:r>
        <w:rPr>
          <w:rFonts w:cs="Arial"/>
          <w:szCs w:val="22"/>
        </w:rPr>
        <w:t xml:space="preserve"> a conclusion</w:t>
      </w:r>
      <w:r w:rsidRPr="004116E8">
        <w:rPr>
          <w:rFonts w:cs="Arial"/>
          <w:szCs w:val="22"/>
        </w:rPr>
        <w:t xml:space="preserve"> that L-carnitine and its salts are not reproductive or developmental toxicants.</w:t>
      </w:r>
      <w:r>
        <w:t xml:space="preserve"> Brandsch and E</w:t>
      </w:r>
      <w:r w:rsidRPr="00E206F8">
        <w:t>der (2003) concluded that addition of L-carnitine to the diet of rats, up to 1 g/kg of diet, had no effect on reproductive performance of rats.</w:t>
      </w:r>
      <w:r>
        <w:t xml:space="preserve"> </w:t>
      </w:r>
      <w:r w:rsidRPr="00E206F8">
        <w:rPr>
          <w:rFonts w:cs="Arial"/>
          <w:szCs w:val="22"/>
        </w:rPr>
        <w:t xml:space="preserve">No adverse effects of L-carnitine chloride on reproductive function were found in male or female rats at the highest dose of 3000 mg/kg bw/day (Itabashi </w:t>
      </w:r>
      <w:r w:rsidR="000B7678">
        <w:rPr>
          <w:rFonts w:cs="Arial"/>
          <w:szCs w:val="22"/>
        </w:rPr>
        <w:t>et al. 1</w:t>
      </w:r>
      <w:r w:rsidRPr="00E206F8">
        <w:rPr>
          <w:rFonts w:cs="Arial"/>
          <w:szCs w:val="22"/>
        </w:rPr>
        <w:t xml:space="preserve">988a) in which dosing was from prior to mating to GD 7, or at the highest dose 2700 mg/kg bw/day in the study of Nakamura </w:t>
      </w:r>
      <w:r w:rsidR="000B7678">
        <w:rPr>
          <w:rFonts w:cs="Arial"/>
          <w:szCs w:val="22"/>
        </w:rPr>
        <w:t>et al. (</w:t>
      </w:r>
      <w:r w:rsidRPr="00E206F8">
        <w:rPr>
          <w:rFonts w:cs="Arial"/>
          <w:szCs w:val="22"/>
        </w:rPr>
        <w:t xml:space="preserve">1988) in which dosing was from GD 7 to GD 17. No teratogenic effects were found in </w:t>
      </w:r>
      <w:r>
        <w:rPr>
          <w:rFonts w:cs="Arial"/>
          <w:szCs w:val="22"/>
        </w:rPr>
        <w:t xml:space="preserve">the rat </w:t>
      </w:r>
      <w:r w:rsidRPr="00E206F8">
        <w:rPr>
          <w:rFonts w:cs="Arial"/>
          <w:szCs w:val="22"/>
        </w:rPr>
        <w:t xml:space="preserve">pups, even at doses at which mild maternal toxicity was evident (Itabashi </w:t>
      </w:r>
      <w:r w:rsidR="000B7678">
        <w:rPr>
          <w:rFonts w:cs="Arial"/>
          <w:szCs w:val="22"/>
        </w:rPr>
        <w:t>et al. 1</w:t>
      </w:r>
      <w:r w:rsidRPr="00E206F8">
        <w:rPr>
          <w:rFonts w:cs="Arial"/>
          <w:szCs w:val="22"/>
        </w:rPr>
        <w:t xml:space="preserve">988a,b; Nakamura </w:t>
      </w:r>
      <w:r w:rsidR="000B7678">
        <w:rPr>
          <w:rFonts w:cs="Arial"/>
          <w:szCs w:val="22"/>
        </w:rPr>
        <w:t>et al. 1</w:t>
      </w:r>
      <w:r w:rsidRPr="00E206F8">
        <w:rPr>
          <w:rFonts w:cs="Arial"/>
          <w:szCs w:val="22"/>
        </w:rPr>
        <w:t>988).</w:t>
      </w:r>
      <w:r>
        <w:rPr>
          <w:rFonts w:cs="Arial"/>
          <w:szCs w:val="22"/>
        </w:rPr>
        <w:t xml:space="preserve"> In rabbits,</w:t>
      </w:r>
      <w:r w:rsidRPr="00E206F8">
        <w:rPr>
          <w:rFonts w:cs="Arial"/>
          <w:szCs w:val="22"/>
        </w:rPr>
        <w:t xml:space="preserve"> Toteno </w:t>
      </w:r>
      <w:r w:rsidR="000B7678">
        <w:rPr>
          <w:rFonts w:cs="Arial"/>
          <w:szCs w:val="22"/>
        </w:rPr>
        <w:t>et al. (</w:t>
      </w:r>
      <w:r w:rsidRPr="00E206F8">
        <w:rPr>
          <w:rFonts w:cs="Arial"/>
          <w:szCs w:val="22"/>
        </w:rPr>
        <w:t xml:space="preserve">1988) identified a NOAEL for maternal toxicity of 316 mg/kg bw/day L-carnitine chloride, but </w:t>
      </w:r>
      <w:r>
        <w:rPr>
          <w:rFonts w:cs="Arial"/>
          <w:szCs w:val="22"/>
        </w:rPr>
        <w:t>a</w:t>
      </w:r>
      <w:r w:rsidRPr="00E206F8">
        <w:rPr>
          <w:rFonts w:cs="Arial"/>
          <w:szCs w:val="22"/>
        </w:rPr>
        <w:t xml:space="preserve"> NOAEL for fetuses </w:t>
      </w:r>
      <w:r>
        <w:rPr>
          <w:rFonts w:cs="Arial"/>
          <w:szCs w:val="22"/>
        </w:rPr>
        <w:t>at</w:t>
      </w:r>
      <w:r w:rsidRPr="00E206F8">
        <w:rPr>
          <w:rFonts w:cs="Arial"/>
          <w:szCs w:val="22"/>
        </w:rPr>
        <w:t xml:space="preserve"> a maternal dose of 1000 mg/kg bw/day.</w:t>
      </w:r>
    </w:p>
    <w:p w14:paraId="5C01AF3C" w14:textId="77777777" w:rsidR="00785714" w:rsidRDefault="00785714" w:rsidP="00785714">
      <w:pPr>
        <w:rPr>
          <w:rFonts w:cs="Arial"/>
          <w:szCs w:val="22"/>
        </w:rPr>
      </w:pPr>
    </w:p>
    <w:p w14:paraId="47AC80E4" w14:textId="77777777" w:rsidR="00785714" w:rsidRPr="007F16F7" w:rsidRDefault="00785714" w:rsidP="00785714">
      <w:pPr>
        <w:rPr>
          <w:rFonts w:cs="Arial"/>
          <w:i/>
          <w:szCs w:val="22"/>
        </w:rPr>
      </w:pPr>
      <w:r w:rsidRPr="007F16F7">
        <w:rPr>
          <w:rFonts w:cs="Arial"/>
          <w:i/>
          <w:szCs w:val="22"/>
        </w:rPr>
        <w:t>Other studies</w:t>
      </w:r>
    </w:p>
    <w:p w14:paraId="3FD97A7A" w14:textId="77777777" w:rsidR="00785714" w:rsidRDefault="00785714" w:rsidP="00785714">
      <w:pPr>
        <w:rPr>
          <w:rFonts w:cs="Arial"/>
          <w:szCs w:val="22"/>
        </w:rPr>
      </w:pPr>
    </w:p>
    <w:p w14:paraId="153C7762" w14:textId="5C7E4846" w:rsidR="00785714" w:rsidRPr="007F16F7" w:rsidRDefault="00785714" w:rsidP="00785714">
      <w:pPr>
        <w:rPr>
          <w:rFonts w:cs="Arial"/>
          <w:szCs w:val="22"/>
        </w:rPr>
      </w:pPr>
      <w:r w:rsidRPr="00924F89">
        <w:rPr>
          <w:rFonts w:cs="Arial"/>
          <w:szCs w:val="22"/>
        </w:rPr>
        <w:t xml:space="preserve">A number of animal studies have investigated the </w:t>
      </w:r>
      <w:r>
        <w:rPr>
          <w:rFonts w:cs="Arial"/>
          <w:szCs w:val="22"/>
        </w:rPr>
        <w:t xml:space="preserve">potential </w:t>
      </w:r>
      <w:r w:rsidRPr="00924F89">
        <w:rPr>
          <w:rFonts w:cs="Arial"/>
          <w:szCs w:val="22"/>
        </w:rPr>
        <w:t xml:space="preserve">effects of L-carnitine on atherosclerosis. Two such studies were conducted in ApoE-/- mice, a commonly used model of human atherosclerosis. Koeth </w:t>
      </w:r>
      <w:r w:rsidR="000B7678">
        <w:rPr>
          <w:rFonts w:cs="Arial"/>
          <w:szCs w:val="22"/>
        </w:rPr>
        <w:t>et al. (</w:t>
      </w:r>
      <w:r w:rsidRPr="00924F89">
        <w:rPr>
          <w:rFonts w:cs="Arial"/>
          <w:szCs w:val="22"/>
        </w:rPr>
        <w:t>2013) concluded from their study in female ApoE-/- mice that dietary L-carnitine promotes atherosclerosis</w:t>
      </w:r>
      <w:r>
        <w:rPr>
          <w:rFonts w:cs="Arial"/>
          <w:szCs w:val="22"/>
        </w:rPr>
        <w:t xml:space="preserve"> when administered in drinking water at a dose of 1700 mg/kg bw/day for 15 weeks</w:t>
      </w:r>
      <w:r w:rsidRPr="00924F89">
        <w:rPr>
          <w:rFonts w:cs="Arial"/>
          <w:szCs w:val="22"/>
        </w:rPr>
        <w:t xml:space="preserve">. </w:t>
      </w:r>
      <w:r>
        <w:rPr>
          <w:rFonts w:cs="Arial"/>
          <w:szCs w:val="22"/>
        </w:rPr>
        <w:t xml:space="preserve">The authors suggested that </w:t>
      </w:r>
      <w:r w:rsidRPr="003818BF">
        <w:rPr>
          <w:rFonts w:cs="Arial"/>
          <w:szCs w:val="22"/>
        </w:rPr>
        <w:t>L-carnitine promotes atherosclerosis</w:t>
      </w:r>
      <w:r>
        <w:rPr>
          <w:rFonts w:cs="Arial"/>
          <w:szCs w:val="22"/>
        </w:rPr>
        <w:t xml:space="preserve">, not directly, but </w:t>
      </w:r>
      <w:r w:rsidRPr="003818BF">
        <w:rPr>
          <w:rFonts w:cs="Arial"/>
          <w:szCs w:val="22"/>
        </w:rPr>
        <w:t>through production of atherogenic metabolites by intestinal microbes.</w:t>
      </w:r>
      <w:r>
        <w:rPr>
          <w:rFonts w:cs="Arial"/>
          <w:szCs w:val="22"/>
        </w:rPr>
        <w:t xml:space="preserve"> </w:t>
      </w:r>
      <w:r w:rsidRPr="00924F89">
        <w:rPr>
          <w:rFonts w:cs="Arial"/>
          <w:szCs w:val="22"/>
        </w:rPr>
        <w:t xml:space="preserve">However Collins </w:t>
      </w:r>
      <w:r w:rsidR="000B7678">
        <w:rPr>
          <w:rFonts w:cs="Arial"/>
          <w:szCs w:val="22"/>
        </w:rPr>
        <w:t>et al. (</w:t>
      </w:r>
      <w:r w:rsidRPr="00924F89">
        <w:rPr>
          <w:rFonts w:cs="Arial"/>
          <w:szCs w:val="22"/>
        </w:rPr>
        <w:t>2016) found the opposite effect in male ApoE-/- mice</w:t>
      </w:r>
      <w:r>
        <w:rPr>
          <w:rFonts w:cs="Arial"/>
          <w:szCs w:val="22"/>
        </w:rPr>
        <w:t xml:space="preserve"> that expressed human </w:t>
      </w:r>
      <w:r w:rsidRPr="00780C80">
        <w:rPr>
          <w:rFonts w:cs="Arial"/>
          <w:szCs w:val="22"/>
        </w:rPr>
        <w:t xml:space="preserve">cholesteryl ester transfer protein </w:t>
      </w:r>
      <w:r>
        <w:rPr>
          <w:rFonts w:cs="Arial"/>
          <w:szCs w:val="22"/>
        </w:rPr>
        <w:t>(CETP) given L-carnitine</w:t>
      </w:r>
      <w:r w:rsidRPr="000B5576">
        <w:t xml:space="preserve"> </w:t>
      </w:r>
      <w:r>
        <w:t xml:space="preserve">at doses of </w:t>
      </w:r>
      <w:r w:rsidRPr="00CD3DB3">
        <w:t>87 and 352 mg/kg bw/day</w:t>
      </w:r>
      <w:r>
        <w:t xml:space="preserve"> by oral gavage. </w:t>
      </w:r>
      <w:r w:rsidRPr="007F16F7">
        <w:t>In both groups treated with L</w:t>
      </w:r>
      <w:r>
        <w:t>-carnitine</w:t>
      </w:r>
      <w:r w:rsidRPr="007F16F7">
        <w:t xml:space="preserve">, analysis of atherosclerotic lesion size at the aortic root showed a very small but significant decrease in group mean lesion size compared to the control group. When the 352 mg/kg bw/day group was compared to the control group, there was a significant inverse correlation between lesion size at the aortic root and plasma TMAO. Likewise, using morphometric analysis data, a significant inverse correlation was found between plasma TMAO and thoracic aorta lesion area. </w:t>
      </w:r>
    </w:p>
    <w:p w14:paraId="4BBCB501" w14:textId="77777777" w:rsidR="00785714" w:rsidRDefault="00785714" w:rsidP="00785714">
      <w:pPr>
        <w:rPr>
          <w:rFonts w:cs="Arial"/>
          <w:szCs w:val="22"/>
        </w:rPr>
      </w:pPr>
    </w:p>
    <w:p w14:paraId="2178CF5E" w14:textId="1A7AE27F" w:rsidR="00785714" w:rsidRDefault="00785714" w:rsidP="00785714">
      <w:pPr>
        <w:rPr>
          <w:rFonts w:cs="Arial"/>
          <w:szCs w:val="22"/>
        </w:rPr>
      </w:pPr>
      <w:r w:rsidRPr="000B5576">
        <w:rPr>
          <w:rFonts w:cs="Arial"/>
          <w:szCs w:val="22"/>
        </w:rPr>
        <w:t xml:space="preserve">Spagnoli </w:t>
      </w:r>
      <w:r w:rsidR="000B7678">
        <w:rPr>
          <w:rFonts w:cs="Arial"/>
          <w:szCs w:val="22"/>
        </w:rPr>
        <w:t>et al. (</w:t>
      </w:r>
      <w:r w:rsidRPr="000B5576">
        <w:rPr>
          <w:rFonts w:cs="Arial"/>
          <w:szCs w:val="22"/>
        </w:rPr>
        <w:t xml:space="preserve">1995) reported that dietary propionyl L-carnitine reduced the size and thickness of atherosclerotic plaques in rabbits with induced hypercholesterolaemia, and was associated with a lower level of proliferative activity of both macrophages and smooth muscle cells. Similarly, Sayed-Ahmed </w:t>
      </w:r>
      <w:r w:rsidR="000B7678">
        <w:rPr>
          <w:rFonts w:cs="Arial"/>
          <w:szCs w:val="22"/>
        </w:rPr>
        <w:t>et al. (</w:t>
      </w:r>
      <w:r w:rsidRPr="000B5576">
        <w:rPr>
          <w:rFonts w:cs="Arial"/>
          <w:szCs w:val="22"/>
        </w:rPr>
        <w:t>2001) found that intraperitoneal supplementation with L-carnitine prevented progression of atherosclerosis in rabbits wit</w:t>
      </w:r>
      <w:r>
        <w:rPr>
          <w:rFonts w:cs="Arial"/>
          <w:szCs w:val="22"/>
        </w:rPr>
        <w:t xml:space="preserve">h induced hypercholesterolaemia. </w:t>
      </w:r>
      <w:r w:rsidRPr="000B5576">
        <w:rPr>
          <w:rFonts w:cs="Arial"/>
          <w:szCs w:val="22"/>
        </w:rPr>
        <w:t xml:space="preserve">Seccombe </w:t>
      </w:r>
      <w:r w:rsidR="000B7678">
        <w:rPr>
          <w:rFonts w:cs="Arial"/>
          <w:szCs w:val="22"/>
        </w:rPr>
        <w:t>et al. (</w:t>
      </w:r>
      <w:r w:rsidRPr="000B5576">
        <w:rPr>
          <w:rFonts w:cs="Arial"/>
          <w:szCs w:val="22"/>
        </w:rPr>
        <w:t xml:space="preserve">1987) </w:t>
      </w:r>
      <w:r>
        <w:rPr>
          <w:rFonts w:cs="Arial"/>
          <w:szCs w:val="22"/>
        </w:rPr>
        <w:t>reported</w:t>
      </w:r>
      <w:r w:rsidRPr="000B5576">
        <w:rPr>
          <w:rFonts w:cs="Arial"/>
          <w:szCs w:val="22"/>
        </w:rPr>
        <w:t xml:space="preserve"> that dietary L-carnitine supplementation of rabbits was associated with decreased plasma VLDL-cholesterol, although Spagnoli </w:t>
      </w:r>
      <w:r w:rsidR="000B7678">
        <w:rPr>
          <w:rFonts w:cs="Arial"/>
          <w:szCs w:val="22"/>
        </w:rPr>
        <w:t>et al. (</w:t>
      </w:r>
      <w:r w:rsidRPr="000B5576">
        <w:rPr>
          <w:rFonts w:cs="Arial"/>
          <w:szCs w:val="22"/>
        </w:rPr>
        <w:t xml:space="preserve">1995) and Sayed-Ahmed </w:t>
      </w:r>
      <w:r w:rsidR="000B7678">
        <w:rPr>
          <w:rFonts w:cs="Arial"/>
          <w:szCs w:val="22"/>
        </w:rPr>
        <w:t>et al. (</w:t>
      </w:r>
      <w:r w:rsidRPr="000B5576">
        <w:rPr>
          <w:rFonts w:cs="Arial"/>
          <w:szCs w:val="22"/>
        </w:rPr>
        <w:t>2001) found that L-carnitine did not affect plasma total cholesterol.</w:t>
      </w:r>
      <w:r>
        <w:rPr>
          <w:rFonts w:cs="Arial"/>
          <w:szCs w:val="22"/>
        </w:rPr>
        <w:t xml:space="preserve"> </w:t>
      </w:r>
      <w:r w:rsidRPr="00924F89">
        <w:rPr>
          <w:rFonts w:cs="Arial"/>
          <w:szCs w:val="22"/>
        </w:rPr>
        <w:t xml:space="preserve">A chronic study of L-carnitine in drinking water of rats (Empl </w:t>
      </w:r>
      <w:r w:rsidR="000B7678">
        <w:rPr>
          <w:rFonts w:cs="Arial"/>
          <w:szCs w:val="22"/>
        </w:rPr>
        <w:lastRenderedPageBreak/>
        <w:t>et al. 2</w:t>
      </w:r>
      <w:r w:rsidRPr="00924F89">
        <w:rPr>
          <w:rFonts w:cs="Arial"/>
          <w:szCs w:val="22"/>
        </w:rPr>
        <w:t xml:space="preserve">015; Weinert </w:t>
      </w:r>
      <w:r w:rsidR="000B7678">
        <w:rPr>
          <w:rFonts w:cs="Arial"/>
          <w:szCs w:val="22"/>
        </w:rPr>
        <w:t>et al. 2</w:t>
      </w:r>
      <w:r w:rsidRPr="00924F89">
        <w:rPr>
          <w:rFonts w:cs="Arial"/>
          <w:szCs w:val="22"/>
        </w:rPr>
        <w:t xml:space="preserve">016) did not lead to any adverse effects on the cardiovascular system, and was also not associated with any preneoplastic or neoplastic changes in the colon. </w:t>
      </w:r>
    </w:p>
    <w:p w14:paraId="32B8011F" w14:textId="77777777" w:rsidR="00785714" w:rsidRDefault="00785714" w:rsidP="00785714">
      <w:pPr>
        <w:rPr>
          <w:rFonts w:cs="Arial"/>
          <w:szCs w:val="22"/>
        </w:rPr>
      </w:pPr>
    </w:p>
    <w:p w14:paraId="580FD009" w14:textId="77777777" w:rsidR="00785714" w:rsidRPr="00924F89" w:rsidRDefault="00785714" w:rsidP="00785714">
      <w:pPr>
        <w:rPr>
          <w:rFonts w:cs="Arial"/>
          <w:szCs w:val="22"/>
        </w:rPr>
      </w:pPr>
      <w:r>
        <w:rPr>
          <w:rFonts w:cs="Arial"/>
          <w:szCs w:val="22"/>
        </w:rPr>
        <w:t>Overall, t</w:t>
      </w:r>
      <w:r w:rsidRPr="00924F89">
        <w:rPr>
          <w:rFonts w:cs="Arial"/>
          <w:szCs w:val="22"/>
        </w:rPr>
        <w:t xml:space="preserve">he weight of evidence in animal studies does not support </w:t>
      </w:r>
      <w:r>
        <w:rPr>
          <w:rFonts w:cs="Arial"/>
          <w:szCs w:val="22"/>
        </w:rPr>
        <w:t xml:space="preserve">the </w:t>
      </w:r>
      <w:r w:rsidRPr="00924F89">
        <w:rPr>
          <w:rFonts w:cs="Arial"/>
          <w:szCs w:val="22"/>
        </w:rPr>
        <w:t>hypothes</w:t>
      </w:r>
      <w:r>
        <w:rPr>
          <w:rFonts w:cs="Arial"/>
          <w:szCs w:val="22"/>
        </w:rPr>
        <w:t>i</w:t>
      </w:r>
      <w:r w:rsidRPr="00924F89">
        <w:rPr>
          <w:rFonts w:cs="Arial"/>
          <w:szCs w:val="22"/>
        </w:rPr>
        <w:t>s that L-carnitine is a</w:t>
      </w:r>
      <w:r>
        <w:rPr>
          <w:rFonts w:cs="Arial"/>
          <w:szCs w:val="22"/>
        </w:rPr>
        <w:t xml:space="preserve"> significant</w:t>
      </w:r>
      <w:r w:rsidRPr="00924F89">
        <w:rPr>
          <w:rFonts w:cs="Arial"/>
          <w:szCs w:val="22"/>
        </w:rPr>
        <w:t xml:space="preserve"> risk factor for atherosclerosis.</w:t>
      </w:r>
    </w:p>
    <w:p w14:paraId="71ACD7F0" w14:textId="77777777" w:rsidR="00785714" w:rsidRPr="00E12CFA" w:rsidRDefault="00785714" w:rsidP="00785714">
      <w:pPr>
        <w:pStyle w:val="Heading3"/>
      </w:pPr>
      <w:bookmarkStart w:id="19" w:name="_Toc520888221"/>
      <w:r>
        <w:t>3.1.4</w:t>
      </w:r>
      <w:r>
        <w:tab/>
      </w:r>
      <w:r w:rsidRPr="00E12CFA">
        <w:t>Human studies</w:t>
      </w:r>
      <w:r>
        <w:t xml:space="preserve"> investigating safety</w:t>
      </w:r>
      <w:bookmarkEnd w:id="19"/>
    </w:p>
    <w:p w14:paraId="0EE4F6E5" w14:textId="77777777" w:rsidR="00785714" w:rsidRDefault="00785714" w:rsidP="00785714">
      <w:pPr>
        <w:widowControl/>
        <w:rPr>
          <w:rFonts w:eastAsia="Calibri"/>
          <w:szCs w:val="22"/>
          <w:lang w:bidi="ar-SA"/>
        </w:rPr>
      </w:pPr>
      <w:r>
        <w:rPr>
          <w:rFonts w:eastAsia="Calibri"/>
          <w:szCs w:val="22"/>
          <w:lang w:bidi="ar-SA"/>
        </w:rPr>
        <w:t>A large number of human intervention studies with L-carnitine have been conducted in healthy subjects and in subjects with medical conditions. Many of the studies investigating the potential beneficial effects of L-carnitine have also included assessment of safety parameters.</w:t>
      </w:r>
      <w:r w:rsidRPr="00E72A4D">
        <w:rPr>
          <w:rFonts w:eastAsia="Calibri"/>
          <w:szCs w:val="22"/>
          <w:lang w:bidi="ar-SA"/>
        </w:rPr>
        <w:t xml:space="preserve"> </w:t>
      </w:r>
      <w:r>
        <w:rPr>
          <w:rFonts w:eastAsia="Calibri"/>
          <w:szCs w:val="22"/>
          <w:lang w:bidi="ar-SA"/>
        </w:rPr>
        <w:t>There are also studies on L-carnitine-L-tartrate that are valuable for hazard assessment.</w:t>
      </w:r>
    </w:p>
    <w:p w14:paraId="00E06777" w14:textId="77777777" w:rsidR="00785714" w:rsidRDefault="00785714" w:rsidP="00785714">
      <w:pPr>
        <w:widowControl/>
        <w:rPr>
          <w:rFonts w:eastAsia="Calibri"/>
          <w:szCs w:val="22"/>
          <w:lang w:bidi="ar-SA"/>
        </w:rPr>
      </w:pPr>
    </w:p>
    <w:p w14:paraId="3BEE0384" w14:textId="6E3C278E" w:rsidR="00785714" w:rsidRDefault="00785714" w:rsidP="00785714">
      <w:pPr>
        <w:widowControl/>
        <w:rPr>
          <w:rFonts w:eastAsia="Calibri"/>
          <w:szCs w:val="22"/>
          <w:lang w:bidi="ar-SA"/>
        </w:rPr>
      </w:pPr>
      <w:r>
        <w:rPr>
          <w:rFonts w:eastAsia="Calibri"/>
          <w:szCs w:val="22"/>
          <w:lang w:bidi="ar-SA"/>
        </w:rPr>
        <w:t>A review published in 2006 considered findings from 27 studies in humans administered L-carnitine, or its salts or esters, at oral doses of up to 7 g/day and durations of up to 12 months (Hathcock and Shao 2006). Fishy body and/or urine odour were reported in some subjects at the highest doses tested (6–7 g/day L-carnitine).</w:t>
      </w:r>
      <w:r w:rsidRPr="0084330A">
        <w:rPr>
          <w:rFonts w:eastAsia="Calibri"/>
          <w:szCs w:val="22"/>
          <w:lang w:bidi="ar-SA"/>
        </w:rPr>
        <w:t xml:space="preserve"> </w:t>
      </w:r>
      <w:r w:rsidR="00136CAC">
        <w:rPr>
          <w:rFonts w:eastAsia="Calibri"/>
          <w:szCs w:val="22"/>
          <w:lang w:bidi="ar-SA"/>
        </w:rPr>
        <w:t xml:space="preserve">These findings, which were not accompanied by other adverse effects, were </w:t>
      </w:r>
      <w:r>
        <w:rPr>
          <w:rFonts w:eastAsia="Calibri"/>
          <w:szCs w:val="22"/>
          <w:lang w:bidi="ar-SA"/>
        </w:rPr>
        <w:t>likely due to conversion of unabsorbed L-carnitine to TMA by gut microbiota (</w:t>
      </w:r>
      <w:r w:rsidRPr="00C75E0E">
        <w:rPr>
          <w:rFonts w:eastAsia="Calibri"/>
          <w:szCs w:val="22"/>
          <w:lang w:bidi="ar-SA"/>
        </w:rPr>
        <w:t>Ayesh</w:t>
      </w:r>
      <w:r>
        <w:rPr>
          <w:rFonts w:eastAsia="Calibri"/>
          <w:szCs w:val="22"/>
          <w:lang w:bidi="ar-SA"/>
        </w:rPr>
        <w:t xml:space="preserve"> </w:t>
      </w:r>
      <w:r w:rsidR="000B7678">
        <w:rPr>
          <w:rFonts w:eastAsia="Calibri"/>
          <w:szCs w:val="22"/>
          <w:lang w:bidi="ar-SA"/>
        </w:rPr>
        <w:t>et al. 1</w:t>
      </w:r>
      <w:r>
        <w:rPr>
          <w:rFonts w:eastAsia="Calibri"/>
          <w:szCs w:val="22"/>
          <w:lang w:bidi="ar-SA"/>
        </w:rPr>
        <w:t>993)</w:t>
      </w:r>
      <w:r w:rsidRPr="00452A82">
        <w:rPr>
          <w:rFonts w:eastAsia="Calibri"/>
          <w:szCs w:val="22"/>
          <w:lang w:bidi="ar-SA"/>
        </w:rPr>
        <w:t>.</w:t>
      </w:r>
    </w:p>
    <w:p w14:paraId="3509BD24" w14:textId="77777777" w:rsidR="00785714" w:rsidRDefault="00785714" w:rsidP="00785714">
      <w:pPr>
        <w:widowControl/>
        <w:rPr>
          <w:rFonts w:eastAsia="Calibri"/>
          <w:szCs w:val="22"/>
          <w:lang w:bidi="ar-SA"/>
        </w:rPr>
      </w:pPr>
    </w:p>
    <w:p w14:paraId="51A9D961" w14:textId="67250BDE" w:rsidR="00785714" w:rsidRDefault="00785714" w:rsidP="00785714">
      <w:pPr>
        <w:rPr>
          <w:lang w:bidi="ar-SA"/>
        </w:rPr>
      </w:pPr>
      <w:r>
        <w:rPr>
          <w:lang w:bidi="ar-SA"/>
        </w:rPr>
        <w:t xml:space="preserve">The studies summarised below were considered to be particularly valuable for hazard assessment because they: (i) used high daily oral doses for long durations in a large number of males and females (6 g/day for 12 months; Iliceto </w:t>
      </w:r>
      <w:r w:rsidR="000B7678">
        <w:rPr>
          <w:lang w:bidi="ar-SA"/>
        </w:rPr>
        <w:t>et al. 1</w:t>
      </w:r>
      <w:r>
        <w:rPr>
          <w:lang w:bidi="ar-SA"/>
        </w:rPr>
        <w:t xml:space="preserve">995); (ii) investigated clinical chemistry and haematology parameters (Rubin </w:t>
      </w:r>
      <w:r w:rsidR="000B7678">
        <w:rPr>
          <w:lang w:bidi="ar-SA"/>
        </w:rPr>
        <w:t>et al. 2</w:t>
      </w:r>
      <w:r>
        <w:rPr>
          <w:lang w:bidi="ar-SA"/>
        </w:rPr>
        <w:t>001;</w:t>
      </w:r>
      <w:r w:rsidRPr="00AE5B43">
        <w:t xml:space="preserve"> </w:t>
      </w:r>
      <w:r w:rsidRPr="00AE5B43">
        <w:rPr>
          <w:lang w:bidi="ar-SA"/>
        </w:rPr>
        <w:t xml:space="preserve">Keller </w:t>
      </w:r>
      <w:r w:rsidR="000B7678">
        <w:rPr>
          <w:lang w:bidi="ar-SA"/>
        </w:rPr>
        <w:t>et al. 2</w:t>
      </w:r>
      <w:r w:rsidRPr="00AE5B43">
        <w:rPr>
          <w:lang w:bidi="ar-SA"/>
        </w:rPr>
        <w:t>009</w:t>
      </w:r>
      <w:r>
        <w:rPr>
          <w:lang w:bidi="ar-SA"/>
        </w:rPr>
        <w:t>;</w:t>
      </w:r>
      <w:r w:rsidRPr="00AE5B43">
        <w:t xml:space="preserve"> </w:t>
      </w:r>
      <w:r w:rsidRPr="00AE5B43">
        <w:rPr>
          <w:lang w:bidi="ar-SA"/>
        </w:rPr>
        <w:t xml:space="preserve">Badrasawi </w:t>
      </w:r>
      <w:r w:rsidR="000B7678">
        <w:rPr>
          <w:lang w:bidi="ar-SA"/>
        </w:rPr>
        <w:t>et al. 2</w:t>
      </w:r>
      <w:r w:rsidRPr="00AE5B43">
        <w:rPr>
          <w:lang w:bidi="ar-SA"/>
        </w:rPr>
        <w:t>016</w:t>
      </w:r>
      <w:r>
        <w:rPr>
          <w:lang w:bidi="ar-SA"/>
        </w:rPr>
        <w:t xml:space="preserve">); (iii) provided information on doses resulting in treatment-related adverse effects (Villani </w:t>
      </w:r>
      <w:r w:rsidR="000B7678">
        <w:rPr>
          <w:lang w:bidi="ar-SA"/>
        </w:rPr>
        <w:t>et al. 2</w:t>
      </w:r>
      <w:r>
        <w:rPr>
          <w:lang w:bidi="ar-SA"/>
        </w:rPr>
        <w:t xml:space="preserve">000; Bain </w:t>
      </w:r>
      <w:r w:rsidR="000B7678">
        <w:rPr>
          <w:lang w:bidi="ar-SA"/>
        </w:rPr>
        <w:t>et al. 2</w:t>
      </w:r>
      <w:r>
        <w:rPr>
          <w:lang w:bidi="ar-SA"/>
        </w:rPr>
        <w:t xml:space="preserve">006); (iv) investigated safety during pregnancy (Keller </w:t>
      </w:r>
      <w:r w:rsidR="000B7678">
        <w:rPr>
          <w:lang w:bidi="ar-SA"/>
        </w:rPr>
        <w:t>et al. 2</w:t>
      </w:r>
      <w:r>
        <w:rPr>
          <w:lang w:bidi="ar-SA"/>
        </w:rPr>
        <w:t>009); and (v) investigated safety in elderly subjects (</w:t>
      </w:r>
      <w:r w:rsidRPr="006205F4">
        <w:rPr>
          <w:lang w:bidi="ar-SA"/>
        </w:rPr>
        <w:t xml:space="preserve">Badrasawi </w:t>
      </w:r>
      <w:r w:rsidR="000B7678">
        <w:rPr>
          <w:lang w:bidi="ar-SA"/>
        </w:rPr>
        <w:t>et al. 2</w:t>
      </w:r>
      <w:r w:rsidRPr="006205F4">
        <w:rPr>
          <w:lang w:bidi="ar-SA"/>
        </w:rPr>
        <w:t>016</w:t>
      </w:r>
      <w:r>
        <w:rPr>
          <w:lang w:bidi="ar-SA"/>
        </w:rPr>
        <w:t>).</w:t>
      </w:r>
    </w:p>
    <w:p w14:paraId="7C054D21" w14:textId="77777777" w:rsidR="00785714" w:rsidRDefault="00785714" w:rsidP="00785714">
      <w:pPr>
        <w:rPr>
          <w:lang w:bidi="ar-SA"/>
        </w:rPr>
      </w:pPr>
    </w:p>
    <w:p w14:paraId="726CE498" w14:textId="622960CC" w:rsidR="00785714" w:rsidRDefault="00785714" w:rsidP="00785714">
      <w:r>
        <w:rPr>
          <w:lang w:bidi="ar-SA"/>
        </w:rPr>
        <w:t xml:space="preserve">In a </w:t>
      </w:r>
      <w:r w:rsidRPr="00526CFE">
        <w:rPr>
          <w:lang w:bidi="ar-SA"/>
        </w:rPr>
        <w:t>randomized, double-blind, placebo-controlled trial</w:t>
      </w:r>
      <w:r>
        <w:rPr>
          <w:lang w:bidi="ar-SA"/>
        </w:rPr>
        <w:t xml:space="preserve">, L-carnitine was administered to </w:t>
      </w:r>
      <w:r w:rsidRPr="00526CFE">
        <w:rPr>
          <w:lang w:bidi="ar-SA"/>
        </w:rPr>
        <w:t xml:space="preserve">472 </w:t>
      </w:r>
      <w:r>
        <w:rPr>
          <w:lang w:bidi="ar-SA"/>
        </w:rPr>
        <w:t xml:space="preserve">male and female </w:t>
      </w:r>
      <w:r w:rsidRPr="00526CFE">
        <w:rPr>
          <w:lang w:bidi="ar-SA"/>
        </w:rPr>
        <w:t xml:space="preserve">patients </w:t>
      </w:r>
      <w:r>
        <w:rPr>
          <w:lang w:bidi="ar-SA"/>
        </w:rPr>
        <w:t>(mean age 59 y) that had experienced an</w:t>
      </w:r>
      <w:r w:rsidRPr="00526CFE">
        <w:rPr>
          <w:lang w:bidi="ar-SA"/>
        </w:rPr>
        <w:t xml:space="preserve"> acute myocardial infarction</w:t>
      </w:r>
      <w:r>
        <w:rPr>
          <w:lang w:bidi="ar-SA"/>
        </w:rPr>
        <w:t>.</w:t>
      </w:r>
      <w:r w:rsidRPr="00526CFE">
        <w:rPr>
          <w:lang w:bidi="ar-SA"/>
        </w:rPr>
        <w:t xml:space="preserve"> </w:t>
      </w:r>
      <w:r>
        <w:rPr>
          <w:lang w:bidi="ar-SA"/>
        </w:rPr>
        <w:t xml:space="preserve">Subjects </w:t>
      </w:r>
      <w:r w:rsidRPr="00526CFE">
        <w:rPr>
          <w:lang w:bidi="ar-SA"/>
        </w:rPr>
        <w:t xml:space="preserve">received either placebo (239 patients) or L-carnitine (233 patients) within 24 h of onset of chest pain. Placebo or L-carnitine was given at a dose of 9 g/day intravenously </w:t>
      </w:r>
      <w:r>
        <w:rPr>
          <w:lang w:bidi="ar-SA"/>
        </w:rPr>
        <w:t>for the first 5 days and then 6 </w:t>
      </w:r>
      <w:r w:rsidRPr="00526CFE">
        <w:rPr>
          <w:lang w:bidi="ar-SA"/>
        </w:rPr>
        <w:t>g/day orally for the next 12 months.</w:t>
      </w:r>
      <w:r w:rsidRPr="00D718EF">
        <w:t xml:space="preserve"> </w:t>
      </w:r>
      <w:r>
        <w:rPr>
          <w:lang w:bidi="ar-SA"/>
        </w:rPr>
        <w:t>Treatment did not have to be interrupted in any of the patients because of adverse events.</w:t>
      </w:r>
      <w:r>
        <w:t xml:space="preserve"> After discharge, there were no statistically significant differences between the L-carnitine and placebo groups in </w:t>
      </w:r>
      <w:r>
        <w:rPr>
          <w:lang w:bidi="ar-SA"/>
        </w:rPr>
        <w:t>t</w:t>
      </w:r>
      <w:r w:rsidRPr="00D718EF">
        <w:rPr>
          <w:lang w:bidi="ar-SA"/>
        </w:rPr>
        <w:t xml:space="preserve">he </w:t>
      </w:r>
      <w:r>
        <w:rPr>
          <w:lang w:bidi="ar-SA"/>
        </w:rPr>
        <w:t>i</w:t>
      </w:r>
      <w:r w:rsidRPr="00D718EF">
        <w:rPr>
          <w:lang w:bidi="ar-SA"/>
        </w:rPr>
        <w:t>ncidence of ischemic events</w:t>
      </w:r>
      <w:r>
        <w:rPr>
          <w:lang w:bidi="ar-SA"/>
        </w:rPr>
        <w:t xml:space="preserve"> or in the </w:t>
      </w:r>
      <w:r w:rsidRPr="00D718EF">
        <w:rPr>
          <w:lang w:bidi="ar-SA"/>
        </w:rPr>
        <w:t xml:space="preserve">combined incidence of congestive heart </w:t>
      </w:r>
      <w:r>
        <w:rPr>
          <w:lang w:bidi="ar-SA"/>
        </w:rPr>
        <w:t>failure</w:t>
      </w:r>
      <w:r w:rsidRPr="00D718EF">
        <w:rPr>
          <w:lang w:bidi="ar-SA"/>
        </w:rPr>
        <w:t xml:space="preserve"> </w:t>
      </w:r>
      <w:r>
        <w:rPr>
          <w:lang w:bidi="ar-SA"/>
        </w:rPr>
        <w:t xml:space="preserve">and death (Iliceto </w:t>
      </w:r>
      <w:r w:rsidR="000B7678">
        <w:rPr>
          <w:lang w:bidi="ar-SA"/>
        </w:rPr>
        <w:t>et al. 1</w:t>
      </w:r>
      <w:r>
        <w:rPr>
          <w:lang w:bidi="ar-SA"/>
        </w:rPr>
        <w:t>995).</w:t>
      </w:r>
    </w:p>
    <w:p w14:paraId="568A93ED" w14:textId="77777777" w:rsidR="00785714" w:rsidRDefault="00785714" w:rsidP="00785714">
      <w:pPr>
        <w:widowControl/>
        <w:rPr>
          <w:rFonts w:eastAsia="Calibri"/>
          <w:szCs w:val="22"/>
          <w:lang w:bidi="ar-SA"/>
        </w:rPr>
      </w:pPr>
    </w:p>
    <w:p w14:paraId="1D59DCEB" w14:textId="3316FBA4" w:rsidR="00785714" w:rsidRDefault="00785714" w:rsidP="00785714">
      <w:pPr>
        <w:widowControl/>
        <w:rPr>
          <w:rFonts w:eastAsia="Calibri"/>
          <w:szCs w:val="22"/>
          <w:lang w:bidi="ar-SA"/>
        </w:rPr>
      </w:pPr>
      <w:r>
        <w:rPr>
          <w:rFonts w:eastAsia="Calibri"/>
          <w:szCs w:val="22"/>
          <w:lang w:bidi="ar-SA"/>
        </w:rPr>
        <w:t xml:space="preserve">In a study of </w:t>
      </w:r>
      <w:r w:rsidRPr="00BA5C73">
        <w:rPr>
          <w:rFonts w:eastAsia="Calibri"/>
          <w:szCs w:val="22"/>
          <w:lang w:bidi="ar-SA"/>
        </w:rPr>
        <w:t>18 moderately</w:t>
      </w:r>
      <w:r>
        <w:rPr>
          <w:rFonts w:eastAsia="Calibri"/>
          <w:szCs w:val="22"/>
          <w:lang w:bidi="ar-SA"/>
        </w:rPr>
        <w:t xml:space="preserve"> overweight premenopausal women (age range 19–48 y) given L-carnitine at an oral dose of 4 g</w:t>
      </w:r>
      <w:r w:rsidRPr="00BA5C73">
        <w:rPr>
          <w:rFonts w:eastAsia="Calibri"/>
          <w:szCs w:val="22"/>
          <w:lang w:bidi="ar-SA"/>
        </w:rPr>
        <w:t>/day</w:t>
      </w:r>
      <w:r>
        <w:rPr>
          <w:rFonts w:eastAsia="Calibri"/>
          <w:szCs w:val="22"/>
          <w:lang w:bidi="ar-SA"/>
        </w:rPr>
        <w:t xml:space="preserve"> for 8 weeks, five subjects experienced nausea or</w:t>
      </w:r>
      <w:r w:rsidRPr="00BA5C73">
        <w:rPr>
          <w:rFonts w:eastAsia="Calibri"/>
          <w:szCs w:val="22"/>
          <w:lang w:bidi="ar-SA"/>
        </w:rPr>
        <w:t xml:space="preserve"> </w:t>
      </w:r>
      <w:r>
        <w:rPr>
          <w:rFonts w:eastAsia="Calibri"/>
          <w:szCs w:val="22"/>
          <w:lang w:bidi="ar-SA"/>
        </w:rPr>
        <w:t xml:space="preserve">diarrhoea that may have been treatment-related. No other adverse effects were reported (Villani </w:t>
      </w:r>
      <w:r w:rsidR="000B7678">
        <w:rPr>
          <w:rFonts w:eastAsia="Calibri"/>
          <w:szCs w:val="22"/>
          <w:lang w:bidi="ar-SA"/>
        </w:rPr>
        <w:t>et al. 2</w:t>
      </w:r>
      <w:r w:rsidRPr="00BA5C73">
        <w:rPr>
          <w:rFonts w:eastAsia="Calibri"/>
          <w:szCs w:val="22"/>
          <w:lang w:bidi="ar-SA"/>
        </w:rPr>
        <w:t>000).</w:t>
      </w:r>
    </w:p>
    <w:p w14:paraId="1B7CD37A" w14:textId="77777777" w:rsidR="00785714" w:rsidRDefault="00785714" w:rsidP="00785714">
      <w:pPr>
        <w:widowControl/>
        <w:rPr>
          <w:rFonts w:eastAsia="Calibri"/>
          <w:szCs w:val="22"/>
          <w:lang w:bidi="ar-SA"/>
        </w:rPr>
      </w:pPr>
    </w:p>
    <w:p w14:paraId="1EC9BA53" w14:textId="5E7A0F56" w:rsidR="00785714" w:rsidRDefault="00785714" w:rsidP="00785714">
      <w:pPr>
        <w:widowControl/>
        <w:rPr>
          <w:rFonts w:eastAsia="Calibri"/>
          <w:szCs w:val="22"/>
          <w:lang w:bidi="ar-SA"/>
        </w:rPr>
      </w:pPr>
      <w:r w:rsidRPr="00E17AF7">
        <w:rPr>
          <w:rFonts w:eastAsia="Calibri"/>
          <w:szCs w:val="22"/>
          <w:lang w:bidi="ar-SA"/>
        </w:rPr>
        <w:t xml:space="preserve">A tolerance study </w:t>
      </w:r>
      <w:r>
        <w:rPr>
          <w:rFonts w:eastAsia="Calibri"/>
          <w:szCs w:val="22"/>
          <w:lang w:bidi="ar-SA"/>
        </w:rPr>
        <w:t>in 10 healthy males (mean age 24 y) included investigation of the potential effects of L-carnitine-L-tartrate</w:t>
      </w:r>
      <w:r w:rsidRPr="00E17AF7">
        <w:rPr>
          <w:rFonts w:eastAsia="Calibri"/>
          <w:szCs w:val="22"/>
          <w:lang w:bidi="ar-SA"/>
        </w:rPr>
        <w:t xml:space="preserve"> </w:t>
      </w:r>
      <w:r>
        <w:rPr>
          <w:rFonts w:eastAsia="Calibri"/>
          <w:szCs w:val="22"/>
          <w:lang w:bidi="ar-SA"/>
        </w:rPr>
        <w:t xml:space="preserve">on standard clinical chemistry and haematology parameters. The study was </w:t>
      </w:r>
      <w:r w:rsidRPr="00E17AF7">
        <w:rPr>
          <w:rFonts w:eastAsia="Calibri"/>
          <w:szCs w:val="22"/>
          <w:lang w:bidi="ar-SA"/>
        </w:rPr>
        <w:t>a random, double-blind, cross-over design, with a one-we</w:t>
      </w:r>
      <w:r>
        <w:rPr>
          <w:rFonts w:eastAsia="Calibri"/>
          <w:szCs w:val="22"/>
          <w:lang w:bidi="ar-SA"/>
        </w:rPr>
        <w:t xml:space="preserve">ek washout period. </w:t>
      </w:r>
      <w:r w:rsidRPr="00E17AF7">
        <w:rPr>
          <w:rFonts w:eastAsia="Calibri"/>
          <w:szCs w:val="22"/>
          <w:lang w:bidi="ar-SA"/>
        </w:rPr>
        <w:t xml:space="preserve">L-carnitine-L-tartrate or </w:t>
      </w:r>
      <w:r>
        <w:rPr>
          <w:rFonts w:eastAsia="Calibri"/>
          <w:szCs w:val="22"/>
          <w:lang w:bidi="ar-SA"/>
        </w:rPr>
        <w:t>placebo</w:t>
      </w:r>
      <w:r w:rsidRPr="00E17AF7">
        <w:rPr>
          <w:rFonts w:eastAsia="Calibri"/>
          <w:szCs w:val="22"/>
          <w:lang w:bidi="ar-SA"/>
        </w:rPr>
        <w:t xml:space="preserve"> was ingested orally as capsule</w:t>
      </w:r>
      <w:r>
        <w:rPr>
          <w:rFonts w:eastAsia="Calibri"/>
          <w:szCs w:val="22"/>
          <w:lang w:bidi="ar-SA"/>
        </w:rPr>
        <w:t xml:space="preserve">s at a dose of 1.5 g twice daily for 3 weeks. The daily dose of 3 g </w:t>
      </w:r>
      <w:r w:rsidRPr="00BF0833">
        <w:rPr>
          <w:rFonts w:eastAsia="Calibri"/>
          <w:szCs w:val="22"/>
          <w:lang w:bidi="ar-SA"/>
        </w:rPr>
        <w:t xml:space="preserve">L-carnitine-L-tartrate </w:t>
      </w:r>
      <w:r>
        <w:rPr>
          <w:rFonts w:eastAsia="Calibri"/>
          <w:szCs w:val="22"/>
          <w:lang w:bidi="ar-SA"/>
        </w:rPr>
        <w:t xml:space="preserve">is equivalent to an L-carnitine dose of 2 g/day. </w:t>
      </w:r>
      <w:r w:rsidRPr="00E17AF7">
        <w:rPr>
          <w:rFonts w:eastAsia="Calibri"/>
          <w:szCs w:val="22"/>
          <w:lang w:bidi="ar-SA"/>
        </w:rPr>
        <w:t>Blood samples were taken at the end of</w:t>
      </w:r>
      <w:r>
        <w:rPr>
          <w:rFonts w:eastAsia="Calibri"/>
          <w:szCs w:val="22"/>
          <w:lang w:bidi="ar-SA"/>
        </w:rPr>
        <w:t xml:space="preserve"> the 3-week period for routine clinical chemistry and haematology investigations. No adverse effects were reported by any subjects and there were no effects on </w:t>
      </w:r>
      <w:r w:rsidRPr="00E17AF7">
        <w:rPr>
          <w:rFonts w:eastAsia="Calibri"/>
          <w:szCs w:val="22"/>
          <w:lang w:bidi="ar-SA"/>
        </w:rPr>
        <w:t>haematological or clinical chemistry parameters</w:t>
      </w:r>
      <w:r>
        <w:rPr>
          <w:rFonts w:eastAsia="Calibri"/>
          <w:szCs w:val="22"/>
          <w:lang w:bidi="ar-SA"/>
        </w:rPr>
        <w:t xml:space="preserve"> related to </w:t>
      </w:r>
      <w:r w:rsidRPr="003070E6">
        <w:rPr>
          <w:rFonts w:eastAsia="Calibri"/>
          <w:szCs w:val="22"/>
          <w:lang w:bidi="ar-SA"/>
        </w:rPr>
        <w:t>L-carnitine-L-tartrate</w:t>
      </w:r>
      <w:r>
        <w:rPr>
          <w:rFonts w:eastAsia="Calibri"/>
          <w:szCs w:val="22"/>
          <w:lang w:bidi="ar-SA"/>
        </w:rPr>
        <w:t xml:space="preserve"> administration (</w:t>
      </w:r>
      <w:r w:rsidRPr="00CD6C69">
        <w:rPr>
          <w:rFonts w:eastAsia="Calibri"/>
          <w:szCs w:val="22"/>
          <w:lang w:bidi="ar-SA"/>
        </w:rPr>
        <w:t xml:space="preserve">Rubin </w:t>
      </w:r>
      <w:r w:rsidR="000B7678">
        <w:rPr>
          <w:rFonts w:eastAsia="Calibri"/>
          <w:szCs w:val="22"/>
          <w:lang w:bidi="ar-SA"/>
        </w:rPr>
        <w:t>et al. 2</w:t>
      </w:r>
      <w:r w:rsidRPr="00CD6C69">
        <w:rPr>
          <w:rFonts w:eastAsia="Calibri"/>
          <w:szCs w:val="22"/>
          <w:lang w:bidi="ar-SA"/>
        </w:rPr>
        <w:t>001)</w:t>
      </w:r>
      <w:r>
        <w:rPr>
          <w:rFonts w:eastAsia="Calibri"/>
          <w:szCs w:val="22"/>
          <w:lang w:bidi="ar-SA"/>
        </w:rPr>
        <w:t>.</w:t>
      </w:r>
    </w:p>
    <w:p w14:paraId="3BFDD52C" w14:textId="77777777" w:rsidR="00785714" w:rsidRDefault="00785714" w:rsidP="00785714">
      <w:pPr>
        <w:widowControl/>
        <w:rPr>
          <w:rFonts w:eastAsia="Calibri"/>
          <w:szCs w:val="22"/>
          <w:lang w:bidi="ar-SA"/>
        </w:rPr>
      </w:pPr>
    </w:p>
    <w:p w14:paraId="13E7DCB8" w14:textId="430F93E7" w:rsidR="00785714" w:rsidRDefault="00785714" w:rsidP="00785714">
      <w:pPr>
        <w:widowControl/>
        <w:rPr>
          <w:rFonts w:eastAsia="Calibri"/>
          <w:szCs w:val="22"/>
          <w:lang w:bidi="ar-SA"/>
        </w:rPr>
      </w:pPr>
      <w:r>
        <w:rPr>
          <w:rFonts w:eastAsia="Calibri"/>
          <w:szCs w:val="22"/>
          <w:lang w:bidi="ar-SA"/>
        </w:rPr>
        <w:t xml:space="preserve">In a dose-escalation study, 7 healthy adult males (mean age 32 y) were administered L-carnitine doses of 0.5, 1 and 2 g three times a day for 7 days at each dose level. One subject at the 1.5 g/day dose and 2 subjects at the 6 g/day dose reported nausea, 2 subjects at the 6 g/day dose reported diarrhoea, and one subject at the 6 g/day dose reported a metallic taste (Bain </w:t>
      </w:r>
      <w:r w:rsidR="000B7678">
        <w:rPr>
          <w:rFonts w:eastAsia="Calibri"/>
          <w:szCs w:val="22"/>
          <w:lang w:bidi="ar-SA"/>
        </w:rPr>
        <w:t>et al. 2</w:t>
      </w:r>
      <w:r>
        <w:rPr>
          <w:rFonts w:eastAsia="Calibri"/>
          <w:szCs w:val="22"/>
          <w:lang w:bidi="ar-SA"/>
        </w:rPr>
        <w:t>006).</w:t>
      </w:r>
    </w:p>
    <w:p w14:paraId="410B2941" w14:textId="77777777" w:rsidR="00785714" w:rsidRDefault="00785714" w:rsidP="00785714">
      <w:pPr>
        <w:rPr>
          <w:rFonts w:cs="Arial"/>
          <w:szCs w:val="22"/>
        </w:rPr>
      </w:pPr>
    </w:p>
    <w:p w14:paraId="643A751C" w14:textId="5A1B926D" w:rsidR="00785714" w:rsidRDefault="00785714" w:rsidP="00785714">
      <w:pPr>
        <w:rPr>
          <w:rFonts w:cs="Arial"/>
          <w:szCs w:val="22"/>
        </w:rPr>
      </w:pPr>
      <w:r>
        <w:rPr>
          <w:rFonts w:cs="Arial"/>
          <w:szCs w:val="22"/>
        </w:rPr>
        <w:t>In a placebo-controlled, single-blind study, healthy pregnant women (n = 26) were randomly assigned to</w:t>
      </w:r>
      <w:r w:rsidRPr="00DD2E21">
        <w:rPr>
          <w:rFonts w:cs="Arial"/>
          <w:szCs w:val="22"/>
        </w:rPr>
        <w:t xml:space="preserve"> two groups receiving either a</w:t>
      </w:r>
      <w:r>
        <w:rPr>
          <w:rFonts w:cs="Arial"/>
          <w:szCs w:val="22"/>
        </w:rPr>
        <w:t>n</w:t>
      </w:r>
      <w:r w:rsidRPr="00DD2E21">
        <w:rPr>
          <w:rFonts w:cs="Arial"/>
          <w:szCs w:val="22"/>
        </w:rPr>
        <w:t xml:space="preserve"> L-carnitine</w:t>
      </w:r>
      <w:r>
        <w:rPr>
          <w:rFonts w:cs="Arial"/>
          <w:szCs w:val="22"/>
        </w:rPr>
        <w:t xml:space="preserve"> </w:t>
      </w:r>
      <w:r w:rsidRPr="00DD2E21">
        <w:rPr>
          <w:rFonts w:cs="Arial"/>
          <w:szCs w:val="22"/>
        </w:rPr>
        <w:t>supplement (500</w:t>
      </w:r>
      <w:r>
        <w:rPr>
          <w:rFonts w:cs="Arial"/>
          <w:szCs w:val="22"/>
        </w:rPr>
        <w:t xml:space="preserve"> </w:t>
      </w:r>
      <w:r w:rsidRPr="00DD2E21">
        <w:rPr>
          <w:rFonts w:cs="Arial"/>
          <w:szCs w:val="22"/>
        </w:rPr>
        <w:t>mg L-carnitine per da</w:t>
      </w:r>
      <w:r>
        <w:rPr>
          <w:rFonts w:cs="Arial"/>
          <w:szCs w:val="22"/>
        </w:rPr>
        <w:t xml:space="preserve">y as L-carnitine-L-tartrate) (n = 13) or placebo (n = </w:t>
      </w:r>
      <w:r w:rsidRPr="00DD2E21">
        <w:rPr>
          <w:rFonts w:cs="Arial"/>
          <w:szCs w:val="22"/>
        </w:rPr>
        <w:t>13) from the 13</w:t>
      </w:r>
      <w:r w:rsidRPr="00D83E27">
        <w:rPr>
          <w:rFonts w:cs="Arial"/>
          <w:szCs w:val="22"/>
          <w:vertAlign w:val="superscript"/>
        </w:rPr>
        <w:t>th</w:t>
      </w:r>
      <w:r w:rsidRPr="00DD2E21">
        <w:rPr>
          <w:rFonts w:cs="Arial"/>
          <w:szCs w:val="22"/>
        </w:rPr>
        <w:t xml:space="preserve"> week of gestation to</w:t>
      </w:r>
      <w:r>
        <w:rPr>
          <w:rFonts w:cs="Arial"/>
          <w:szCs w:val="22"/>
        </w:rPr>
        <w:t xml:space="preserve"> </w:t>
      </w:r>
      <w:r w:rsidRPr="00DD2E21">
        <w:rPr>
          <w:rFonts w:cs="Arial"/>
          <w:szCs w:val="22"/>
        </w:rPr>
        <w:t>term.</w:t>
      </w:r>
      <w:r>
        <w:rPr>
          <w:rFonts w:cs="Arial"/>
          <w:szCs w:val="22"/>
        </w:rPr>
        <w:t xml:space="preserve"> There were no statistically s</w:t>
      </w:r>
      <w:r w:rsidRPr="00431CDC">
        <w:rPr>
          <w:rFonts w:cs="Arial"/>
          <w:szCs w:val="22"/>
        </w:rPr>
        <w:t xml:space="preserve">ignificant differences in neonatal characteristics </w:t>
      </w:r>
      <w:r>
        <w:rPr>
          <w:rFonts w:cs="Arial"/>
          <w:szCs w:val="22"/>
        </w:rPr>
        <w:t>between the two groups</w:t>
      </w:r>
      <w:r w:rsidRPr="00431CDC">
        <w:rPr>
          <w:rFonts w:cs="Arial"/>
          <w:szCs w:val="22"/>
        </w:rPr>
        <w:t>,</w:t>
      </w:r>
      <w:r>
        <w:rPr>
          <w:rFonts w:cs="Arial"/>
          <w:szCs w:val="22"/>
        </w:rPr>
        <w:t xml:space="preserve"> namely, gestational age</w:t>
      </w:r>
      <w:r w:rsidRPr="00431CDC">
        <w:rPr>
          <w:rFonts w:cs="Arial"/>
          <w:szCs w:val="22"/>
        </w:rPr>
        <w:t>,</w:t>
      </w:r>
      <w:r>
        <w:rPr>
          <w:rFonts w:cs="Arial"/>
          <w:szCs w:val="22"/>
        </w:rPr>
        <w:t xml:space="preserve"> neonatal weight, and neonatal body length</w:t>
      </w:r>
      <w:r w:rsidRPr="00431CDC">
        <w:rPr>
          <w:rFonts w:cs="Arial"/>
          <w:szCs w:val="22"/>
        </w:rPr>
        <w:t>.</w:t>
      </w:r>
      <w:r>
        <w:rPr>
          <w:rFonts w:cs="Arial"/>
          <w:szCs w:val="22"/>
        </w:rPr>
        <w:t xml:space="preserve"> </w:t>
      </w:r>
      <w:r w:rsidRPr="00431CDC">
        <w:rPr>
          <w:rFonts w:cs="Arial"/>
          <w:szCs w:val="22"/>
        </w:rPr>
        <w:t>There were no statistically significant differences in</w:t>
      </w:r>
      <w:r>
        <w:rPr>
          <w:rFonts w:cs="Arial"/>
          <w:szCs w:val="22"/>
        </w:rPr>
        <w:t xml:space="preserve"> maternal haematology parameters at delivery (l</w:t>
      </w:r>
      <w:r w:rsidRPr="00431CDC">
        <w:rPr>
          <w:rFonts w:cs="Arial"/>
          <w:szCs w:val="22"/>
        </w:rPr>
        <w:t>eukocyte</w:t>
      </w:r>
      <w:r>
        <w:rPr>
          <w:rFonts w:cs="Arial"/>
          <w:szCs w:val="22"/>
        </w:rPr>
        <w:t xml:space="preserve">, </w:t>
      </w:r>
      <w:r w:rsidRPr="00431CDC">
        <w:rPr>
          <w:rFonts w:cs="Arial"/>
          <w:szCs w:val="22"/>
        </w:rPr>
        <w:t>thrombocyte</w:t>
      </w:r>
      <w:r>
        <w:rPr>
          <w:rFonts w:cs="Arial"/>
          <w:szCs w:val="22"/>
        </w:rPr>
        <w:t xml:space="preserve"> and erythrocyte counts,</w:t>
      </w:r>
      <w:r w:rsidRPr="00431CDC">
        <w:rPr>
          <w:rFonts w:cs="Arial"/>
          <w:szCs w:val="22"/>
        </w:rPr>
        <w:t xml:space="preserve"> h</w:t>
      </w:r>
      <w:r>
        <w:rPr>
          <w:rFonts w:cs="Arial"/>
          <w:szCs w:val="22"/>
        </w:rPr>
        <w:t>aemoglobin</w:t>
      </w:r>
      <w:r w:rsidRPr="00431CDC">
        <w:rPr>
          <w:rFonts w:cs="Arial"/>
          <w:szCs w:val="22"/>
        </w:rPr>
        <w:t>,</w:t>
      </w:r>
      <w:r>
        <w:rPr>
          <w:rFonts w:cs="Arial"/>
          <w:szCs w:val="22"/>
        </w:rPr>
        <w:t xml:space="preserve"> </w:t>
      </w:r>
      <w:r w:rsidRPr="00431CDC">
        <w:rPr>
          <w:rFonts w:cs="Arial"/>
          <w:szCs w:val="22"/>
        </w:rPr>
        <w:t>h</w:t>
      </w:r>
      <w:r>
        <w:rPr>
          <w:rFonts w:cs="Arial"/>
          <w:szCs w:val="22"/>
        </w:rPr>
        <w:t>aematocrit, mean cell volume, mean cell haemoglobin</w:t>
      </w:r>
      <w:r w:rsidRPr="00431CDC">
        <w:rPr>
          <w:rFonts w:cs="Arial"/>
          <w:szCs w:val="22"/>
        </w:rPr>
        <w:t>, mean</w:t>
      </w:r>
      <w:r>
        <w:rPr>
          <w:rFonts w:cs="Arial"/>
          <w:szCs w:val="22"/>
        </w:rPr>
        <w:t xml:space="preserve"> </w:t>
      </w:r>
      <w:r w:rsidRPr="00431CDC">
        <w:rPr>
          <w:rFonts w:cs="Arial"/>
          <w:szCs w:val="22"/>
        </w:rPr>
        <w:t>corpuscu</w:t>
      </w:r>
      <w:r>
        <w:rPr>
          <w:rFonts w:cs="Arial"/>
          <w:szCs w:val="22"/>
        </w:rPr>
        <w:t>lar haemoglobin concentration</w:t>
      </w:r>
      <w:r w:rsidRPr="00431CDC">
        <w:rPr>
          <w:rFonts w:cs="Arial"/>
          <w:szCs w:val="22"/>
        </w:rPr>
        <w:t xml:space="preserve">, </w:t>
      </w:r>
      <w:r>
        <w:rPr>
          <w:rFonts w:cs="Arial"/>
          <w:szCs w:val="22"/>
        </w:rPr>
        <w:t xml:space="preserve">and ferritin) (Keller </w:t>
      </w:r>
      <w:r w:rsidR="000B7678">
        <w:rPr>
          <w:rFonts w:cs="Arial"/>
          <w:szCs w:val="22"/>
        </w:rPr>
        <w:t>et al. 2</w:t>
      </w:r>
      <w:r>
        <w:rPr>
          <w:rFonts w:cs="Arial"/>
          <w:szCs w:val="22"/>
        </w:rPr>
        <w:t>009).</w:t>
      </w:r>
    </w:p>
    <w:p w14:paraId="31AB8C7D" w14:textId="77777777" w:rsidR="00785714" w:rsidRDefault="00785714" w:rsidP="00785714">
      <w:pPr>
        <w:rPr>
          <w:rFonts w:cs="Arial"/>
          <w:szCs w:val="22"/>
        </w:rPr>
      </w:pPr>
    </w:p>
    <w:p w14:paraId="7A3269C0" w14:textId="77777777" w:rsidR="00CA39EC" w:rsidRDefault="00785714" w:rsidP="00CA39EC">
      <w:pPr>
        <w:rPr>
          <w:rFonts w:cs="Arial"/>
          <w:szCs w:val="22"/>
        </w:rPr>
      </w:pPr>
      <w:r>
        <w:rPr>
          <w:rFonts w:cs="Arial"/>
          <w:szCs w:val="22"/>
        </w:rPr>
        <w:t xml:space="preserve">In a </w:t>
      </w:r>
      <w:r w:rsidRPr="00411958">
        <w:rPr>
          <w:rFonts w:cs="Arial"/>
          <w:szCs w:val="22"/>
        </w:rPr>
        <w:t xml:space="preserve">double-blind, placebo-controlled </w:t>
      </w:r>
      <w:r>
        <w:rPr>
          <w:rFonts w:cs="Arial"/>
          <w:szCs w:val="22"/>
        </w:rPr>
        <w:t xml:space="preserve">study, </w:t>
      </w:r>
      <w:r w:rsidRPr="00411958">
        <w:rPr>
          <w:rFonts w:cs="Arial"/>
          <w:szCs w:val="22"/>
        </w:rPr>
        <w:t xml:space="preserve">50 </w:t>
      </w:r>
      <w:r>
        <w:rPr>
          <w:rFonts w:cs="Arial"/>
          <w:szCs w:val="22"/>
        </w:rPr>
        <w:t>elderly subjects (mean age 68 y) were</w:t>
      </w:r>
      <w:r w:rsidRPr="00411958">
        <w:rPr>
          <w:rFonts w:cs="Arial"/>
          <w:szCs w:val="22"/>
        </w:rPr>
        <w:t xml:space="preserve"> randomi</w:t>
      </w:r>
      <w:r w:rsidR="00110A2D">
        <w:rPr>
          <w:rFonts w:cs="Arial"/>
          <w:szCs w:val="22"/>
        </w:rPr>
        <w:t>s</w:t>
      </w:r>
      <w:r w:rsidRPr="00411958">
        <w:rPr>
          <w:rFonts w:cs="Arial"/>
          <w:szCs w:val="22"/>
        </w:rPr>
        <w:t>ed into two groups</w:t>
      </w:r>
      <w:r>
        <w:rPr>
          <w:rFonts w:cs="Arial"/>
          <w:szCs w:val="22"/>
        </w:rPr>
        <w:t xml:space="preserve">: an </w:t>
      </w:r>
      <w:r w:rsidRPr="00411958">
        <w:rPr>
          <w:rFonts w:cs="Arial"/>
          <w:szCs w:val="22"/>
        </w:rPr>
        <w:t xml:space="preserve">L-carnitine group </w:t>
      </w:r>
      <w:r>
        <w:rPr>
          <w:rFonts w:cs="Arial"/>
          <w:szCs w:val="22"/>
        </w:rPr>
        <w:t xml:space="preserve">(n = 26; 1.5 g/day for 10 weeks) </w:t>
      </w:r>
      <w:r w:rsidRPr="00411958">
        <w:rPr>
          <w:rFonts w:cs="Arial"/>
          <w:szCs w:val="22"/>
        </w:rPr>
        <w:t xml:space="preserve">and </w:t>
      </w:r>
      <w:r>
        <w:rPr>
          <w:rFonts w:cs="Arial"/>
          <w:szCs w:val="22"/>
        </w:rPr>
        <w:t>a placebo group (n = 24)</w:t>
      </w:r>
      <w:r w:rsidRPr="00411958">
        <w:rPr>
          <w:rFonts w:cs="Arial"/>
          <w:szCs w:val="22"/>
        </w:rPr>
        <w:t xml:space="preserve">. </w:t>
      </w:r>
      <w:r w:rsidRPr="00A86AB4">
        <w:rPr>
          <w:rFonts w:cs="Arial"/>
          <w:szCs w:val="22"/>
        </w:rPr>
        <w:t xml:space="preserve">There were no </w:t>
      </w:r>
      <w:r>
        <w:rPr>
          <w:rFonts w:cs="Arial"/>
          <w:szCs w:val="22"/>
        </w:rPr>
        <w:t xml:space="preserve">statistically </w:t>
      </w:r>
      <w:r w:rsidRPr="00A86AB4">
        <w:rPr>
          <w:rFonts w:cs="Arial"/>
          <w:szCs w:val="22"/>
        </w:rPr>
        <w:t xml:space="preserve">significant changes in </w:t>
      </w:r>
      <w:r>
        <w:rPr>
          <w:rFonts w:cs="Arial"/>
          <w:szCs w:val="22"/>
        </w:rPr>
        <w:t xml:space="preserve">body composition, performance on a </w:t>
      </w:r>
      <w:r w:rsidRPr="00A86AB4">
        <w:rPr>
          <w:rFonts w:cs="Arial"/>
          <w:szCs w:val="22"/>
        </w:rPr>
        <w:t xml:space="preserve">cognitive </w:t>
      </w:r>
      <w:r>
        <w:rPr>
          <w:rFonts w:cs="Arial"/>
          <w:szCs w:val="22"/>
        </w:rPr>
        <w:t>function</w:t>
      </w:r>
      <w:r w:rsidRPr="00A86AB4">
        <w:rPr>
          <w:rFonts w:cs="Arial"/>
          <w:szCs w:val="22"/>
        </w:rPr>
        <w:t xml:space="preserve"> test</w:t>
      </w:r>
      <w:r>
        <w:rPr>
          <w:rFonts w:cs="Arial"/>
          <w:szCs w:val="22"/>
        </w:rPr>
        <w:t>,</w:t>
      </w:r>
      <w:r w:rsidRPr="00A86AB4">
        <w:rPr>
          <w:rFonts w:cs="Arial"/>
          <w:szCs w:val="22"/>
        </w:rPr>
        <w:t xml:space="preserve"> fasting blood sugar, </w:t>
      </w:r>
      <w:r w:rsidRPr="007017BA">
        <w:rPr>
          <w:rFonts w:cs="Arial"/>
          <w:szCs w:val="22"/>
        </w:rPr>
        <w:t>glycated haemoglobin</w:t>
      </w:r>
      <w:r w:rsidRPr="00A86AB4">
        <w:rPr>
          <w:rFonts w:cs="Arial"/>
          <w:szCs w:val="22"/>
        </w:rPr>
        <w:t xml:space="preserve">, lipid profile, liver </w:t>
      </w:r>
      <w:r>
        <w:rPr>
          <w:rFonts w:cs="Arial"/>
          <w:szCs w:val="22"/>
        </w:rPr>
        <w:t xml:space="preserve">function and kidney </w:t>
      </w:r>
      <w:r w:rsidRPr="00A86AB4">
        <w:rPr>
          <w:rFonts w:cs="Arial"/>
          <w:szCs w:val="22"/>
        </w:rPr>
        <w:t>function.</w:t>
      </w:r>
      <w:r>
        <w:rPr>
          <w:rFonts w:cs="Arial"/>
          <w:szCs w:val="22"/>
        </w:rPr>
        <w:t xml:space="preserve"> No subjects reported diarrhoea, nausea or any other adverse effects </w:t>
      </w:r>
      <w:r w:rsidRPr="00041F10">
        <w:rPr>
          <w:rFonts w:cs="Arial"/>
          <w:szCs w:val="22"/>
        </w:rPr>
        <w:t xml:space="preserve">(Badrasawi </w:t>
      </w:r>
      <w:r w:rsidR="000B7678">
        <w:rPr>
          <w:rFonts w:cs="Arial"/>
          <w:szCs w:val="22"/>
        </w:rPr>
        <w:t>et al. 2</w:t>
      </w:r>
      <w:r w:rsidRPr="00041F10">
        <w:rPr>
          <w:rFonts w:cs="Arial"/>
          <w:szCs w:val="22"/>
        </w:rPr>
        <w:t>016)</w:t>
      </w:r>
      <w:r>
        <w:rPr>
          <w:rFonts w:cs="Arial"/>
          <w:szCs w:val="22"/>
        </w:rPr>
        <w:t>.</w:t>
      </w:r>
      <w:r w:rsidR="00CA39EC">
        <w:rPr>
          <w:rFonts w:cs="Arial"/>
          <w:szCs w:val="22"/>
        </w:rPr>
        <w:t xml:space="preserve"> </w:t>
      </w:r>
    </w:p>
    <w:p w14:paraId="3CF195FF" w14:textId="77777777" w:rsidR="00785714" w:rsidRPr="00E12CFA" w:rsidRDefault="00785714" w:rsidP="00785714">
      <w:pPr>
        <w:pStyle w:val="Heading3"/>
      </w:pPr>
      <w:bookmarkStart w:id="20" w:name="_Toc520888222"/>
      <w:r>
        <w:t>3.1.5</w:t>
      </w:r>
      <w:r>
        <w:tab/>
        <w:t>Cardiovascular outcomes and plasma concentrations of L-carnitine and TMAO</w:t>
      </w:r>
      <w:bookmarkEnd w:id="20"/>
      <w:r>
        <w:t xml:space="preserve"> </w:t>
      </w:r>
    </w:p>
    <w:p w14:paraId="1B14233E" w14:textId="76DD4205" w:rsidR="00785714" w:rsidRDefault="00785714" w:rsidP="00785714">
      <w:pPr>
        <w:rPr>
          <w:lang w:bidi="ar-SA"/>
        </w:rPr>
      </w:pPr>
      <w:r>
        <w:rPr>
          <w:lang w:bidi="ar-SA"/>
        </w:rPr>
        <w:t>Since 2013, several studies have reported positive associations between plasma concentrations of L-carnitine and/or TMAO and adverse cardiovascular outcomes, and there are also s</w:t>
      </w:r>
      <w:r w:rsidRPr="00022839">
        <w:rPr>
          <w:lang w:bidi="ar-SA"/>
        </w:rPr>
        <w:t xml:space="preserve">tudies </w:t>
      </w:r>
      <w:r>
        <w:rPr>
          <w:lang w:bidi="ar-SA"/>
        </w:rPr>
        <w:t xml:space="preserve">reporting no </w:t>
      </w:r>
      <w:r w:rsidRPr="00022839">
        <w:rPr>
          <w:lang w:bidi="ar-SA"/>
        </w:rPr>
        <w:t>association</w:t>
      </w:r>
      <w:r w:rsidR="00BF2E76">
        <w:rPr>
          <w:lang w:bidi="ar-SA"/>
        </w:rPr>
        <w:t>s.</w:t>
      </w:r>
    </w:p>
    <w:p w14:paraId="6E98BF90" w14:textId="77777777" w:rsidR="00785714" w:rsidRDefault="00785714" w:rsidP="00785714">
      <w:pPr>
        <w:rPr>
          <w:lang w:bidi="ar-SA"/>
        </w:rPr>
      </w:pPr>
    </w:p>
    <w:p w14:paraId="74F9E06F" w14:textId="03464D8E" w:rsidR="00785714" w:rsidRDefault="00785714" w:rsidP="00785714">
      <w:pPr>
        <w:rPr>
          <w:lang w:bidi="ar-SA"/>
        </w:rPr>
      </w:pPr>
      <w:r>
        <w:rPr>
          <w:lang w:bidi="ar-SA"/>
        </w:rPr>
        <w:t>The first report was an observational study invest</w:t>
      </w:r>
      <w:r w:rsidR="00BF2E76">
        <w:rPr>
          <w:lang w:bidi="ar-SA"/>
        </w:rPr>
        <w:t>igating</w:t>
      </w:r>
      <w:r>
        <w:rPr>
          <w:lang w:bidi="ar-SA"/>
        </w:rPr>
        <w:t xml:space="preserve"> the relationship between fasting plasma L-carnitine and </w:t>
      </w:r>
      <w:r w:rsidRPr="007139CB">
        <w:rPr>
          <w:lang w:bidi="ar-SA"/>
        </w:rPr>
        <w:t>TMAO</w:t>
      </w:r>
      <w:r>
        <w:rPr>
          <w:lang w:bidi="ar-SA"/>
        </w:rPr>
        <w:t xml:space="preserve"> concentrations and cardiovascular disease (CVD) risk in a cohort of subjects (n = 2595) undergoing cardiac evaluation (Koeth </w:t>
      </w:r>
      <w:r w:rsidR="000B7678">
        <w:rPr>
          <w:lang w:bidi="ar-SA"/>
        </w:rPr>
        <w:t>et al. 2</w:t>
      </w:r>
      <w:r>
        <w:rPr>
          <w:lang w:bidi="ar-SA"/>
        </w:rPr>
        <w:t xml:space="preserve">013). Seventy-four percent of the subjects had prior </w:t>
      </w:r>
      <w:r w:rsidRPr="007E45CF">
        <w:rPr>
          <w:lang w:bidi="ar-SA"/>
        </w:rPr>
        <w:t>coronary artery disease (CAD)</w:t>
      </w:r>
      <w:r>
        <w:rPr>
          <w:lang w:bidi="ar-SA"/>
        </w:rPr>
        <w:t xml:space="preserve">. Plasma L-carnitine quartile values in the cohort were &lt;31.6, 31.7–37.8, 37.9–45.1 and &gt;45.1 </w:t>
      </w:r>
      <w:r>
        <w:rPr>
          <w:rFonts w:cs="Arial"/>
          <w:lang w:bidi="ar-SA"/>
        </w:rPr>
        <w:t>µ</w:t>
      </w:r>
      <w:r>
        <w:rPr>
          <w:lang w:bidi="ar-SA"/>
        </w:rPr>
        <w:t>M. Positive associations between L-carnitine plasma concentrations and risk of CAD, peripheral artery disease (PAD), and overall CVD were observed (p &lt; 0.05), and these associations remained statistically significant (p &lt; 0.05) following adjustments for traditional CVD risk factors (</w:t>
      </w:r>
      <w:r w:rsidRPr="00153186">
        <w:rPr>
          <w:lang w:bidi="ar-SA"/>
        </w:rPr>
        <w:t>age, gender, diabetes mellitus, systolic blood pressure, former or current cigarette smoking, LDL</w:t>
      </w:r>
      <w:r>
        <w:rPr>
          <w:lang w:bidi="ar-SA"/>
        </w:rPr>
        <w:t>-</w:t>
      </w:r>
      <w:r w:rsidRPr="00153186">
        <w:rPr>
          <w:lang w:bidi="ar-SA"/>
        </w:rPr>
        <w:t xml:space="preserve">cholesterol, </w:t>
      </w:r>
      <w:r>
        <w:rPr>
          <w:lang w:bidi="ar-SA"/>
        </w:rPr>
        <w:t>and HDL-</w:t>
      </w:r>
      <w:r w:rsidRPr="00153186">
        <w:rPr>
          <w:lang w:bidi="ar-SA"/>
        </w:rPr>
        <w:t>cholesterol)</w:t>
      </w:r>
      <w:r>
        <w:rPr>
          <w:lang w:bidi="ar-SA"/>
        </w:rPr>
        <w:t>.</w:t>
      </w:r>
    </w:p>
    <w:p w14:paraId="3123FC89" w14:textId="77777777" w:rsidR="00785714" w:rsidRDefault="00785714" w:rsidP="00785714">
      <w:pPr>
        <w:rPr>
          <w:lang w:bidi="ar-SA"/>
        </w:rPr>
      </w:pPr>
    </w:p>
    <w:p w14:paraId="4C9BD123" w14:textId="4977E8ED" w:rsidR="00785714" w:rsidRDefault="00785714" w:rsidP="00785714">
      <w:pPr>
        <w:rPr>
          <w:lang w:bidi="ar-SA"/>
        </w:rPr>
      </w:pPr>
      <w:r>
        <w:rPr>
          <w:lang w:bidi="ar-SA"/>
        </w:rPr>
        <w:t xml:space="preserve">As described in Appendix 4, a number of additional papers describing the incidence of </w:t>
      </w:r>
      <w:r w:rsidR="002110EE">
        <w:rPr>
          <w:lang w:bidi="ar-SA"/>
        </w:rPr>
        <w:t xml:space="preserve">major adverse cardiac events (MACE: death, myocardial infarction, stroke) </w:t>
      </w:r>
      <w:r>
        <w:rPr>
          <w:lang w:bidi="ar-SA"/>
        </w:rPr>
        <w:t xml:space="preserve">after three years of follow-up or all-cause mortality after 5 years of follow-up have been reported for an extended version of the cohort of subjects described by Koeth </w:t>
      </w:r>
      <w:r w:rsidR="000B7678">
        <w:rPr>
          <w:lang w:bidi="ar-SA"/>
        </w:rPr>
        <w:t>et al. (</w:t>
      </w:r>
      <w:r>
        <w:rPr>
          <w:lang w:bidi="ar-SA"/>
        </w:rPr>
        <w:t>2013). In the patients undergoing elective coronary angiography, t</w:t>
      </w:r>
      <w:r w:rsidRPr="00AD4A80">
        <w:rPr>
          <w:lang w:bidi="ar-SA"/>
        </w:rPr>
        <w:t xml:space="preserve">he median plasma TMAO concentration </w:t>
      </w:r>
      <w:r>
        <w:rPr>
          <w:lang w:bidi="ar-SA"/>
        </w:rPr>
        <w:t>in this cohort was 3.7</w:t>
      </w:r>
      <w:r w:rsidRPr="00AD4A80">
        <w:rPr>
          <w:lang w:bidi="ar-SA"/>
        </w:rPr>
        <w:t xml:space="preserve"> µM and the interquartile range </w:t>
      </w:r>
      <w:r>
        <w:rPr>
          <w:lang w:bidi="ar-SA"/>
        </w:rPr>
        <w:t>2.4–6.2 </w:t>
      </w:r>
      <w:r w:rsidRPr="00AD4A80">
        <w:rPr>
          <w:lang w:bidi="ar-SA"/>
        </w:rPr>
        <w:t>µM.</w:t>
      </w:r>
      <w:r>
        <w:rPr>
          <w:lang w:bidi="ar-SA"/>
        </w:rPr>
        <w:t xml:space="preserve"> In participants without events (n = 3494) t</w:t>
      </w:r>
      <w:r w:rsidRPr="00FA2DF7">
        <w:rPr>
          <w:lang w:bidi="ar-SA"/>
        </w:rPr>
        <w:t>he median pl</w:t>
      </w:r>
      <w:r>
        <w:rPr>
          <w:lang w:bidi="ar-SA"/>
        </w:rPr>
        <w:t xml:space="preserve">asma TMAO concentration </w:t>
      </w:r>
      <w:r w:rsidRPr="00FA2DF7">
        <w:rPr>
          <w:lang w:bidi="ar-SA"/>
        </w:rPr>
        <w:t xml:space="preserve">was </w:t>
      </w:r>
      <w:r w:rsidRPr="008467BE">
        <w:rPr>
          <w:lang w:bidi="ar-SA"/>
        </w:rPr>
        <w:t xml:space="preserve">3.5 </w:t>
      </w:r>
      <w:r w:rsidRPr="00FA2DF7">
        <w:rPr>
          <w:lang w:bidi="ar-SA"/>
        </w:rPr>
        <w:t xml:space="preserve">µM </w:t>
      </w:r>
      <w:r w:rsidRPr="008467BE">
        <w:rPr>
          <w:lang w:bidi="ar-SA"/>
        </w:rPr>
        <w:t>(</w:t>
      </w:r>
      <w:r>
        <w:rPr>
          <w:lang w:bidi="ar-SA"/>
        </w:rPr>
        <w:t xml:space="preserve">interquartile range </w:t>
      </w:r>
      <w:r w:rsidRPr="008467BE">
        <w:rPr>
          <w:lang w:bidi="ar-SA"/>
        </w:rPr>
        <w:t>2.4–5.9</w:t>
      </w:r>
      <w:r>
        <w:rPr>
          <w:lang w:bidi="ar-SA"/>
        </w:rPr>
        <w:t xml:space="preserve"> </w:t>
      </w:r>
      <w:r w:rsidRPr="00FA2DF7">
        <w:rPr>
          <w:lang w:bidi="ar-SA"/>
        </w:rPr>
        <w:t>µM</w:t>
      </w:r>
      <w:r w:rsidRPr="008467BE">
        <w:rPr>
          <w:lang w:bidi="ar-SA"/>
        </w:rPr>
        <w:t>)</w:t>
      </w:r>
      <w:r>
        <w:rPr>
          <w:lang w:bidi="ar-SA"/>
        </w:rPr>
        <w:t xml:space="preserve">. In participants with events (n = 513) the median plasma TMAO concentration was 5.0 µM (interquartile range 3.8–8.8 µM). Increased plasma concentrations of TMAO were associated with an increased risk of a major adverse cardiovascular event (hazard ratio (HR) for highest vs. lowest TMAO quartile: 1.43; 95% CI, 1.05 to 1.94) after adjustment for traditional risk factors (Tang </w:t>
      </w:r>
      <w:r w:rsidR="000B7678">
        <w:rPr>
          <w:lang w:bidi="ar-SA"/>
        </w:rPr>
        <w:t>et al. 2</w:t>
      </w:r>
      <w:r>
        <w:rPr>
          <w:lang w:bidi="ar-SA"/>
        </w:rPr>
        <w:t>013).</w:t>
      </w:r>
    </w:p>
    <w:p w14:paraId="10B2FC7E" w14:textId="77777777" w:rsidR="00785714" w:rsidRDefault="00785714" w:rsidP="00785714">
      <w:pPr>
        <w:rPr>
          <w:lang w:bidi="ar-SA"/>
        </w:rPr>
      </w:pPr>
    </w:p>
    <w:p w14:paraId="3D8D19E8" w14:textId="59ECE9A3" w:rsidR="00785714" w:rsidRDefault="00785714" w:rsidP="00785714">
      <w:r>
        <w:rPr>
          <w:lang w:bidi="ar-SA"/>
        </w:rPr>
        <w:lastRenderedPageBreak/>
        <w:t xml:space="preserve">Other research groups have investigated other groups of patients with heart disease or renal failure to determine whether TMAO predicts future cardiovascular events or mortality (See Appendix 4). </w:t>
      </w:r>
      <w:r>
        <w:t>Most studies report an increase in their outcome of less than 2-fold for the highest versus lowest TMAO group, although some authors report no association</w:t>
      </w:r>
      <w:r w:rsidR="0055564D">
        <w:t xml:space="preserve">. </w:t>
      </w:r>
      <w:r>
        <w:t>While most studies calculate the HR for the highest versus lowest quartile, there is no obvious increase in HR as the difference in TMAO concentration increases between these two groups which might be expected if a dose-response relationship existed. However it is possible that there are too many other differences between the cohorts to allow a dose-response to be seen via an inter-cohort comparison, even if a dose-response truly exists</w:t>
      </w:r>
      <w:r w:rsidR="0055564D">
        <w:t xml:space="preserve">. </w:t>
      </w:r>
      <w:r>
        <w:t>There are also a small number of studies which find no association. Some research groups have also examined the incidence of prostate or colorectal cancer in pre-existing studies with variable results (See Appendix 4).</w:t>
      </w:r>
    </w:p>
    <w:p w14:paraId="6927B298" w14:textId="77777777" w:rsidR="00785714" w:rsidRDefault="00785714" w:rsidP="00785714"/>
    <w:p w14:paraId="32FB5ED7" w14:textId="3F0CD33E" w:rsidR="00785714" w:rsidRDefault="00785714" w:rsidP="00785714">
      <w:pPr>
        <w:rPr>
          <w:szCs w:val="22"/>
        </w:rPr>
      </w:pPr>
      <w:r>
        <w:rPr>
          <w:rFonts w:eastAsia="Calibri"/>
          <w:szCs w:val="22"/>
          <w:lang w:bidi="ar-SA"/>
        </w:rPr>
        <w:t xml:space="preserve">There are several other findings that are inconsistent with the possibility that increased plasma TMAO concentration is a causal factor for adverse cardiovascular outcomes. For example, </w:t>
      </w:r>
      <w:r>
        <w:rPr>
          <w:rFonts w:cs="Arial"/>
          <w:szCs w:val="22"/>
        </w:rPr>
        <w:t>plasma TMAO concentration has been shown to increase from 4 µ</w:t>
      </w:r>
      <w:r w:rsidRPr="00E12CFA">
        <w:rPr>
          <w:rFonts w:cs="Arial"/>
          <w:szCs w:val="22"/>
        </w:rPr>
        <w:t xml:space="preserve">M </w:t>
      </w:r>
      <w:r>
        <w:rPr>
          <w:rFonts w:cs="Arial"/>
          <w:szCs w:val="22"/>
        </w:rPr>
        <w:t>(baseline) to 9 µ</w:t>
      </w:r>
      <w:r w:rsidRPr="00E12CFA">
        <w:rPr>
          <w:rFonts w:cs="Arial"/>
          <w:szCs w:val="22"/>
        </w:rPr>
        <w:t xml:space="preserve">M </w:t>
      </w:r>
      <w:r>
        <w:rPr>
          <w:rFonts w:cs="Arial"/>
          <w:szCs w:val="22"/>
        </w:rPr>
        <w:t xml:space="preserve">one year </w:t>
      </w:r>
      <w:r w:rsidRPr="00E12CFA">
        <w:rPr>
          <w:rFonts w:cs="Arial"/>
          <w:szCs w:val="22"/>
        </w:rPr>
        <w:t>after bariatric surgery</w:t>
      </w:r>
      <w:r>
        <w:rPr>
          <w:rFonts w:cs="Arial"/>
          <w:szCs w:val="22"/>
        </w:rPr>
        <w:t xml:space="preserve">, a procedure </w:t>
      </w:r>
      <w:r w:rsidRPr="00E12CFA">
        <w:rPr>
          <w:rFonts w:cs="Arial"/>
          <w:szCs w:val="22"/>
        </w:rPr>
        <w:t>which is known to reduce CVD risk</w:t>
      </w:r>
      <w:r>
        <w:rPr>
          <w:rFonts w:cs="Arial"/>
          <w:szCs w:val="22"/>
        </w:rPr>
        <w:t xml:space="preserve"> (</w:t>
      </w:r>
      <w:r w:rsidRPr="00E12CFA">
        <w:rPr>
          <w:rFonts w:cs="Arial"/>
          <w:szCs w:val="22"/>
        </w:rPr>
        <w:t>Tr</w:t>
      </w:r>
      <w:r w:rsidR="00F55298" w:rsidRPr="00F55298">
        <w:rPr>
          <w:rFonts w:cs="Arial"/>
          <w:szCs w:val="22"/>
        </w:rPr>
        <w:t>ø</w:t>
      </w:r>
      <w:r w:rsidRPr="00E12CFA">
        <w:rPr>
          <w:rFonts w:cs="Arial"/>
          <w:szCs w:val="22"/>
        </w:rPr>
        <w:t xml:space="preserve">seid </w:t>
      </w:r>
      <w:r w:rsidR="000B7678">
        <w:rPr>
          <w:rFonts w:cs="Arial"/>
          <w:szCs w:val="22"/>
        </w:rPr>
        <w:t>et al. 2</w:t>
      </w:r>
      <w:r w:rsidRPr="00E12CFA">
        <w:rPr>
          <w:rFonts w:cs="Arial"/>
          <w:szCs w:val="22"/>
        </w:rPr>
        <w:t>016)</w:t>
      </w:r>
      <w:r>
        <w:rPr>
          <w:rFonts w:cs="Arial"/>
          <w:szCs w:val="22"/>
        </w:rPr>
        <w:t xml:space="preserve">. Also, </w:t>
      </w:r>
      <w:r>
        <w:rPr>
          <w:rFonts w:eastAsia="Calibri"/>
          <w:szCs w:val="22"/>
          <w:lang w:bidi="ar-SA"/>
        </w:rPr>
        <w:t>in a</w:t>
      </w:r>
      <w:r w:rsidRPr="001E4272">
        <w:rPr>
          <w:rFonts w:eastAsia="Calibri"/>
          <w:szCs w:val="22"/>
          <w:lang w:bidi="ar-SA"/>
        </w:rPr>
        <w:t xml:space="preserve"> feeding trial in </w:t>
      </w:r>
      <w:r>
        <w:rPr>
          <w:rFonts w:eastAsia="Calibri"/>
          <w:szCs w:val="22"/>
          <w:lang w:bidi="ar-SA"/>
        </w:rPr>
        <w:t xml:space="preserve">healthy </w:t>
      </w:r>
      <w:r w:rsidRPr="001E4272">
        <w:rPr>
          <w:rFonts w:eastAsia="Calibri"/>
          <w:szCs w:val="22"/>
          <w:lang w:bidi="ar-SA"/>
        </w:rPr>
        <w:t>men</w:t>
      </w:r>
      <w:r>
        <w:rPr>
          <w:rFonts w:eastAsia="Calibri"/>
          <w:szCs w:val="22"/>
          <w:lang w:bidi="ar-SA"/>
        </w:rPr>
        <w:t>,</w:t>
      </w:r>
      <w:r w:rsidRPr="001E4272">
        <w:rPr>
          <w:rFonts w:eastAsia="Calibri"/>
          <w:szCs w:val="22"/>
          <w:lang w:bidi="ar-SA"/>
        </w:rPr>
        <w:t xml:space="preserve"> </w:t>
      </w:r>
      <w:r>
        <w:rPr>
          <w:rFonts w:eastAsia="Calibri"/>
          <w:szCs w:val="22"/>
          <w:lang w:bidi="ar-SA"/>
        </w:rPr>
        <w:t>c</w:t>
      </w:r>
      <w:r w:rsidRPr="00BB6B3E">
        <w:rPr>
          <w:rFonts w:eastAsia="Calibri"/>
          <w:szCs w:val="22"/>
          <w:lang w:bidi="ar-SA"/>
        </w:rPr>
        <w:t xml:space="preserve">onsumption of fish </w:t>
      </w:r>
      <w:r>
        <w:rPr>
          <w:rFonts w:eastAsia="Calibri"/>
          <w:szCs w:val="22"/>
          <w:lang w:bidi="ar-SA"/>
        </w:rPr>
        <w:t>resulted in</w:t>
      </w:r>
      <w:r w:rsidRPr="00BB6B3E">
        <w:rPr>
          <w:rFonts w:eastAsia="Calibri"/>
          <w:szCs w:val="22"/>
          <w:lang w:bidi="ar-SA"/>
        </w:rPr>
        <w:t xml:space="preserve"> </w:t>
      </w:r>
      <w:r>
        <w:rPr>
          <w:rFonts w:eastAsia="Calibri"/>
          <w:szCs w:val="22"/>
          <w:lang w:bidi="ar-SA"/>
        </w:rPr>
        <w:t>~</w:t>
      </w:r>
      <w:r w:rsidRPr="00BB6B3E">
        <w:rPr>
          <w:rFonts w:eastAsia="Calibri"/>
          <w:szCs w:val="22"/>
          <w:lang w:bidi="ar-SA"/>
        </w:rPr>
        <w:t xml:space="preserve">50-times higher postprandial </w:t>
      </w:r>
      <w:r>
        <w:rPr>
          <w:rFonts w:eastAsia="Calibri"/>
          <w:szCs w:val="22"/>
          <w:lang w:bidi="ar-SA"/>
        </w:rPr>
        <w:t>plasma</w:t>
      </w:r>
      <w:r w:rsidRPr="00BB6B3E">
        <w:rPr>
          <w:rFonts w:eastAsia="Calibri"/>
          <w:szCs w:val="22"/>
          <w:lang w:bidi="ar-SA"/>
        </w:rPr>
        <w:t xml:space="preserve"> TMAO concentrations compared with the consumption of eggs or beef </w:t>
      </w:r>
      <w:r>
        <w:rPr>
          <w:rFonts w:eastAsia="Calibri"/>
          <w:szCs w:val="22"/>
          <w:lang w:bidi="ar-SA"/>
        </w:rPr>
        <w:t xml:space="preserve">(Cho </w:t>
      </w:r>
      <w:r w:rsidR="000B7678">
        <w:rPr>
          <w:rFonts w:eastAsia="Calibri"/>
          <w:szCs w:val="22"/>
          <w:lang w:bidi="ar-SA"/>
        </w:rPr>
        <w:t>et al. 2</w:t>
      </w:r>
      <w:r>
        <w:rPr>
          <w:rFonts w:eastAsia="Calibri"/>
          <w:szCs w:val="22"/>
          <w:lang w:bidi="ar-SA"/>
        </w:rPr>
        <w:t xml:space="preserve">017). In addition, </w:t>
      </w:r>
      <w:r>
        <w:rPr>
          <w:szCs w:val="22"/>
        </w:rPr>
        <w:t>n</w:t>
      </w:r>
      <w:r w:rsidRPr="00FB6B86">
        <w:rPr>
          <w:szCs w:val="22"/>
        </w:rPr>
        <w:t>o health benef</w:t>
      </w:r>
      <w:r>
        <w:rPr>
          <w:szCs w:val="22"/>
        </w:rPr>
        <w:t>its were identified in individuals</w:t>
      </w:r>
      <w:r w:rsidRPr="00FB6B86">
        <w:rPr>
          <w:szCs w:val="22"/>
        </w:rPr>
        <w:t xml:space="preserve"> who </w:t>
      </w:r>
      <w:r>
        <w:rPr>
          <w:szCs w:val="22"/>
        </w:rPr>
        <w:t>produce</w:t>
      </w:r>
      <w:r w:rsidRPr="00FB6B86">
        <w:rPr>
          <w:szCs w:val="22"/>
        </w:rPr>
        <w:t xml:space="preserve"> very low</w:t>
      </w:r>
      <w:r>
        <w:rPr>
          <w:szCs w:val="22"/>
        </w:rPr>
        <w:t xml:space="preserve"> </w:t>
      </w:r>
      <w:r w:rsidRPr="00FB6B86">
        <w:rPr>
          <w:szCs w:val="22"/>
        </w:rPr>
        <w:t xml:space="preserve">amounts of </w:t>
      </w:r>
      <w:r>
        <w:rPr>
          <w:szCs w:val="22"/>
        </w:rPr>
        <w:t xml:space="preserve">endogenous </w:t>
      </w:r>
      <w:r w:rsidRPr="00FB6B86">
        <w:rPr>
          <w:szCs w:val="22"/>
        </w:rPr>
        <w:t xml:space="preserve">TMAO </w:t>
      </w:r>
      <w:r>
        <w:rPr>
          <w:szCs w:val="22"/>
        </w:rPr>
        <w:t xml:space="preserve">due to impaired FMO3 activity (Fennema </w:t>
      </w:r>
      <w:r w:rsidRPr="00FB6B86">
        <w:rPr>
          <w:szCs w:val="22"/>
        </w:rPr>
        <w:t>2016)</w:t>
      </w:r>
      <w:r>
        <w:rPr>
          <w:szCs w:val="22"/>
        </w:rPr>
        <w:t xml:space="preserve">. Furthermore, Fukami </w:t>
      </w:r>
      <w:r w:rsidR="000B7678">
        <w:rPr>
          <w:szCs w:val="22"/>
        </w:rPr>
        <w:t>et al. (</w:t>
      </w:r>
      <w:r>
        <w:rPr>
          <w:szCs w:val="22"/>
        </w:rPr>
        <w:t xml:space="preserve">2015) found that blood pressure decreased and several favourable changes in relevant biochemical marker following administration of 900 mg L-carnitine/day for six months to patients with renal failure receiving haemodialysis who were carnitine deficient, despite a large increase in TMAO concentration. </w:t>
      </w:r>
    </w:p>
    <w:p w14:paraId="70722DFA" w14:textId="77777777" w:rsidR="00785714" w:rsidRDefault="00785714" w:rsidP="00785714"/>
    <w:p w14:paraId="675AC1C9" w14:textId="77777777" w:rsidR="00785714" w:rsidRDefault="00785714" w:rsidP="00785714">
      <w:pPr>
        <w:rPr>
          <w:lang w:bidi="ar-SA"/>
        </w:rPr>
      </w:pPr>
      <w:r>
        <w:t xml:space="preserve">FSANZ concludes that </w:t>
      </w:r>
      <w:r>
        <w:rPr>
          <w:lang w:bidi="ar-SA"/>
        </w:rPr>
        <w:t xml:space="preserve">there is insufficient information available at present to determine whether TMAO might be a surrogate marker for another factor (e.g. a better indicator of declining renal function than the currently available estimation equations) or a new modifiable risk factor. </w:t>
      </w:r>
    </w:p>
    <w:p w14:paraId="01F0983C" w14:textId="6DBA00B5" w:rsidR="00785714" w:rsidRPr="000A507B" w:rsidRDefault="0041107F" w:rsidP="0041107F">
      <w:pPr>
        <w:pStyle w:val="Heading3"/>
      </w:pPr>
      <w:bookmarkStart w:id="21" w:name="_Toc520888223"/>
      <w:r>
        <w:t>3.1.6</w:t>
      </w:r>
      <w:r>
        <w:tab/>
      </w:r>
      <w:r w:rsidR="00785714">
        <w:t>Safety of t</w:t>
      </w:r>
      <w:r w:rsidR="00785714" w:rsidRPr="000A507B">
        <w:t xml:space="preserve">artrate </w:t>
      </w:r>
      <w:r w:rsidR="00785714">
        <w:t>intake from ingestion of L-carnitine-L-tartrate</w:t>
      </w:r>
      <w:bookmarkEnd w:id="21"/>
      <w:r w:rsidR="00785714" w:rsidRPr="000A507B">
        <w:t xml:space="preserve"> </w:t>
      </w:r>
    </w:p>
    <w:p w14:paraId="36D705B1" w14:textId="69C74F32" w:rsidR="00785714" w:rsidRPr="00B671D1" w:rsidRDefault="00785714" w:rsidP="00785714">
      <w:pPr>
        <w:rPr>
          <w:lang w:bidi="ar-SA"/>
        </w:rPr>
      </w:pPr>
      <w:r>
        <w:rPr>
          <w:lang w:bidi="ar-SA"/>
        </w:rPr>
        <w:t>T</w:t>
      </w:r>
      <w:r w:rsidRPr="00402CB6">
        <w:rPr>
          <w:lang w:bidi="ar-SA"/>
        </w:rPr>
        <w:t xml:space="preserve">he Joint FAO/WHO Expert Committee on Food Additives </w:t>
      </w:r>
      <w:r>
        <w:rPr>
          <w:lang w:bidi="ar-SA"/>
        </w:rPr>
        <w:t>(JECFA) recently reaffirmed a group Acceptable Daily Intake (ADI) of 0–30 mg/kg bw for L-tartaric acid and its sodium, potassium and potassium–sodium salts, expressed as L-tartaric acid (WHO 2017).</w:t>
      </w:r>
      <w:r w:rsidRPr="000C5374">
        <w:t xml:space="preserve"> </w:t>
      </w:r>
      <w:r>
        <w:t xml:space="preserve">In the study used to derive the ADI, no treatment-related adverse effects were observed in rats at dose levels up to 3200 mg/kg bw per day, the highest dose tested. </w:t>
      </w:r>
      <w:r>
        <w:rPr>
          <w:lang w:bidi="ar-SA"/>
        </w:rPr>
        <w:t>For a 70 kg adult, L-</w:t>
      </w:r>
      <w:r w:rsidRPr="000C5374">
        <w:rPr>
          <w:lang w:bidi="ar-SA"/>
        </w:rPr>
        <w:t>tartaric acid intake of 30 m</w:t>
      </w:r>
      <w:r>
        <w:rPr>
          <w:lang w:bidi="ar-SA"/>
        </w:rPr>
        <w:t xml:space="preserve">g/kg bw is equivalent to 2.1 g, an </w:t>
      </w:r>
      <w:r w:rsidRPr="000C5374">
        <w:rPr>
          <w:lang w:bidi="ar-SA"/>
        </w:rPr>
        <w:t xml:space="preserve">amount </w:t>
      </w:r>
      <w:r>
        <w:rPr>
          <w:lang w:bidi="ar-SA"/>
        </w:rPr>
        <w:t xml:space="preserve">present </w:t>
      </w:r>
      <w:r w:rsidRPr="000C5374">
        <w:rPr>
          <w:lang w:bidi="ar-SA"/>
        </w:rPr>
        <w:t xml:space="preserve">in 6.7 g of L-carnitine-L-tartrate. </w:t>
      </w:r>
      <w:r>
        <w:rPr>
          <w:lang w:bidi="ar-SA"/>
        </w:rPr>
        <w:t xml:space="preserve">In addition, the </w:t>
      </w:r>
      <w:r w:rsidR="00E202CC">
        <w:rPr>
          <w:lang w:bidi="ar-SA"/>
        </w:rPr>
        <w:t>application</w:t>
      </w:r>
      <w:r>
        <w:rPr>
          <w:lang w:bidi="ar-SA"/>
        </w:rPr>
        <w:t xml:space="preserve"> indicated that the 90</w:t>
      </w:r>
      <w:r w:rsidRPr="00AD0A99">
        <w:rPr>
          <w:vertAlign w:val="superscript"/>
          <w:lang w:bidi="ar-SA"/>
        </w:rPr>
        <w:t>th</w:t>
      </w:r>
      <w:r>
        <w:rPr>
          <w:lang w:bidi="ar-SA"/>
        </w:rPr>
        <w:t xml:space="preserve"> percentile estimated dietary exposure to tartrate, calculated using the proposed use levels of </w:t>
      </w:r>
      <w:r w:rsidRPr="00AD0A99">
        <w:rPr>
          <w:lang w:bidi="ar-SA"/>
        </w:rPr>
        <w:t>L-carnitine-L-tartrate</w:t>
      </w:r>
      <w:r>
        <w:rPr>
          <w:lang w:bidi="ar-SA"/>
        </w:rPr>
        <w:t xml:space="preserve">, would not exceed 18% of the group ADI. Based on these considerations, it is concluded that intake of tartrate from </w:t>
      </w:r>
      <w:r w:rsidRPr="00B671D1">
        <w:rPr>
          <w:lang w:bidi="ar-SA"/>
        </w:rPr>
        <w:t>ingestion of L-carnitine-L-tartrate</w:t>
      </w:r>
      <w:r>
        <w:rPr>
          <w:lang w:bidi="ar-SA"/>
        </w:rPr>
        <w:t xml:space="preserve"> does not pose safety concerns.</w:t>
      </w:r>
    </w:p>
    <w:p w14:paraId="720238B2" w14:textId="667E4D2E" w:rsidR="00785714" w:rsidRPr="008655DD" w:rsidRDefault="00785714" w:rsidP="00785714">
      <w:pPr>
        <w:pStyle w:val="Heading3"/>
        <w:rPr>
          <w:rFonts w:eastAsia="Calibri"/>
        </w:rPr>
      </w:pPr>
      <w:bookmarkStart w:id="22" w:name="_Toc520888224"/>
      <w:r>
        <w:rPr>
          <w:rFonts w:eastAsia="Calibri"/>
        </w:rPr>
        <w:t>3.1.7</w:t>
      </w:r>
      <w:r>
        <w:rPr>
          <w:rFonts w:eastAsia="Calibri"/>
        </w:rPr>
        <w:tab/>
        <w:t>Hazard assessment – D</w:t>
      </w:r>
      <w:r w:rsidRPr="00E12CFA">
        <w:rPr>
          <w:rFonts w:eastAsia="Calibri"/>
        </w:rPr>
        <w:t>iscussion and conclusions</w:t>
      </w:r>
      <w:bookmarkEnd w:id="22"/>
    </w:p>
    <w:p w14:paraId="5A45FAAD" w14:textId="77777777" w:rsidR="00785714" w:rsidRDefault="00785714" w:rsidP="00785714">
      <w:pPr>
        <w:widowControl/>
        <w:rPr>
          <w:rFonts w:eastAsia="Calibri"/>
          <w:szCs w:val="22"/>
          <w:lang w:bidi="ar-SA"/>
        </w:rPr>
      </w:pPr>
      <w:r w:rsidRPr="00E816C4">
        <w:rPr>
          <w:rFonts w:eastAsia="Calibri"/>
          <w:szCs w:val="22"/>
          <w:lang w:bidi="ar-SA"/>
        </w:rPr>
        <w:t>The hazard assessment considered information on the physiology, biochemistry and pharmacokinetics of L-carnitine/ L-carnitine-L-tartrate</w:t>
      </w:r>
      <w:r w:rsidRPr="00E816C4">
        <w:t xml:space="preserve"> </w:t>
      </w:r>
      <w:r w:rsidRPr="00E816C4">
        <w:rPr>
          <w:rFonts w:eastAsia="Calibri"/>
          <w:szCs w:val="22"/>
          <w:lang w:bidi="ar-SA"/>
        </w:rPr>
        <w:t xml:space="preserve">and other L-carnitine salts, and data from animal and human studies investigating a wide range of parameters relevant to safety. </w:t>
      </w:r>
    </w:p>
    <w:p w14:paraId="49AE9BFC" w14:textId="77777777" w:rsidR="00785714" w:rsidRDefault="00785714" w:rsidP="00785714">
      <w:pPr>
        <w:widowControl/>
        <w:rPr>
          <w:rFonts w:eastAsia="Calibri"/>
          <w:szCs w:val="22"/>
          <w:lang w:bidi="ar-SA"/>
        </w:rPr>
      </w:pPr>
    </w:p>
    <w:p w14:paraId="4AA2E3EB" w14:textId="2EA536ED" w:rsidR="00785714" w:rsidRPr="008B5BF9" w:rsidRDefault="00785714" w:rsidP="00785714">
      <w:pPr>
        <w:widowControl/>
        <w:rPr>
          <w:rFonts w:eastAsia="Calibri"/>
          <w:szCs w:val="22"/>
          <w:lang w:bidi="ar-SA"/>
        </w:rPr>
      </w:pPr>
      <w:r>
        <w:rPr>
          <w:rFonts w:eastAsia="Calibri"/>
          <w:szCs w:val="22"/>
          <w:lang w:bidi="ar-SA"/>
        </w:rPr>
        <w:t xml:space="preserve">Studies in animals showed that L-carnitine and L-carnitine chloride are not genotoxic and are of low acute toxicity. A subchronic dietary toxicity study in rats did not show any adverse effects at doses of up to </w:t>
      </w:r>
      <w:r w:rsidRPr="00E816C4">
        <w:rPr>
          <w:rFonts w:eastAsia="Calibri"/>
          <w:szCs w:val="22"/>
          <w:lang w:bidi="ar-SA"/>
        </w:rPr>
        <w:t xml:space="preserve">3934 mg/kg bw/day </w:t>
      </w:r>
      <w:r>
        <w:rPr>
          <w:rFonts w:eastAsia="Calibri"/>
          <w:szCs w:val="22"/>
          <w:lang w:bidi="ar-SA"/>
        </w:rPr>
        <w:t xml:space="preserve">L-carnitine-L-tartrate </w:t>
      </w:r>
      <w:r w:rsidRPr="00E816C4">
        <w:rPr>
          <w:rFonts w:eastAsia="Calibri"/>
          <w:szCs w:val="22"/>
          <w:lang w:bidi="ar-SA"/>
        </w:rPr>
        <w:t>in males, and 50</w:t>
      </w:r>
      <w:r>
        <w:rPr>
          <w:rFonts w:eastAsia="Calibri"/>
          <w:szCs w:val="22"/>
          <w:lang w:bidi="ar-SA"/>
        </w:rPr>
        <w:t>42 mg/kg bw/day in females</w:t>
      </w:r>
      <w:r w:rsidRPr="00E816C4">
        <w:rPr>
          <w:rFonts w:eastAsia="Calibri"/>
          <w:szCs w:val="22"/>
          <w:lang w:bidi="ar-SA"/>
        </w:rPr>
        <w:t>.</w:t>
      </w:r>
      <w:r w:rsidR="006054D9">
        <w:rPr>
          <w:rFonts w:eastAsia="Calibri"/>
          <w:szCs w:val="22"/>
          <w:lang w:bidi="ar-SA"/>
        </w:rPr>
        <w:t xml:space="preserve"> </w:t>
      </w:r>
      <w:r w:rsidR="002B6077">
        <w:rPr>
          <w:rFonts w:eastAsia="Calibri"/>
          <w:szCs w:val="22"/>
          <w:lang w:bidi="ar-SA"/>
        </w:rPr>
        <w:t xml:space="preserve">A dose of 3934 mg/kg bw in rats equates to a dose of 275 g for a 70 kg </w:t>
      </w:r>
      <w:r w:rsidR="002B6077">
        <w:rPr>
          <w:rFonts w:eastAsia="Calibri"/>
          <w:szCs w:val="22"/>
          <w:lang w:bidi="ar-SA"/>
        </w:rPr>
        <w:lastRenderedPageBreak/>
        <w:t xml:space="preserve">human. </w:t>
      </w:r>
      <w:r w:rsidR="006054D9">
        <w:rPr>
          <w:rFonts w:eastAsia="Calibri"/>
          <w:szCs w:val="22"/>
          <w:lang w:bidi="ar-SA"/>
        </w:rPr>
        <w:t>In</w:t>
      </w:r>
      <w:r>
        <w:rPr>
          <w:rFonts w:eastAsia="Calibri"/>
          <w:szCs w:val="22"/>
          <w:lang w:bidi="ar-SA"/>
        </w:rPr>
        <w:t xml:space="preserve"> studies with L-carnitine chloride effects such </w:t>
      </w:r>
      <w:r w:rsidR="00980113">
        <w:rPr>
          <w:rFonts w:eastAsia="Calibri"/>
          <w:szCs w:val="22"/>
          <w:lang w:bidi="ar-SA"/>
        </w:rPr>
        <w:t xml:space="preserve">as </w:t>
      </w:r>
      <w:r w:rsidRPr="008B5BF9">
        <w:rPr>
          <w:rFonts w:eastAsia="Calibri"/>
          <w:szCs w:val="22"/>
          <w:lang w:bidi="ar-SA"/>
        </w:rPr>
        <w:t xml:space="preserve">gastrointestinal irritation and increased water </w:t>
      </w:r>
      <w:r>
        <w:rPr>
          <w:rFonts w:eastAsia="Calibri"/>
          <w:szCs w:val="22"/>
          <w:lang w:bidi="ar-SA"/>
        </w:rPr>
        <w:t xml:space="preserve">consumption were observed in animals, however these are likely to be attributable to the chloride ion. This is also likely to explain increased mortality, clinical signs and body weight effects in some studies at higher doses with L-carnitine chloride but not L-carnitine. </w:t>
      </w:r>
      <w:r w:rsidRPr="008B5BF9">
        <w:rPr>
          <w:rFonts w:eastAsia="Calibri"/>
          <w:szCs w:val="22"/>
          <w:lang w:bidi="ar-SA"/>
        </w:rPr>
        <w:t xml:space="preserve">The available evidence supports that L-carnitine and its salts are not </w:t>
      </w:r>
      <w:r>
        <w:rPr>
          <w:rFonts w:eastAsia="Calibri"/>
          <w:szCs w:val="22"/>
          <w:lang w:bidi="ar-SA"/>
        </w:rPr>
        <w:t>likely to be carcinogenic</w:t>
      </w:r>
      <w:r w:rsidR="00AA5929">
        <w:rPr>
          <w:rFonts w:eastAsia="Calibri"/>
          <w:szCs w:val="22"/>
          <w:lang w:bidi="ar-SA"/>
        </w:rPr>
        <w:t>,</w:t>
      </w:r>
      <w:r>
        <w:rPr>
          <w:rFonts w:eastAsia="Calibri"/>
          <w:szCs w:val="22"/>
          <w:lang w:bidi="ar-SA"/>
        </w:rPr>
        <w:t xml:space="preserve"> or </w:t>
      </w:r>
      <w:r w:rsidRPr="008B5BF9">
        <w:rPr>
          <w:rFonts w:eastAsia="Calibri"/>
          <w:szCs w:val="22"/>
          <w:lang w:bidi="ar-SA"/>
        </w:rPr>
        <w:t>reproductive or developmental toxicants.</w:t>
      </w:r>
    </w:p>
    <w:p w14:paraId="660E9240" w14:textId="77777777" w:rsidR="00785714" w:rsidRDefault="00785714" w:rsidP="00785714">
      <w:pPr>
        <w:widowControl/>
        <w:rPr>
          <w:rFonts w:eastAsia="Calibri"/>
          <w:szCs w:val="22"/>
          <w:lang w:bidi="ar-SA"/>
        </w:rPr>
      </w:pPr>
    </w:p>
    <w:p w14:paraId="0FE36BC7" w14:textId="25DD541A" w:rsidR="00B67852" w:rsidRDefault="00785714" w:rsidP="00785714">
      <w:pPr>
        <w:rPr>
          <w:rFonts w:eastAsia="Calibri"/>
          <w:szCs w:val="22"/>
          <w:lang w:bidi="ar-SA"/>
        </w:rPr>
      </w:pPr>
      <w:r w:rsidRPr="001E71EF">
        <w:rPr>
          <w:rFonts w:eastAsia="Calibri"/>
          <w:szCs w:val="22"/>
          <w:lang w:bidi="ar-SA"/>
        </w:rPr>
        <w:t>A large body of human data support</w:t>
      </w:r>
      <w:r w:rsidR="006054D9">
        <w:rPr>
          <w:rFonts w:eastAsia="Calibri"/>
          <w:szCs w:val="22"/>
          <w:lang w:bidi="ar-SA"/>
        </w:rPr>
        <w:t>s</w:t>
      </w:r>
      <w:r w:rsidRPr="001E71EF">
        <w:rPr>
          <w:rFonts w:eastAsia="Calibri"/>
          <w:szCs w:val="22"/>
          <w:lang w:bidi="ar-SA"/>
        </w:rPr>
        <w:t xml:space="preserve"> the safety of L-carnitine at doses higher than what can </w:t>
      </w:r>
      <w:r>
        <w:rPr>
          <w:rFonts w:eastAsia="Calibri"/>
          <w:szCs w:val="22"/>
          <w:lang w:bidi="ar-SA"/>
        </w:rPr>
        <w:t xml:space="preserve">be </w:t>
      </w:r>
      <w:r w:rsidRPr="001E71EF">
        <w:rPr>
          <w:rFonts w:eastAsia="Calibri"/>
          <w:szCs w:val="22"/>
          <w:lang w:bidi="ar-SA"/>
        </w:rPr>
        <w:t xml:space="preserve">expected from </w:t>
      </w:r>
      <w:r>
        <w:rPr>
          <w:rFonts w:eastAsia="Calibri"/>
          <w:szCs w:val="22"/>
          <w:lang w:bidi="ar-SA"/>
        </w:rPr>
        <w:t xml:space="preserve">normal </w:t>
      </w:r>
      <w:r w:rsidRPr="001E71EF">
        <w:rPr>
          <w:rFonts w:eastAsia="Calibri"/>
          <w:szCs w:val="22"/>
          <w:lang w:bidi="ar-SA"/>
        </w:rPr>
        <w:t>dietary intake</w:t>
      </w:r>
      <w:r>
        <w:rPr>
          <w:rFonts w:eastAsia="Calibri"/>
          <w:szCs w:val="22"/>
          <w:lang w:bidi="ar-SA"/>
        </w:rPr>
        <w:t xml:space="preserve"> (typically about 50 mg/day for omnivores: Stephens </w:t>
      </w:r>
      <w:r w:rsidR="000B7678">
        <w:rPr>
          <w:rFonts w:eastAsia="Calibri"/>
          <w:szCs w:val="22"/>
          <w:lang w:bidi="ar-SA"/>
        </w:rPr>
        <w:t>et al. 2</w:t>
      </w:r>
      <w:r w:rsidRPr="00357E2E">
        <w:rPr>
          <w:rFonts w:eastAsia="Calibri"/>
          <w:szCs w:val="22"/>
          <w:lang w:bidi="ar-SA"/>
        </w:rPr>
        <w:t>011)</w:t>
      </w:r>
      <w:r>
        <w:rPr>
          <w:rFonts w:eastAsia="Calibri"/>
          <w:szCs w:val="22"/>
          <w:lang w:bidi="ar-SA"/>
        </w:rPr>
        <w:t>.</w:t>
      </w:r>
      <w:r w:rsidR="00CA5A0C">
        <w:rPr>
          <w:rFonts w:eastAsia="Calibri"/>
          <w:szCs w:val="22"/>
          <w:lang w:bidi="ar-SA"/>
        </w:rPr>
        <w:t xml:space="preserve"> </w:t>
      </w:r>
      <w:r w:rsidR="00E76B17">
        <w:rPr>
          <w:rFonts w:eastAsia="Calibri"/>
          <w:szCs w:val="22"/>
          <w:lang w:bidi="ar-SA"/>
        </w:rPr>
        <w:t xml:space="preserve">Oral </w:t>
      </w:r>
      <w:r>
        <w:rPr>
          <w:rFonts w:eastAsia="Calibri"/>
          <w:szCs w:val="22"/>
          <w:lang w:bidi="ar-SA"/>
        </w:rPr>
        <w:t>L-carnitine doses as high as 7 g/day for durations of up to 12 months have been investigated</w:t>
      </w:r>
      <w:r w:rsidRPr="001E71EF">
        <w:rPr>
          <w:rFonts w:eastAsia="Calibri"/>
          <w:szCs w:val="22"/>
          <w:lang w:bidi="ar-SA"/>
        </w:rPr>
        <w:t>,</w:t>
      </w:r>
      <w:r>
        <w:rPr>
          <w:rFonts w:eastAsia="Calibri"/>
          <w:szCs w:val="22"/>
          <w:lang w:bidi="ar-SA"/>
        </w:rPr>
        <w:t xml:space="preserve"> including in studies in </w:t>
      </w:r>
      <w:r w:rsidRPr="001E71EF">
        <w:rPr>
          <w:rFonts w:eastAsia="Calibri"/>
          <w:szCs w:val="22"/>
          <w:lang w:bidi="ar-SA"/>
        </w:rPr>
        <w:t>elderly</w:t>
      </w:r>
      <w:r>
        <w:rPr>
          <w:rFonts w:eastAsia="Calibri"/>
          <w:szCs w:val="22"/>
          <w:lang w:bidi="ar-SA"/>
        </w:rPr>
        <w:t xml:space="preserve"> subjects</w:t>
      </w:r>
      <w:r w:rsidRPr="001E71EF">
        <w:rPr>
          <w:rFonts w:eastAsia="Calibri"/>
          <w:szCs w:val="22"/>
          <w:lang w:bidi="ar-SA"/>
        </w:rPr>
        <w:t xml:space="preserve">, and </w:t>
      </w:r>
      <w:r>
        <w:rPr>
          <w:rFonts w:eastAsia="Calibri"/>
          <w:szCs w:val="22"/>
          <w:lang w:bidi="ar-SA"/>
        </w:rPr>
        <w:t xml:space="preserve">in </w:t>
      </w:r>
      <w:r w:rsidRPr="001E71EF">
        <w:rPr>
          <w:rFonts w:eastAsia="Calibri"/>
          <w:szCs w:val="22"/>
          <w:lang w:bidi="ar-SA"/>
        </w:rPr>
        <w:t xml:space="preserve">pregnant women, </w:t>
      </w:r>
      <w:r>
        <w:rPr>
          <w:rFonts w:eastAsia="Calibri"/>
          <w:szCs w:val="22"/>
          <w:lang w:bidi="ar-SA"/>
        </w:rPr>
        <w:t xml:space="preserve">and </w:t>
      </w:r>
      <w:r w:rsidRPr="001E71EF">
        <w:rPr>
          <w:rFonts w:eastAsia="Calibri"/>
          <w:szCs w:val="22"/>
          <w:lang w:bidi="ar-SA"/>
        </w:rPr>
        <w:t xml:space="preserve">no adverse </w:t>
      </w:r>
      <w:r>
        <w:rPr>
          <w:rFonts w:eastAsia="Calibri"/>
          <w:szCs w:val="22"/>
          <w:lang w:bidi="ar-SA"/>
        </w:rPr>
        <w:t>effects attributable to L-carnitine intake have been identified at doses of up to 3</w:t>
      </w:r>
      <w:r w:rsidR="00E76B17">
        <w:rPr>
          <w:rFonts w:eastAsia="Calibri"/>
          <w:szCs w:val="22"/>
          <w:lang w:bidi="ar-SA"/>
        </w:rPr>
        <w:t> </w:t>
      </w:r>
      <w:r>
        <w:rPr>
          <w:rFonts w:eastAsia="Calibri"/>
          <w:szCs w:val="22"/>
          <w:lang w:bidi="ar-SA"/>
        </w:rPr>
        <w:t xml:space="preserve">g/day. </w:t>
      </w:r>
      <w:r w:rsidRPr="001E71EF">
        <w:rPr>
          <w:rFonts w:eastAsia="Calibri"/>
          <w:szCs w:val="22"/>
          <w:lang w:bidi="ar-SA"/>
        </w:rPr>
        <w:t>At doses &gt;3 g/day</w:t>
      </w:r>
      <w:r>
        <w:rPr>
          <w:rFonts w:eastAsia="Calibri"/>
          <w:szCs w:val="22"/>
          <w:lang w:bidi="ar-SA"/>
        </w:rPr>
        <w:t>,</w:t>
      </w:r>
      <w:r w:rsidRPr="001E71EF">
        <w:rPr>
          <w:rFonts w:eastAsia="Calibri"/>
          <w:szCs w:val="22"/>
          <w:lang w:bidi="ar-SA"/>
        </w:rPr>
        <w:t xml:space="preserve"> nausea</w:t>
      </w:r>
      <w:r>
        <w:rPr>
          <w:rFonts w:eastAsia="Calibri"/>
          <w:szCs w:val="22"/>
          <w:lang w:bidi="ar-SA"/>
        </w:rPr>
        <w:t>,</w:t>
      </w:r>
      <w:r w:rsidRPr="001E71EF">
        <w:rPr>
          <w:rFonts w:eastAsia="Calibri"/>
          <w:szCs w:val="22"/>
          <w:lang w:bidi="ar-SA"/>
        </w:rPr>
        <w:t xml:space="preserve"> gastrointestinal disturbances</w:t>
      </w:r>
      <w:r>
        <w:rPr>
          <w:rFonts w:eastAsia="Calibri"/>
          <w:szCs w:val="22"/>
          <w:lang w:bidi="ar-SA"/>
        </w:rPr>
        <w:t>, and</w:t>
      </w:r>
      <w:r w:rsidRPr="001E71EF">
        <w:rPr>
          <w:rFonts w:eastAsia="Calibri"/>
          <w:szCs w:val="22"/>
          <w:lang w:bidi="ar-SA"/>
        </w:rPr>
        <w:t xml:space="preserve"> </w:t>
      </w:r>
      <w:r>
        <w:rPr>
          <w:rFonts w:eastAsia="Calibri"/>
          <w:szCs w:val="22"/>
          <w:lang w:bidi="ar-SA"/>
        </w:rPr>
        <w:t>f</w:t>
      </w:r>
      <w:r w:rsidRPr="00514A89">
        <w:rPr>
          <w:rFonts w:eastAsia="Calibri"/>
          <w:szCs w:val="22"/>
          <w:lang w:bidi="ar-SA"/>
        </w:rPr>
        <w:t xml:space="preserve">ishy body and/or urine odour </w:t>
      </w:r>
      <w:r w:rsidRPr="001E71EF">
        <w:rPr>
          <w:rFonts w:eastAsia="Calibri"/>
          <w:szCs w:val="22"/>
          <w:lang w:bidi="ar-SA"/>
        </w:rPr>
        <w:t xml:space="preserve">have been the only </w:t>
      </w:r>
      <w:r>
        <w:rPr>
          <w:rFonts w:eastAsia="Calibri"/>
          <w:szCs w:val="22"/>
          <w:lang w:bidi="ar-SA"/>
        </w:rPr>
        <w:t>treatment-related adverse effects observed.</w:t>
      </w:r>
      <w:r w:rsidR="00B67852">
        <w:rPr>
          <w:rFonts w:eastAsia="Calibri"/>
          <w:szCs w:val="22"/>
          <w:lang w:bidi="ar-SA"/>
        </w:rPr>
        <w:t xml:space="preserve"> </w:t>
      </w:r>
      <w:r w:rsidR="00877BD4" w:rsidRPr="00877BD4">
        <w:rPr>
          <w:rFonts w:eastAsia="Calibri"/>
          <w:szCs w:val="22"/>
          <w:lang w:bidi="ar-SA"/>
        </w:rPr>
        <w:t>These effects are mild in severit</w:t>
      </w:r>
      <w:r w:rsidR="00877BD4">
        <w:rPr>
          <w:rFonts w:eastAsia="Calibri"/>
          <w:szCs w:val="22"/>
          <w:lang w:bidi="ar-SA"/>
        </w:rPr>
        <w:t>y and rarely warrant</w:t>
      </w:r>
      <w:r w:rsidR="00877BD4" w:rsidRPr="00877BD4">
        <w:rPr>
          <w:rFonts w:eastAsia="Calibri"/>
          <w:szCs w:val="22"/>
          <w:lang w:bidi="ar-SA"/>
        </w:rPr>
        <w:t xml:space="preserve"> cessation of dosing in clinical studies. </w:t>
      </w:r>
      <w:r w:rsidR="00877BD4">
        <w:rPr>
          <w:rFonts w:eastAsia="Calibri"/>
          <w:szCs w:val="22"/>
          <w:lang w:bidi="ar-SA"/>
        </w:rPr>
        <w:t>This is</w:t>
      </w:r>
      <w:r w:rsidR="00B67852">
        <w:rPr>
          <w:rFonts w:eastAsia="Calibri"/>
          <w:szCs w:val="22"/>
          <w:lang w:bidi="ar-SA"/>
        </w:rPr>
        <w:t xml:space="preserve"> exemplified by a trial in patients</w:t>
      </w:r>
      <w:r w:rsidR="00B67852" w:rsidRPr="00B67852">
        <w:t xml:space="preserve"> </w:t>
      </w:r>
      <w:r w:rsidR="00B67852" w:rsidRPr="00B67852">
        <w:rPr>
          <w:rFonts w:eastAsia="Calibri"/>
          <w:szCs w:val="22"/>
          <w:lang w:bidi="ar-SA"/>
        </w:rPr>
        <w:t xml:space="preserve">that had experienced an acute myocardial infarction. </w:t>
      </w:r>
      <w:r w:rsidR="005074E0">
        <w:rPr>
          <w:rFonts w:eastAsia="Calibri"/>
          <w:szCs w:val="22"/>
          <w:lang w:bidi="ar-SA"/>
        </w:rPr>
        <w:t xml:space="preserve">In this study, </w:t>
      </w:r>
      <w:r w:rsidR="00B67852" w:rsidRPr="00B67852">
        <w:rPr>
          <w:rFonts w:eastAsia="Calibri"/>
          <w:szCs w:val="22"/>
          <w:lang w:bidi="ar-SA"/>
        </w:rPr>
        <w:t xml:space="preserve">L-carnitine </w:t>
      </w:r>
      <w:r w:rsidR="005074E0">
        <w:rPr>
          <w:rFonts w:eastAsia="Calibri"/>
          <w:szCs w:val="22"/>
          <w:lang w:bidi="ar-SA"/>
        </w:rPr>
        <w:t xml:space="preserve">was </w:t>
      </w:r>
      <w:r w:rsidR="00B67852">
        <w:rPr>
          <w:rFonts w:eastAsia="Calibri"/>
          <w:szCs w:val="22"/>
          <w:lang w:bidi="ar-SA"/>
        </w:rPr>
        <w:t xml:space="preserve">administered </w:t>
      </w:r>
      <w:r w:rsidR="005074E0">
        <w:rPr>
          <w:rFonts w:eastAsia="Calibri"/>
          <w:szCs w:val="22"/>
          <w:lang w:bidi="ar-SA"/>
        </w:rPr>
        <w:t xml:space="preserve">to 233 patients </w:t>
      </w:r>
      <w:r w:rsidR="00B67852" w:rsidRPr="00B67852">
        <w:rPr>
          <w:rFonts w:eastAsia="Calibri"/>
          <w:szCs w:val="22"/>
          <w:lang w:bidi="ar-SA"/>
        </w:rPr>
        <w:t>at a dose of 9 g/day intravenously for the first 5 days and then 6 g/day</w:t>
      </w:r>
      <w:r w:rsidR="005074E0">
        <w:rPr>
          <w:rFonts w:eastAsia="Calibri"/>
          <w:szCs w:val="22"/>
          <w:lang w:bidi="ar-SA"/>
        </w:rPr>
        <w:t xml:space="preserve"> orally for the next 12 months. T</w:t>
      </w:r>
      <w:r w:rsidR="00B67852" w:rsidRPr="00B67852">
        <w:rPr>
          <w:rFonts w:eastAsia="Calibri"/>
          <w:szCs w:val="22"/>
          <w:lang w:bidi="ar-SA"/>
        </w:rPr>
        <w:t>reatment did not have to be interrupted in any of the patients because of adverse e</w:t>
      </w:r>
      <w:r w:rsidR="00C83F10">
        <w:rPr>
          <w:rFonts w:eastAsia="Calibri"/>
          <w:szCs w:val="22"/>
          <w:lang w:bidi="ar-SA"/>
        </w:rPr>
        <w:t>ffects</w:t>
      </w:r>
      <w:r w:rsidR="005074E0">
        <w:rPr>
          <w:rFonts w:eastAsia="Calibri"/>
          <w:szCs w:val="22"/>
          <w:lang w:bidi="ar-SA"/>
        </w:rPr>
        <w:t xml:space="preserve"> (</w:t>
      </w:r>
      <w:r w:rsidR="005074E0" w:rsidRPr="005074E0">
        <w:rPr>
          <w:rFonts w:eastAsia="Calibri"/>
          <w:szCs w:val="22"/>
          <w:lang w:bidi="ar-SA"/>
        </w:rPr>
        <w:t>Iliceto et al. 1995</w:t>
      </w:r>
      <w:r w:rsidR="005074E0">
        <w:rPr>
          <w:rFonts w:eastAsia="Calibri"/>
          <w:szCs w:val="22"/>
          <w:lang w:bidi="ar-SA"/>
        </w:rPr>
        <w:t>)</w:t>
      </w:r>
      <w:r w:rsidR="00B67852" w:rsidRPr="00B67852">
        <w:rPr>
          <w:rFonts w:eastAsia="Calibri"/>
          <w:szCs w:val="22"/>
          <w:lang w:bidi="ar-SA"/>
        </w:rPr>
        <w:t>.</w:t>
      </w:r>
    </w:p>
    <w:p w14:paraId="7956EBEF" w14:textId="2869CC81" w:rsidR="00B67852" w:rsidRDefault="00B67852" w:rsidP="00785714">
      <w:pPr>
        <w:rPr>
          <w:rFonts w:eastAsia="Calibri"/>
          <w:szCs w:val="22"/>
          <w:lang w:bidi="ar-SA"/>
        </w:rPr>
      </w:pPr>
    </w:p>
    <w:p w14:paraId="098327B9" w14:textId="1DAA7D67" w:rsidR="00E76B17" w:rsidRDefault="00E76B17" w:rsidP="00785714">
      <w:pPr>
        <w:rPr>
          <w:rFonts w:eastAsia="Calibri"/>
          <w:szCs w:val="22"/>
          <w:lang w:bidi="ar-SA"/>
        </w:rPr>
      </w:pPr>
      <w:r w:rsidRPr="00E76B17">
        <w:rPr>
          <w:rFonts w:eastAsia="Calibri"/>
          <w:szCs w:val="22"/>
          <w:lang w:bidi="ar-SA"/>
        </w:rPr>
        <w:t xml:space="preserve">The favourable safety profile of L-carnitine is supported by clinical trials using intravenous administration which can achieve substantially greater systemic exposure than the oral route. For example, no </w:t>
      </w:r>
      <w:r w:rsidR="00465165">
        <w:rPr>
          <w:rFonts w:eastAsia="Calibri"/>
          <w:szCs w:val="22"/>
          <w:lang w:bidi="ar-SA"/>
        </w:rPr>
        <w:t xml:space="preserve">serious </w:t>
      </w:r>
      <w:r w:rsidRPr="00E76B17">
        <w:rPr>
          <w:rFonts w:eastAsia="Calibri"/>
          <w:szCs w:val="22"/>
          <w:lang w:bidi="ar-SA"/>
        </w:rPr>
        <w:t xml:space="preserve">adverse effects have been associated with single intravenous bolus injections of up to 5 g </w:t>
      </w:r>
      <w:r w:rsidR="00465165">
        <w:rPr>
          <w:rFonts w:eastAsia="Calibri"/>
          <w:szCs w:val="22"/>
          <w:lang w:bidi="ar-SA"/>
        </w:rPr>
        <w:t xml:space="preserve">(Xue et al. 2007) </w:t>
      </w:r>
      <w:r w:rsidRPr="00E76B17">
        <w:rPr>
          <w:rFonts w:eastAsia="Calibri"/>
          <w:szCs w:val="22"/>
          <w:lang w:bidi="ar-SA"/>
        </w:rPr>
        <w:t>and intravenous infusions of up to 9 g/day for 5 days</w:t>
      </w:r>
      <w:r>
        <w:rPr>
          <w:rFonts w:eastAsia="Calibri"/>
          <w:szCs w:val="22"/>
          <w:lang w:bidi="ar-SA"/>
        </w:rPr>
        <w:t xml:space="preserve"> (</w:t>
      </w:r>
      <w:r w:rsidRPr="00E76B17">
        <w:rPr>
          <w:rFonts w:eastAsia="Calibri"/>
          <w:szCs w:val="22"/>
          <w:lang w:bidi="ar-SA"/>
        </w:rPr>
        <w:t>Iliceto et al. 1995</w:t>
      </w:r>
      <w:r>
        <w:rPr>
          <w:rFonts w:eastAsia="Calibri"/>
          <w:szCs w:val="22"/>
          <w:lang w:bidi="ar-SA"/>
        </w:rPr>
        <w:t>)</w:t>
      </w:r>
      <w:r w:rsidRPr="00E76B17">
        <w:rPr>
          <w:rFonts w:eastAsia="Calibri"/>
          <w:szCs w:val="22"/>
          <w:lang w:bidi="ar-SA"/>
        </w:rPr>
        <w:t xml:space="preserve">. Most of these clinical trials have been conducted in patients with medical conditions (e.g. cardiovascular disease) and no </w:t>
      </w:r>
      <w:r w:rsidR="00465165">
        <w:rPr>
          <w:rFonts w:eastAsia="Calibri"/>
          <w:szCs w:val="22"/>
          <w:lang w:bidi="ar-SA"/>
        </w:rPr>
        <w:t xml:space="preserve">serious </w:t>
      </w:r>
      <w:r w:rsidRPr="00E76B17">
        <w:rPr>
          <w:rFonts w:eastAsia="Calibri"/>
          <w:szCs w:val="22"/>
          <w:lang w:bidi="ar-SA"/>
        </w:rPr>
        <w:t>adverse effects attributable to L-carnitine administration were identified in the published literature.</w:t>
      </w:r>
    </w:p>
    <w:p w14:paraId="18F2CAA0" w14:textId="77777777" w:rsidR="00785714" w:rsidRPr="001E71EF" w:rsidRDefault="00785714" w:rsidP="00785714">
      <w:pPr>
        <w:rPr>
          <w:rFonts w:eastAsia="Calibri"/>
          <w:szCs w:val="22"/>
          <w:lang w:bidi="ar-SA"/>
        </w:rPr>
      </w:pPr>
    </w:p>
    <w:p w14:paraId="35540FD4" w14:textId="1750A511" w:rsidR="00785714" w:rsidRDefault="00785714" w:rsidP="00785714">
      <w:pPr>
        <w:rPr>
          <w:rFonts w:eastAsia="Calibri"/>
          <w:szCs w:val="22"/>
          <w:lang w:bidi="ar-SA"/>
        </w:rPr>
      </w:pPr>
      <w:r w:rsidRPr="001E71EF">
        <w:rPr>
          <w:rFonts w:eastAsia="Calibri"/>
          <w:szCs w:val="22"/>
          <w:lang w:bidi="ar-SA"/>
        </w:rPr>
        <w:t xml:space="preserve">Since 2013, a number of published studies have raised potential concerns for </w:t>
      </w:r>
      <w:r>
        <w:rPr>
          <w:rFonts w:eastAsia="Calibri"/>
          <w:szCs w:val="22"/>
          <w:lang w:bidi="ar-SA"/>
        </w:rPr>
        <w:t xml:space="preserve">an </w:t>
      </w:r>
      <w:r w:rsidRPr="001E71EF">
        <w:rPr>
          <w:rFonts w:eastAsia="Calibri"/>
          <w:szCs w:val="22"/>
          <w:lang w:bidi="ar-SA"/>
        </w:rPr>
        <w:t xml:space="preserve">increased risk of cardiovascular disease due to TMAO, a metabolite of L-carnitine. FSANZ has considered the relevant scientific literature and concludes </w:t>
      </w:r>
      <w:r w:rsidR="00A907DA">
        <w:rPr>
          <w:rFonts w:eastAsia="Calibri"/>
          <w:szCs w:val="22"/>
          <w:lang w:bidi="ar-SA"/>
        </w:rPr>
        <w:t xml:space="preserve">that </w:t>
      </w:r>
      <w:r w:rsidR="00A907DA" w:rsidRPr="00A907DA">
        <w:rPr>
          <w:rFonts w:eastAsia="Calibri"/>
          <w:szCs w:val="22"/>
          <w:lang w:bidi="ar-SA"/>
        </w:rPr>
        <w:t>there is insufficient information available at present to determine whether TMAO might be a surrogate marker for another factor (e.g. a better indicator of declining renal function than the currently available estimation equations) or a new modifiable risk factor.</w:t>
      </w:r>
      <w:r w:rsidR="00A907DA">
        <w:rPr>
          <w:rFonts w:eastAsia="Calibri"/>
          <w:szCs w:val="22"/>
          <w:lang w:bidi="ar-SA"/>
        </w:rPr>
        <w:t xml:space="preserve"> It is noted that </w:t>
      </w:r>
      <w:r>
        <w:rPr>
          <w:rFonts w:eastAsia="Calibri"/>
          <w:szCs w:val="22"/>
          <w:lang w:bidi="ar-SA"/>
        </w:rPr>
        <w:t xml:space="preserve">recent publications have cast doubt on the possibility that elevated plasma TMAO concentration is a causal factor for adverse cardiovascular outcomes (Cho and Caudill 2017; </w:t>
      </w:r>
      <w:r w:rsidRPr="003B2878">
        <w:rPr>
          <w:rFonts w:eastAsia="Calibri"/>
          <w:szCs w:val="22"/>
          <w:lang w:bidi="ar-SA"/>
        </w:rPr>
        <w:t xml:space="preserve">Landfald </w:t>
      </w:r>
      <w:r w:rsidR="000B7678">
        <w:rPr>
          <w:rFonts w:eastAsia="Calibri"/>
          <w:szCs w:val="22"/>
          <w:lang w:bidi="ar-SA"/>
        </w:rPr>
        <w:t>et al. 2</w:t>
      </w:r>
      <w:r w:rsidRPr="003B2878">
        <w:rPr>
          <w:rFonts w:eastAsia="Calibri"/>
          <w:szCs w:val="22"/>
          <w:lang w:bidi="ar-SA"/>
        </w:rPr>
        <w:t>017)</w:t>
      </w:r>
      <w:r>
        <w:rPr>
          <w:rFonts w:eastAsia="Calibri"/>
          <w:szCs w:val="22"/>
          <w:lang w:bidi="ar-SA"/>
        </w:rPr>
        <w:t>.</w:t>
      </w:r>
    </w:p>
    <w:p w14:paraId="74EFF83A" w14:textId="77777777" w:rsidR="00785714" w:rsidRDefault="00785714" w:rsidP="00785714">
      <w:pPr>
        <w:widowControl/>
        <w:rPr>
          <w:rFonts w:eastAsia="Calibri"/>
          <w:szCs w:val="22"/>
          <w:lang w:bidi="ar-SA"/>
        </w:rPr>
      </w:pPr>
    </w:p>
    <w:p w14:paraId="3512BC76" w14:textId="6C70C3B8" w:rsidR="00785714" w:rsidRDefault="00785714" w:rsidP="00785714">
      <w:pPr>
        <w:widowControl/>
        <w:rPr>
          <w:rFonts w:eastAsia="Calibri"/>
          <w:szCs w:val="22"/>
          <w:lang w:bidi="ar-SA"/>
        </w:rPr>
      </w:pPr>
      <w:r>
        <w:rPr>
          <w:rFonts w:eastAsia="Calibri"/>
          <w:szCs w:val="22"/>
          <w:lang w:bidi="ar-SA"/>
        </w:rPr>
        <w:t xml:space="preserve">Furthermore, there is no relationship between plasma concentrations of carnitine and TMAO. The normal range for plasma carnitine concentration is approximately 25–65 µM, and intake of L-carnitine supplements by healthy subjects, at doses as high as ~4 g/day, has been shown to increase plasma carnitine concentrations by no more than approximately 2-fold (see Supporting Document 2). (Larger increases can be achieved in haemodialysis patients that have depleted carnitine stores, see e.g. </w:t>
      </w:r>
      <w:r w:rsidRPr="00DF4E03">
        <w:rPr>
          <w:rFonts w:eastAsia="Calibri"/>
          <w:szCs w:val="22"/>
          <w:lang w:bidi="ar-SA"/>
        </w:rPr>
        <w:t xml:space="preserve">Fukami </w:t>
      </w:r>
      <w:r w:rsidR="000B7678">
        <w:rPr>
          <w:rFonts w:eastAsia="Calibri"/>
          <w:szCs w:val="22"/>
          <w:lang w:bidi="ar-SA"/>
        </w:rPr>
        <w:t>et al. 2</w:t>
      </w:r>
      <w:r w:rsidRPr="00DF4E03">
        <w:rPr>
          <w:rFonts w:eastAsia="Calibri"/>
          <w:szCs w:val="22"/>
          <w:lang w:bidi="ar-SA"/>
        </w:rPr>
        <w:t>015</w:t>
      </w:r>
      <w:r>
        <w:rPr>
          <w:rFonts w:eastAsia="Calibri"/>
          <w:szCs w:val="22"/>
          <w:lang w:bidi="ar-SA"/>
        </w:rPr>
        <w:t xml:space="preserve">). In contrast, consumption of food rich in TMAO (e.g. fish) can result in ~50-fold </w:t>
      </w:r>
      <w:r w:rsidRPr="00532090">
        <w:rPr>
          <w:rFonts w:eastAsia="Calibri"/>
          <w:szCs w:val="22"/>
          <w:lang w:bidi="ar-SA"/>
        </w:rPr>
        <w:t xml:space="preserve">higher postprandial plasma TMAO concentrations compared with </w:t>
      </w:r>
      <w:r>
        <w:rPr>
          <w:rFonts w:eastAsia="Calibri"/>
          <w:szCs w:val="22"/>
          <w:lang w:bidi="ar-SA"/>
        </w:rPr>
        <w:t xml:space="preserve">concentrations that can be achieved from </w:t>
      </w:r>
      <w:r w:rsidRPr="00532090">
        <w:rPr>
          <w:rFonts w:eastAsia="Calibri"/>
          <w:szCs w:val="22"/>
          <w:lang w:bidi="ar-SA"/>
        </w:rPr>
        <w:t xml:space="preserve">the consumption of eggs or beef (Cho </w:t>
      </w:r>
      <w:r w:rsidR="000B7678">
        <w:rPr>
          <w:rFonts w:eastAsia="Calibri"/>
          <w:szCs w:val="22"/>
          <w:lang w:bidi="ar-SA"/>
        </w:rPr>
        <w:t>et al. 2</w:t>
      </w:r>
      <w:r w:rsidRPr="00532090">
        <w:rPr>
          <w:rFonts w:eastAsia="Calibri"/>
          <w:szCs w:val="22"/>
          <w:lang w:bidi="ar-SA"/>
        </w:rPr>
        <w:t>017)</w:t>
      </w:r>
      <w:r>
        <w:rPr>
          <w:rFonts w:eastAsia="Calibri"/>
          <w:szCs w:val="22"/>
          <w:lang w:bidi="ar-SA"/>
        </w:rPr>
        <w:t>.</w:t>
      </w:r>
    </w:p>
    <w:p w14:paraId="2AD4CA38" w14:textId="77777777" w:rsidR="00785714" w:rsidRDefault="00785714" w:rsidP="00785714">
      <w:pPr>
        <w:widowControl/>
        <w:rPr>
          <w:rFonts w:eastAsia="Calibri"/>
          <w:szCs w:val="22"/>
          <w:lang w:bidi="ar-SA"/>
        </w:rPr>
      </w:pPr>
    </w:p>
    <w:p w14:paraId="405E8788" w14:textId="659098A0" w:rsidR="00785714" w:rsidRPr="003B2878" w:rsidRDefault="00785714" w:rsidP="00785714">
      <w:pPr>
        <w:widowControl/>
        <w:rPr>
          <w:rFonts w:eastAsia="Calibri"/>
          <w:szCs w:val="22"/>
          <w:lang w:bidi="ar-SA"/>
        </w:rPr>
      </w:pPr>
      <w:r>
        <w:rPr>
          <w:rFonts w:eastAsia="Calibri"/>
          <w:szCs w:val="22"/>
          <w:lang w:bidi="ar-SA"/>
        </w:rPr>
        <w:t>Based on the above considerations, it is concluded that intake of L-carnitine up to 3 g/day</w:t>
      </w:r>
      <w:r w:rsidR="003E4895">
        <w:rPr>
          <w:rFonts w:eastAsia="Calibri"/>
          <w:szCs w:val="22"/>
          <w:lang w:bidi="ar-SA"/>
        </w:rPr>
        <w:t xml:space="preserve"> is not associated with adverse effects. </w:t>
      </w:r>
      <w:r>
        <w:rPr>
          <w:rFonts w:eastAsia="Calibri"/>
          <w:szCs w:val="22"/>
          <w:lang w:bidi="ar-SA"/>
        </w:rPr>
        <w:t xml:space="preserve"> </w:t>
      </w:r>
      <w:r w:rsidR="003E4895">
        <w:rPr>
          <w:rFonts w:eastAsia="Calibri"/>
          <w:szCs w:val="22"/>
          <w:lang w:bidi="ar-SA"/>
        </w:rPr>
        <w:t xml:space="preserve">At higher doses, up to the maximum tested oral dose of 7 g/day, only minor adverse effects have been observed with no evidence of systemic toxicity. </w:t>
      </w:r>
    </w:p>
    <w:p w14:paraId="0582474C" w14:textId="77777777" w:rsidR="00785714" w:rsidRDefault="00785714" w:rsidP="00785714">
      <w:pPr>
        <w:pStyle w:val="Heading2"/>
        <w:rPr>
          <w:rFonts w:eastAsia="Calibri"/>
        </w:rPr>
      </w:pPr>
      <w:bookmarkStart w:id="23" w:name="_Toc520888225"/>
      <w:r>
        <w:rPr>
          <w:rFonts w:eastAsia="Calibri"/>
        </w:rPr>
        <w:lastRenderedPageBreak/>
        <w:t>3.2</w:t>
      </w:r>
      <w:r>
        <w:rPr>
          <w:rFonts w:eastAsia="Calibri"/>
        </w:rPr>
        <w:tab/>
      </w:r>
      <w:r w:rsidRPr="00E12CFA">
        <w:rPr>
          <w:rFonts w:eastAsia="Calibri"/>
        </w:rPr>
        <w:t xml:space="preserve">Dietary </w:t>
      </w:r>
      <w:r>
        <w:rPr>
          <w:rFonts w:eastAsia="Calibri"/>
        </w:rPr>
        <w:t>intake</w:t>
      </w:r>
      <w:r w:rsidRPr="00E12CFA">
        <w:rPr>
          <w:rFonts w:eastAsia="Calibri"/>
        </w:rPr>
        <w:t xml:space="preserve"> assessment</w:t>
      </w:r>
      <w:bookmarkEnd w:id="23"/>
    </w:p>
    <w:p w14:paraId="71F5EEBF" w14:textId="77777777" w:rsidR="00785714" w:rsidRPr="00FE5121" w:rsidRDefault="00785714" w:rsidP="00785714">
      <w:pPr>
        <w:pStyle w:val="Heading3"/>
        <w:numPr>
          <w:ilvl w:val="2"/>
          <w:numId w:val="8"/>
        </w:numPr>
      </w:pPr>
      <w:bookmarkStart w:id="24" w:name="_Toc415041923"/>
      <w:bookmarkStart w:id="25" w:name="_Toc516587273"/>
      <w:bookmarkStart w:id="26" w:name="_Toc516654664"/>
      <w:bookmarkStart w:id="27" w:name="_Toc520888226"/>
      <w:r w:rsidRPr="00FE5121">
        <w:t xml:space="preserve">Approach to </w:t>
      </w:r>
      <w:r>
        <w:t>estimat</w:t>
      </w:r>
      <w:r w:rsidRPr="00FE5121">
        <w:t xml:space="preserve">ing dietary </w:t>
      </w:r>
      <w:r>
        <w:t>intake of L-carnitine</w:t>
      </w:r>
      <w:bookmarkEnd w:id="24"/>
      <w:bookmarkEnd w:id="25"/>
      <w:bookmarkEnd w:id="26"/>
      <w:bookmarkEnd w:id="27"/>
    </w:p>
    <w:p w14:paraId="02D501D0" w14:textId="77777777" w:rsidR="00785714" w:rsidRPr="00FE5121" w:rsidRDefault="00785714" w:rsidP="00785714">
      <w:r w:rsidRPr="00FE5121">
        <w:t xml:space="preserve">Dietary </w:t>
      </w:r>
      <w:r>
        <w:t>intake</w:t>
      </w:r>
      <w:r w:rsidRPr="00FE5121">
        <w:t xml:space="preserve"> assessments require data on</w:t>
      </w:r>
      <w:r>
        <w:t xml:space="preserve"> the</w:t>
      </w:r>
      <w:r w:rsidRPr="00FE5121">
        <w:t xml:space="preserve"> concentrations of the chemical of interest in the foods requested, and consumption data for the foods that have been collected through a national nutrition survey.</w:t>
      </w:r>
    </w:p>
    <w:p w14:paraId="40B335BF" w14:textId="77777777" w:rsidR="00785714" w:rsidRPr="00FE5121" w:rsidRDefault="00785714" w:rsidP="00785714"/>
    <w:p w14:paraId="3621A82C" w14:textId="4C820F80" w:rsidR="00785714" w:rsidRPr="00FE5121" w:rsidRDefault="00785714" w:rsidP="00785714">
      <w:r w:rsidRPr="00FE5121">
        <w:t xml:space="preserve">The dietary </w:t>
      </w:r>
      <w:r>
        <w:t>intake of L-carnitine</w:t>
      </w:r>
      <w:r w:rsidRPr="00FE5121">
        <w:t xml:space="preserve"> was estimated </w:t>
      </w:r>
      <w:r w:rsidRPr="00E16CB8">
        <w:t xml:space="preserve">using (1) naturally occurring L-carnitine concentrations and the Maximum Permitted Levels (MPL) for existing L-carnitine permissions and the permissions requested in this </w:t>
      </w:r>
      <w:r w:rsidR="00E202CC">
        <w:t>application</w:t>
      </w:r>
      <w:r w:rsidRPr="00E16CB8">
        <w:t>; and</w:t>
      </w:r>
      <w:r w:rsidRPr="00FE5121">
        <w:t xml:space="preserve"> </w:t>
      </w:r>
      <w:r>
        <w:t xml:space="preserve">(2) </w:t>
      </w:r>
      <w:r w:rsidRPr="00FE5121">
        <w:t xml:space="preserve">food consumption data from the </w:t>
      </w:r>
      <w:r>
        <w:t xml:space="preserve">most recent </w:t>
      </w:r>
      <w:r w:rsidRPr="00FE5121">
        <w:t xml:space="preserve">Australian and New </w:t>
      </w:r>
      <w:r w:rsidRPr="00814453">
        <w:t>Zealand national nutrition surveys.</w:t>
      </w:r>
      <w:r w:rsidRPr="00D1539D">
        <w:rPr>
          <w:rFonts w:cs="Arial"/>
        </w:rPr>
        <w:t xml:space="preserve"> </w:t>
      </w:r>
      <w:r w:rsidRPr="00814453">
        <w:t xml:space="preserve">The dietary </w:t>
      </w:r>
      <w:r>
        <w:t>intake</w:t>
      </w:r>
      <w:r w:rsidRPr="00814453">
        <w:t xml:space="preserve"> assessment was undertaken using FSANZ’s dietary modelling computer program, Harvest</w:t>
      </w:r>
      <w:r>
        <w:rPr>
          <w:rStyle w:val="FootnoteReference"/>
        </w:rPr>
        <w:footnoteReference w:id="2"/>
      </w:r>
      <w:r w:rsidRPr="00814453">
        <w:t>.</w:t>
      </w:r>
      <w:r>
        <w:t xml:space="preserve"> An evaluation of L-carnitine intakes from dietary supplements was also conducted.</w:t>
      </w:r>
    </w:p>
    <w:p w14:paraId="443D6AEA" w14:textId="77777777" w:rsidR="00785714" w:rsidRPr="00FE0034" w:rsidRDefault="00785714" w:rsidP="00785714"/>
    <w:p w14:paraId="033B5F10" w14:textId="2C4FEF28" w:rsidR="00785714" w:rsidRPr="00FE0034" w:rsidRDefault="00785714" w:rsidP="008A2E28">
      <w:pPr>
        <w:widowControl/>
        <w:rPr>
          <w:rFonts w:cs="Arial"/>
        </w:rPr>
      </w:pPr>
      <w:r w:rsidRPr="00FE0034">
        <w:rPr>
          <w:rFonts w:cs="Arial"/>
        </w:rPr>
        <w:t xml:space="preserve">A summary of the general FSANZ approach to conducting the dietary </w:t>
      </w:r>
      <w:r>
        <w:rPr>
          <w:rFonts w:cs="Arial"/>
        </w:rPr>
        <w:t xml:space="preserve">intake </w:t>
      </w:r>
      <w:r w:rsidRPr="00FE0034">
        <w:rPr>
          <w:rFonts w:cs="Arial"/>
        </w:rPr>
        <w:t xml:space="preserve">assessment for this </w:t>
      </w:r>
      <w:r w:rsidR="00E202CC">
        <w:rPr>
          <w:rFonts w:cs="Arial"/>
        </w:rPr>
        <w:t>application</w:t>
      </w:r>
      <w:r w:rsidRPr="00FE0034">
        <w:rPr>
          <w:rFonts w:cs="Arial"/>
        </w:rPr>
        <w:t xml:space="preserve"> is at</w:t>
      </w:r>
      <w:r w:rsidR="008A2E28">
        <w:rPr>
          <w:rFonts w:cs="Arial"/>
        </w:rPr>
        <w:t xml:space="preserve"> Appendix 2.</w:t>
      </w:r>
      <w:r w:rsidR="008A2E28" w:rsidRPr="00FE0034">
        <w:rPr>
          <w:rFonts w:cs="Arial"/>
        </w:rPr>
        <w:t xml:space="preserve"> </w:t>
      </w:r>
      <w:r w:rsidRPr="00FE0034">
        <w:rPr>
          <w:rFonts w:cs="Arial"/>
        </w:rPr>
        <w:t xml:space="preserve">A detailed discussion of the FSANZ methodology and approach to conducting dietary </w:t>
      </w:r>
      <w:r>
        <w:rPr>
          <w:rFonts w:cs="Arial"/>
        </w:rPr>
        <w:t>intake</w:t>
      </w:r>
      <w:r w:rsidRPr="00FE0034">
        <w:rPr>
          <w:rFonts w:cs="Arial"/>
        </w:rPr>
        <w:t xml:space="preserve"> assessments is set out in </w:t>
      </w:r>
      <w:r w:rsidRPr="00FE0034">
        <w:rPr>
          <w:rFonts w:cs="Arial"/>
          <w:i/>
        </w:rPr>
        <w:t xml:space="preserve">Principles and Practices of Dietary Exposure Assessment for Food Regulatory Purposes </w:t>
      </w:r>
      <w:r w:rsidRPr="00FE0034">
        <w:rPr>
          <w:rFonts w:cs="Arial"/>
        </w:rPr>
        <w:t>(FSANZ 2009).</w:t>
      </w:r>
    </w:p>
    <w:p w14:paraId="17BAAA4D" w14:textId="77777777" w:rsidR="00785714" w:rsidRPr="00FE0034" w:rsidRDefault="00785714" w:rsidP="00785714">
      <w:pPr>
        <w:pStyle w:val="Heading4"/>
      </w:pPr>
      <w:bookmarkStart w:id="28" w:name="_Toc269201840"/>
      <w:bookmarkStart w:id="29" w:name="_Toc360028615"/>
      <w:bookmarkStart w:id="30" w:name="_Toc415041924"/>
      <w:r w:rsidRPr="00FE0034">
        <w:t>Consumption data used</w:t>
      </w:r>
      <w:bookmarkEnd w:id="28"/>
      <w:bookmarkEnd w:id="29"/>
      <w:bookmarkEnd w:id="30"/>
    </w:p>
    <w:p w14:paraId="6F241C5F" w14:textId="00C42F85" w:rsidR="00785714" w:rsidRPr="00FE0034" w:rsidRDefault="00785714" w:rsidP="00785714">
      <w:pPr>
        <w:rPr>
          <w:rFonts w:cs="Arial"/>
        </w:rPr>
      </w:pPr>
      <w:r w:rsidRPr="00E16CB8">
        <w:rPr>
          <w:rFonts w:cs="Arial"/>
        </w:rPr>
        <w:t>The</w:t>
      </w:r>
      <w:r w:rsidR="006A0A00">
        <w:rPr>
          <w:rFonts w:cs="Arial"/>
        </w:rPr>
        <w:t xml:space="preserve"> p</w:t>
      </w:r>
      <w:r w:rsidRPr="00E16CB8">
        <w:rPr>
          <w:rFonts w:cs="Arial"/>
        </w:rPr>
        <w:t xml:space="preserve">ermissions contained in the </w:t>
      </w:r>
      <w:r w:rsidRPr="00E16CB8">
        <w:rPr>
          <w:rFonts w:cs="Arial"/>
          <w:i/>
        </w:rPr>
        <w:t xml:space="preserve">Australia New Zealand Food Standards Code </w:t>
      </w:r>
      <w:r w:rsidRPr="00E16CB8">
        <w:rPr>
          <w:rFonts w:cs="Arial"/>
        </w:rPr>
        <w:t>(the Code)</w:t>
      </w:r>
      <w:r w:rsidRPr="00FE0034">
        <w:rPr>
          <w:rFonts w:cs="Arial"/>
        </w:rPr>
        <w:t xml:space="preserve"> apply to foods sold in both Australia and New Zealand</w:t>
      </w:r>
      <w:r>
        <w:rPr>
          <w:rFonts w:cs="Arial"/>
        </w:rPr>
        <w:t>, t</w:t>
      </w:r>
      <w:r w:rsidRPr="00FE0034">
        <w:rPr>
          <w:rFonts w:cs="Arial"/>
        </w:rPr>
        <w:t xml:space="preserve">herefore dietary </w:t>
      </w:r>
      <w:r>
        <w:rPr>
          <w:rFonts w:cs="Arial"/>
        </w:rPr>
        <w:t>intake</w:t>
      </w:r>
      <w:r w:rsidRPr="00FE0034">
        <w:rPr>
          <w:rFonts w:cs="Arial"/>
        </w:rPr>
        <w:t xml:space="preserve"> assessment</w:t>
      </w:r>
      <w:r>
        <w:rPr>
          <w:rFonts w:cs="Arial"/>
        </w:rPr>
        <w:t>s</w:t>
      </w:r>
      <w:r w:rsidRPr="00FE0034">
        <w:rPr>
          <w:rFonts w:cs="Arial"/>
        </w:rPr>
        <w:t xml:space="preserve"> w</w:t>
      </w:r>
      <w:r>
        <w:rPr>
          <w:rFonts w:cs="Arial"/>
        </w:rPr>
        <w:t>ere</w:t>
      </w:r>
      <w:r w:rsidRPr="00FE0034">
        <w:rPr>
          <w:rFonts w:cs="Arial"/>
        </w:rPr>
        <w:t xml:space="preserve"> undertaken for both countries.</w:t>
      </w:r>
    </w:p>
    <w:p w14:paraId="57615588" w14:textId="77777777" w:rsidR="00785714" w:rsidRPr="00FE0034" w:rsidRDefault="00785714" w:rsidP="00785714">
      <w:pPr>
        <w:rPr>
          <w:rFonts w:cs="Arial"/>
        </w:rPr>
      </w:pPr>
    </w:p>
    <w:p w14:paraId="4C1B2756" w14:textId="77777777" w:rsidR="00785714" w:rsidRPr="00FE0034" w:rsidRDefault="00785714" w:rsidP="00785714">
      <w:pPr>
        <w:keepNext/>
        <w:keepLines/>
        <w:rPr>
          <w:rFonts w:cs="Arial"/>
        </w:rPr>
      </w:pPr>
      <w:r w:rsidRPr="00FE0034">
        <w:rPr>
          <w:rFonts w:cs="Arial"/>
        </w:rPr>
        <w:t xml:space="preserve">The food consumption data used for the </w:t>
      </w:r>
      <w:r>
        <w:rPr>
          <w:rFonts w:cs="Arial"/>
        </w:rPr>
        <w:t>dietary intake</w:t>
      </w:r>
      <w:r w:rsidRPr="00FE0034">
        <w:rPr>
          <w:rFonts w:cs="Arial"/>
        </w:rPr>
        <w:t xml:space="preserve"> assessment</w:t>
      </w:r>
      <w:r>
        <w:rPr>
          <w:rFonts w:cs="Arial"/>
        </w:rPr>
        <w:t>s</w:t>
      </w:r>
      <w:r w:rsidRPr="00FE0034">
        <w:rPr>
          <w:rFonts w:cs="Arial"/>
        </w:rPr>
        <w:t xml:space="preserve"> were:</w:t>
      </w:r>
    </w:p>
    <w:p w14:paraId="48C0DB6B" w14:textId="77777777" w:rsidR="00785714" w:rsidRPr="00BB6B83" w:rsidRDefault="00785714" w:rsidP="00785714">
      <w:pPr>
        <w:pStyle w:val="FSBullet1"/>
        <w:spacing w:before="60" w:after="60"/>
        <w:ind w:left="567" w:hanging="567"/>
      </w:pPr>
      <w:r w:rsidRPr="00BB6B83">
        <w:t>2002 New Zealand National Children’s Nutrition Survey (2002 NZ</w:t>
      </w:r>
      <w:r>
        <w:t>N</w:t>
      </w:r>
      <w:r w:rsidRPr="00BB6B83">
        <w:t>NS), one 24-hour food recall covering 3,275 New Zealand school children aged 5-14 years.</w:t>
      </w:r>
    </w:p>
    <w:p w14:paraId="29AE7529" w14:textId="77777777" w:rsidR="00785714" w:rsidRDefault="00785714" w:rsidP="00785714">
      <w:pPr>
        <w:pStyle w:val="FSBullet1"/>
        <w:spacing w:before="60" w:after="60"/>
        <w:ind w:left="567" w:hanging="567"/>
      </w:pPr>
      <w:r w:rsidRPr="00BB6B83">
        <w:t>2008/09 New Zealand Adult Nutrition Survey (2008 NZANS), one 24 hour food recall covering 4,721 New Zealanders aged 15 years and above.</w:t>
      </w:r>
    </w:p>
    <w:p w14:paraId="24D15ED8" w14:textId="77777777" w:rsidR="00785714" w:rsidRPr="00A408DF" w:rsidRDefault="00785714" w:rsidP="00785714">
      <w:pPr>
        <w:pStyle w:val="FSBullet1"/>
        <w:spacing w:before="60" w:after="60"/>
        <w:ind w:left="567" w:hanging="567"/>
      </w:pPr>
      <w:r>
        <w:t>2011-12 Australian National Nutrition and Physical Activity Survey (2011-12 NNPAS</w:t>
      </w:r>
      <w:r w:rsidRPr="00E16CB8">
        <w:t xml:space="preserve">), one </w:t>
      </w:r>
      <w:r>
        <w:t>24 </w:t>
      </w:r>
      <w:r w:rsidRPr="00E16CB8">
        <w:t xml:space="preserve">hour food </w:t>
      </w:r>
      <w:r w:rsidRPr="00A408DF">
        <w:t>recall survey of 12,153 Australians aged 2 years and above, with a second 24-hour recall undertaken for 64% of respondents. Only those respondents who had two days of food consumption data (n=7,735) were used in the assessment of dietary intakes.</w:t>
      </w:r>
    </w:p>
    <w:p w14:paraId="0F3039BF" w14:textId="77777777" w:rsidR="00785714" w:rsidRDefault="00785714" w:rsidP="00785714">
      <w:pPr>
        <w:widowControl/>
        <w:rPr>
          <w:rFonts w:eastAsia="Calibri"/>
          <w:szCs w:val="22"/>
          <w:lang w:bidi="ar-SA"/>
        </w:rPr>
      </w:pPr>
    </w:p>
    <w:p w14:paraId="48240D7B" w14:textId="1E04AE8C" w:rsidR="00785714" w:rsidRDefault="00785714" w:rsidP="00785714">
      <w:r w:rsidRPr="00FE0034">
        <w:t>The design of these nutrition surveys vary and the key attributes of each, including survey limitations, are set out in</w:t>
      </w:r>
      <w:r w:rsidR="00AC5EF1">
        <w:t xml:space="preserve"> Appendix 2</w:t>
      </w:r>
      <w:r w:rsidRPr="00FE0034">
        <w:t>.</w:t>
      </w:r>
    </w:p>
    <w:p w14:paraId="2A261142" w14:textId="77777777" w:rsidR="00785714" w:rsidRDefault="00785714" w:rsidP="00785714"/>
    <w:p w14:paraId="1170E832" w14:textId="77777777" w:rsidR="00785714" w:rsidRPr="00FE0034" w:rsidRDefault="00785714" w:rsidP="00785714">
      <w:r>
        <w:t>Consumption data for dietary supplements was from the 2011-12 NNPAS, as this was collected from respondents during the 24-hour recalls. Label dosage information was also used.</w:t>
      </w:r>
    </w:p>
    <w:p w14:paraId="33888A20" w14:textId="77777777" w:rsidR="00785714" w:rsidRPr="00FE0034" w:rsidRDefault="00785714" w:rsidP="00785714">
      <w:pPr>
        <w:rPr>
          <w:szCs w:val="22"/>
        </w:rPr>
      </w:pPr>
    </w:p>
    <w:p w14:paraId="1827BDCD" w14:textId="3D81D588" w:rsidR="00785714" w:rsidRDefault="00785714" w:rsidP="00785714">
      <w:r w:rsidRPr="006B3251">
        <w:rPr>
          <w:rFonts w:cs="Arial"/>
        </w:rPr>
        <w:t>The hazard identification and characterisation did not identify any population sub-groups for which there were specific safety considerations in relation to intake of L-carnitine</w:t>
      </w:r>
      <w:r w:rsidRPr="00482FD5">
        <w:rPr>
          <w:rFonts w:cs="Arial"/>
        </w:rPr>
        <w:t xml:space="preserve">. </w:t>
      </w:r>
      <w:r w:rsidRPr="00C439CB">
        <w:rPr>
          <w:rFonts w:cs="Arial"/>
        </w:rPr>
        <w:t xml:space="preserve">In addition, </w:t>
      </w:r>
      <w:r w:rsidRPr="00C439CB">
        <w:t xml:space="preserve">the food categories requested in the </w:t>
      </w:r>
      <w:r w:rsidR="00E202CC">
        <w:t>application</w:t>
      </w:r>
      <w:r w:rsidRPr="00C439CB">
        <w:t xml:space="preserve"> for addition of </w:t>
      </w:r>
      <w:r>
        <w:t>L-carnitine</w:t>
      </w:r>
      <w:r w:rsidRPr="00C439CB">
        <w:t xml:space="preserve"> are consumed by all sectors of the Australian and New Zealand </w:t>
      </w:r>
      <w:r w:rsidRPr="006B3251">
        <w:t>populations.</w:t>
      </w:r>
      <w:r w:rsidRPr="006B3251">
        <w:rPr>
          <w:rFonts w:cs="Arial"/>
        </w:rPr>
        <w:t xml:space="preserve"> </w:t>
      </w:r>
      <w:r w:rsidRPr="006B3251">
        <w:t xml:space="preserve">A dietary intake assessment was conducted for children because children generally have higher intakes due to their smaller body weight, and they consume more food per kilogram of body weight compared to adults. </w:t>
      </w:r>
      <w:r w:rsidRPr="006B3251">
        <w:rPr>
          <w:rFonts w:cs="Arial"/>
        </w:rPr>
        <w:lastRenderedPageBreak/>
        <w:t>T</w:t>
      </w:r>
      <w:r w:rsidRPr="006B3251">
        <w:rPr>
          <w:szCs w:val="22"/>
        </w:rPr>
        <w:t>he</w:t>
      </w:r>
      <w:r w:rsidRPr="006B3251">
        <w:t xml:space="preserve"> population groups listed in </w:t>
      </w:r>
      <w:r>
        <w:fldChar w:fldCharType="begin"/>
      </w:r>
      <w:r>
        <w:instrText xml:space="preserve"> REF _Ref482954425 \h </w:instrText>
      </w:r>
      <w:r w:rsidR="00645604">
        <w:instrText xml:space="preserve"> \* MERGEFORMAT </w:instrText>
      </w:r>
      <w:r>
        <w:fldChar w:fldCharType="separate"/>
      </w:r>
      <w:r w:rsidR="00872715" w:rsidRPr="00A77D96">
        <w:t xml:space="preserve">Table </w:t>
      </w:r>
      <w:r>
        <w:fldChar w:fldCharType="end"/>
      </w:r>
      <w:r>
        <w:t xml:space="preserve"> </w:t>
      </w:r>
      <w:r w:rsidRPr="00CF3694">
        <w:t>were used for the dietary intake assessment.</w:t>
      </w:r>
    </w:p>
    <w:p w14:paraId="47A92296" w14:textId="77777777" w:rsidR="00785714" w:rsidRDefault="00785714" w:rsidP="00785714"/>
    <w:p w14:paraId="3EA0A86A" w14:textId="66C9FE12" w:rsidR="00785714" w:rsidRDefault="00785714" w:rsidP="00785714">
      <w:r>
        <w:t xml:space="preserve">In addition, dietary intakes of L-carnitine were estimated for some specific groups of consumers in the population. These specific groups were identified as target consumers in the </w:t>
      </w:r>
      <w:r w:rsidR="00E202CC">
        <w:t>application</w:t>
      </w:r>
      <w:r>
        <w:t xml:space="preserve"> and are: r</w:t>
      </w:r>
      <w:r w:rsidRPr="00DA3AEA">
        <w:t>espondents who didn't consume meats (incl</w:t>
      </w:r>
      <w:r>
        <w:t>uding</w:t>
      </w:r>
      <w:r w:rsidRPr="00DA3AEA">
        <w:t xml:space="preserve">. poultry, seafoods &amp; game) or meat products (e.g. fish sauce)) in the nutrition surveys as a proxy for 'vegetarians'; </w:t>
      </w:r>
      <w:r>
        <w:t>c</w:t>
      </w:r>
      <w:r w:rsidRPr="00DA3AEA">
        <w:t xml:space="preserve">onsumers of weight management or meal replacement products; and </w:t>
      </w:r>
      <w:r>
        <w:t>c</w:t>
      </w:r>
      <w:r w:rsidRPr="00DA3AEA">
        <w:t>onsumers of sports foods ± protein supplements (e.g. bars / powders)</w:t>
      </w:r>
      <w:r>
        <w:t>. These groups were assessed for Australians aged 2 years and above and New Zealanders 15 years and above. New Zealand children were not included in this evaluation as there were no consumers of sports foods or weight reduction foods.</w:t>
      </w:r>
    </w:p>
    <w:p w14:paraId="3469AEC5" w14:textId="77777777" w:rsidR="00785714" w:rsidRDefault="00785714" w:rsidP="00785714"/>
    <w:p w14:paraId="55628140" w14:textId="77777777" w:rsidR="00785714" w:rsidRDefault="00785714" w:rsidP="00785714">
      <w:r w:rsidRPr="00677911">
        <w:t>The population group of the elderly (71</w:t>
      </w:r>
      <w:r>
        <w:t> </w:t>
      </w:r>
      <w:r w:rsidRPr="00677911">
        <w:t xml:space="preserve">years and above) is considered to be a specific consumer group in this assessment and is discussed separately to the general population groups. However, </w:t>
      </w:r>
      <w:r>
        <w:t>consumers aged 71 years and above are</w:t>
      </w:r>
      <w:r w:rsidRPr="00677911">
        <w:t xml:space="preserve"> included in the assessment of the general population groups of Australians age 2 years and above and New Zealanders aged 15 years and above.</w:t>
      </w:r>
    </w:p>
    <w:p w14:paraId="3F054B3E" w14:textId="77777777" w:rsidR="00785714" w:rsidRDefault="00785714" w:rsidP="00785714"/>
    <w:p w14:paraId="49245EF1" w14:textId="77777777" w:rsidR="00785714" w:rsidRDefault="00785714" w:rsidP="00785714">
      <w:pPr>
        <w:pStyle w:val="FSTableTitle"/>
        <w:keepNext/>
        <w:keepLines/>
      </w:pPr>
      <w:bookmarkStart w:id="31" w:name="_Ref482954425"/>
      <w:r w:rsidRPr="00A77D96">
        <w:t xml:space="preserve">Table </w:t>
      </w:r>
      <w:bookmarkEnd w:id="31"/>
      <w:r>
        <w:t>5</w:t>
      </w:r>
      <w:r w:rsidRPr="00A77D96">
        <w:t>: Population groups used in the dietary intake assessment</w:t>
      </w:r>
    </w:p>
    <w:tbl>
      <w:tblPr>
        <w:tblStyle w:val="LightShading-Accent1"/>
        <w:tblW w:w="5000" w:type="pct"/>
        <w:tblLook w:val="04A0" w:firstRow="1" w:lastRow="0" w:firstColumn="1" w:lastColumn="0" w:noHBand="0" w:noVBand="1"/>
        <w:tblDescription w:val="Number of respondents on Day 1 of the Australian and New Zealand National Nutrition Surveys and the number of respondents who had 2 days of intake in the 2011-12 NNPAS."/>
      </w:tblPr>
      <w:tblGrid>
        <w:gridCol w:w="1601"/>
        <w:gridCol w:w="1601"/>
        <w:gridCol w:w="2148"/>
        <w:gridCol w:w="1838"/>
        <w:gridCol w:w="1838"/>
      </w:tblGrid>
      <w:tr w:rsidR="00785714" w:rsidRPr="00A77D96" w14:paraId="3EA50337" w14:textId="77777777" w:rsidTr="006477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7" w:type="pct"/>
            <w:vAlign w:val="center"/>
          </w:tcPr>
          <w:p w14:paraId="135B2017" w14:textId="77777777" w:rsidR="00785714" w:rsidRPr="00A77D96" w:rsidRDefault="00785714" w:rsidP="00811A8E">
            <w:pPr>
              <w:keepNext/>
              <w:keepLines/>
              <w:widowControl/>
              <w:spacing w:before="60" w:after="60"/>
              <w:rPr>
                <w:rFonts w:cs="Arial"/>
                <w:bCs w:val="0"/>
                <w:color w:val="000000"/>
                <w:szCs w:val="22"/>
                <w:lang w:eastAsia="en-GB" w:bidi="ar-SA"/>
              </w:rPr>
            </w:pPr>
            <w:r w:rsidRPr="00A77D96">
              <w:rPr>
                <w:rFonts w:cs="Arial"/>
                <w:bCs w:val="0"/>
                <w:color w:val="000000"/>
                <w:szCs w:val="22"/>
                <w:lang w:eastAsia="en-GB" w:bidi="ar-SA"/>
              </w:rPr>
              <w:t>Country</w:t>
            </w:r>
          </w:p>
        </w:tc>
        <w:tc>
          <w:tcPr>
            <w:tcW w:w="887" w:type="pct"/>
            <w:vAlign w:val="center"/>
            <w:hideMark/>
          </w:tcPr>
          <w:p w14:paraId="29EAD259" w14:textId="77777777" w:rsidR="00785714" w:rsidRPr="00A77D96" w:rsidRDefault="00785714" w:rsidP="00811A8E">
            <w:pPr>
              <w:keepNext/>
              <w:keepLines/>
              <w:widowControl/>
              <w:spacing w:before="60" w:after="60"/>
              <w:cnfStyle w:val="100000000000" w:firstRow="1" w:lastRow="0" w:firstColumn="0" w:lastColumn="0" w:oddVBand="0" w:evenVBand="0" w:oddHBand="0" w:evenHBand="0" w:firstRowFirstColumn="0" w:firstRowLastColumn="0" w:lastRowFirstColumn="0" w:lastRowLastColumn="0"/>
              <w:rPr>
                <w:rFonts w:cs="Arial"/>
                <w:bCs w:val="0"/>
                <w:color w:val="000000"/>
                <w:szCs w:val="22"/>
                <w:lang w:eastAsia="en-GB" w:bidi="ar-SA"/>
              </w:rPr>
            </w:pPr>
            <w:r w:rsidRPr="00A77D96">
              <w:rPr>
                <w:rFonts w:cs="Arial"/>
                <w:bCs w:val="0"/>
                <w:color w:val="000000"/>
                <w:szCs w:val="22"/>
                <w:lang w:eastAsia="en-GB" w:bidi="ar-SA"/>
              </w:rPr>
              <w:t>Survey</w:t>
            </w:r>
          </w:p>
        </w:tc>
        <w:tc>
          <w:tcPr>
            <w:tcW w:w="1190" w:type="pct"/>
            <w:vAlign w:val="center"/>
            <w:hideMark/>
          </w:tcPr>
          <w:p w14:paraId="30945874" w14:textId="77777777" w:rsidR="00785714" w:rsidRPr="00A77D96" w:rsidRDefault="00785714" w:rsidP="00811A8E">
            <w:pPr>
              <w:keepNext/>
              <w:keepLines/>
              <w:widowControl/>
              <w:spacing w:before="60" w:after="60"/>
              <w:cnfStyle w:val="100000000000" w:firstRow="1" w:lastRow="0" w:firstColumn="0" w:lastColumn="0" w:oddVBand="0" w:evenVBand="0" w:oddHBand="0" w:evenHBand="0" w:firstRowFirstColumn="0" w:firstRowLastColumn="0" w:lastRowFirstColumn="0" w:lastRowLastColumn="0"/>
              <w:rPr>
                <w:rFonts w:cs="Arial"/>
                <w:bCs w:val="0"/>
                <w:color w:val="000000"/>
                <w:szCs w:val="22"/>
                <w:lang w:eastAsia="en-GB" w:bidi="ar-SA"/>
              </w:rPr>
            </w:pPr>
            <w:r w:rsidRPr="00A77D96">
              <w:rPr>
                <w:rFonts w:cs="Arial"/>
                <w:bCs w:val="0"/>
                <w:color w:val="000000"/>
                <w:szCs w:val="22"/>
                <w:lang w:eastAsia="en-GB" w:bidi="ar-SA"/>
              </w:rPr>
              <w:t>Age group</w:t>
            </w:r>
          </w:p>
        </w:tc>
        <w:tc>
          <w:tcPr>
            <w:tcW w:w="1018" w:type="pct"/>
            <w:vAlign w:val="center"/>
            <w:hideMark/>
          </w:tcPr>
          <w:p w14:paraId="461235DA" w14:textId="77777777" w:rsidR="00785714" w:rsidRPr="00A77D96" w:rsidRDefault="00785714" w:rsidP="00811A8E">
            <w:pPr>
              <w:keepNext/>
              <w:keepLines/>
              <w:widowControl/>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color w:val="000000"/>
                <w:szCs w:val="22"/>
                <w:lang w:eastAsia="en-GB" w:bidi="ar-SA"/>
              </w:rPr>
            </w:pPr>
            <w:r w:rsidRPr="00A77D96">
              <w:rPr>
                <w:rFonts w:cs="Arial"/>
                <w:bCs w:val="0"/>
                <w:color w:val="000000"/>
                <w:szCs w:val="22"/>
                <w:lang w:eastAsia="en-GB" w:bidi="ar-SA"/>
              </w:rPr>
              <w:t>No. respondents (Day 1 only)</w:t>
            </w:r>
          </w:p>
        </w:tc>
        <w:tc>
          <w:tcPr>
            <w:tcW w:w="1018" w:type="pct"/>
            <w:vAlign w:val="center"/>
          </w:tcPr>
          <w:p w14:paraId="43A8D29F" w14:textId="77777777" w:rsidR="00785714" w:rsidRPr="00A77D96" w:rsidRDefault="00785714" w:rsidP="00811A8E">
            <w:pPr>
              <w:keepNext/>
              <w:keepLines/>
              <w:widowControl/>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color w:val="000000"/>
                <w:szCs w:val="22"/>
                <w:lang w:eastAsia="en-GB" w:bidi="ar-SA"/>
              </w:rPr>
            </w:pPr>
            <w:r w:rsidRPr="00A77D96">
              <w:rPr>
                <w:rFonts w:cs="Arial"/>
                <w:bCs w:val="0"/>
                <w:color w:val="000000"/>
                <w:szCs w:val="22"/>
                <w:lang w:eastAsia="en-GB" w:bidi="ar-SA"/>
              </w:rPr>
              <w:t xml:space="preserve">No. respondents (Day 1 </w:t>
            </w:r>
            <w:r>
              <w:rPr>
                <w:rFonts w:cs="Arial"/>
                <w:bCs w:val="0"/>
                <w:color w:val="000000"/>
                <w:szCs w:val="22"/>
                <w:lang w:eastAsia="en-GB" w:bidi="ar-SA"/>
              </w:rPr>
              <w:t xml:space="preserve">and </w:t>
            </w:r>
            <w:r w:rsidRPr="00A77D96">
              <w:rPr>
                <w:rFonts w:cs="Arial"/>
                <w:bCs w:val="0"/>
                <w:color w:val="000000"/>
                <w:szCs w:val="22"/>
                <w:lang w:eastAsia="en-GB" w:bidi="ar-SA"/>
              </w:rPr>
              <w:t>2)</w:t>
            </w:r>
          </w:p>
        </w:tc>
      </w:tr>
      <w:tr w:rsidR="00785714" w:rsidRPr="00814453" w14:paraId="33AEAE3A"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vAlign w:val="center"/>
          </w:tcPr>
          <w:p w14:paraId="5B792C92" w14:textId="77777777" w:rsidR="00785714" w:rsidRPr="00A77D96" w:rsidRDefault="00785714" w:rsidP="00811A8E">
            <w:pPr>
              <w:keepNext/>
              <w:keepLines/>
              <w:widowControl/>
              <w:spacing w:before="60" w:after="60"/>
              <w:rPr>
                <w:rFonts w:cs="Arial"/>
                <w:b w:val="0"/>
                <w:color w:val="000000"/>
                <w:szCs w:val="22"/>
                <w:lang w:eastAsia="en-GB" w:bidi="ar-SA"/>
              </w:rPr>
            </w:pPr>
            <w:r w:rsidRPr="00A77D96">
              <w:rPr>
                <w:rFonts w:cs="Arial"/>
                <w:b w:val="0"/>
                <w:color w:val="000000"/>
                <w:szCs w:val="22"/>
                <w:lang w:eastAsia="en-GB" w:bidi="ar-SA"/>
              </w:rPr>
              <w:t>Australia</w:t>
            </w:r>
          </w:p>
        </w:tc>
        <w:tc>
          <w:tcPr>
            <w:tcW w:w="887" w:type="pct"/>
            <w:vAlign w:val="center"/>
            <w:hideMark/>
          </w:tcPr>
          <w:p w14:paraId="52AFC3D7" w14:textId="77777777" w:rsidR="00785714" w:rsidRPr="00CF3694"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CF3694">
              <w:rPr>
                <w:rFonts w:cs="Arial"/>
                <w:color w:val="000000"/>
                <w:szCs w:val="22"/>
                <w:lang w:eastAsia="en-GB" w:bidi="ar-SA"/>
              </w:rPr>
              <w:t>2011-12 NNPAS</w:t>
            </w:r>
          </w:p>
        </w:tc>
        <w:tc>
          <w:tcPr>
            <w:tcW w:w="1190" w:type="pct"/>
            <w:vAlign w:val="center"/>
            <w:hideMark/>
          </w:tcPr>
          <w:p w14:paraId="3BF8F10A" w14:textId="053DAD82" w:rsidR="00785714" w:rsidRPr="00CF3694" w:rsidRDefault="00785714" w:rsidP="004D1902">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CF3694">
              <w:rPr>
                <w:rFonts w:cs="Arial"/>
                <w:color w:val="000000"/>
                <w:szCs w:val="22"/>
                <w:lang w:eastAsia="en-GB" w:bidi="ar-SA"/>
              </w:rPr>
              <w:t>2</w:t>
            </w:r>
            <w:r w:rsidR="004D1902">
              <w:rPr>
                <w:rFonts w:cs="Arial"/>
                <w:color w:val="000000"/>
                <w:szCs w:val="22"/>
                <w:lang w:eastAsia="en-GB" w:bidi="ar-SA"/>
              </w:rPr>
              <w:t xml:space="preserve"> - </w:t>
            </w:r>
            <w:r w:rsidRPr="00CF3694">
              <w:rPr>
                <w:rFonts w:cs="Arial"/>
                <w:color w:val="000000"/>
                <w:szCs w:val="22"/>
                <w:lang w:eastAsia="en-GB" w:bidi="ar-SA"/>
              </w:rPr>
              <w:t>6 years</w:t>
            </w:r>
          </w:p>
        </w:tc>
        <w:tc>
          <w:tcPr>
            <w:tcW w:w="1018" w:type="pct"/>
            <w:noWrap/>
            <w:vAlign w:val="center"/>
          </w:tcPr>
          <w:p w14:paraId="5843CF9E" w14:textId="77777777" w:rsidR="00785714" w:rsidRPr="0097325E" w:rsidRDefault="00785714" w:rsidP="00811A8E">
            <w:pPr>
              <w:keepNext/>
              <w:keepLines/>
              <w:widowControl/>
              <w:tabs>
                <w:tab w:val="decimal" w:pos="1182"/>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97325E">
              <w:rPr>
                <w:rFonts w:cs="Arial"/>
                <w:color w:val="000000"/>
                <w:szCs w:val="22"/>
                <w:lang w:eastAsia="en-GB" w:bidi="ar-SA"/>
              </w:rPr>
              <w:t>779</w:t>
            </w:r>
          </w:p>
        </w:tc>
        <w:tc>
          <w:tcPr>
            <w:tcW w:w="1018" w:type="pct"/>
            <w:vAlign w:val="center"/>
          </w:tcPr>
          <w:p w14:paraId="3C80C913" w14:textId="77777777" w:rsidR="00785714" w:rsidRPr="007B0B34" w:rsidRDefault="00785714" w:rsidP="00811A8E">
            <w:pPr>
              <w:keepNext/>
              <w:keepLines/>
              <w:widowControl/>
              <w:tabs>
                <w:tab w:val="decimal" w:pos="1100"/>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479</w:t>
            </w:r>
          </w:p>
        </w:tc>
      </w:tr>
      <w:tr w:rsidR="00785714" w:rsidRPr="00814453" w14:paraId="69DE7013" w14:textId="77777777" w:rsidTr="00811A8E">
        <w:tc>
          <w:tcPr>
            <w:cnfStyle w:val="001000000000" w:firstRow="0" w:lastRow="0" w:firstColumn="1" w:lastColumn="0" w:oddVBand="0" w:evenVBand="0" w:oddHBand="0" w:evenHBand="0" w:firstRowFirstColumn="0" w:firstRowLastColumn="0" w:lastRowFirstColumn="0" w:lastRowLastColumn="0"/>
            <w:tcW w:w="887" w:type="pct"/>
            <w:vAlign w:val="center"/>
          </w:tcPr>
          <w:p w14:paraId="4F5EB61E" w14:textId="77777777" w:rsidR="00785714" w:rsidRPr="00A77D96" w:rsidRDefault="00785714" w:rsidP="00811A8E">
            <w:pPr>
              <w:keepNext/>
              <w:keepLines/>
              <w:widowControl/>
              <w:spacing w:before="60" w:after="60"/>
              <w:rPr>
                <w:rFonts w:cs="Arial"/>
                <w:b w:val="0"/>
                <w:color w:val="000000"/>
                <w:szCs w:val="22"/>
                <w:lang w:eastAsia="en-GB" w:bidi="ar-SA"/>
              </w:rPr>
            </w:pPr>
          </w:p>
        </w:tc>
        <w:tc>
          <w:tcPr>
            <w:tcW w:w="887" w:type="pct"/>
            <w:vAlign w:val="center"/>
          </w:tcPr>
          <w:p w14:paraId="7F7D8EF0" w14:textId="77777777" w:rsidR="00785714" w:rsidRPr="00CF3694" w:rsidRDefault="00785714" w:rsidP="00811A8E">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p>
        </w:tc>
        <w:tc>
          <w:tcPr>
            <w:tcW w:w="1190" w:type="pct"/>
            <w:vAlign w:val="center"/>
            <w:hideMark/>
          </w:tcPr>
          <w:p w14:paraId="0EE17890" w14:textId="46AA4AA6" w:rsidR="00785714" w:rsidRPr="00CF3694" w:rsidRDefault="00785714" w:rsidP="004D1902">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CF3694">
              <w:rPr>
                <w:rFonts w:cs="Arial"/>
                <w:color w:val="000000"/>
                <w:szCs w:val="22"/>
                <w:lang w:eastAsia="en-GB" w:bidi="ar-SA"/>
              </w:rPr>
              <w:t xml:space="preserve">7 </w:t>
            </w:r>
            <w:r w:rsidR="004D1902">
              <w:rPr>
                <w:rFonts w:cs="Arial"/>
                <w:color w:val="000000"/>
                <w:szCs w:val="22"/>
                <w:lang w:eastAsia="en-GB" w:bidi="ar-SA"/>
              </w:rPr>
              <w:t>-</w:t>
            </w:r>
            <w:r w:rsidRPr="00CF3694">
              <w:rPr>
                <w:rFonts w:cs="Arial"/>
                <w:color w:val="000000"/>
                <w:szCs w:val="22"/>
                <w:lang w:eastAsia="en-GB" w:bidi="ar-SA"/>
              </w:rPr>
              <w:t xml:space="preserve"> 1</w:t>
            </w:r>
            <w:r>
              <w:rPr>
                <w:rFonts w:cs="Arial"/>
                <w:color w:val="000000"/>
                <w:szCs w:val="22"/>
                <w:lang w:eastAsia="en-GB" w:bidi="ar-SA"/>
              </w:rPr>
              <w:t>7</w:t>
            </w:r>
            <w:r w:rsidRPr="00CF3694">
              <w:rPr>
                <w:rFonts w:cs="Arial"/>
                <w:color w:val="000000"/>
                <w:szCs w:val="22"/>
                <w:lang w:eastAsia="en-GB" w:bidi="ar-SA"/>
              </w:rPr>
              <w:t xml:space="preserve"> years</w:t>
            </w:r>
          </w:p>
        </w:tc>
        <w:tc>
          <w:tcPr>
            <w:tcW w:w="1018" w:type="pct"/>
            <w:noWrap/>
            <w:vAlign w:val="center"/>
          </w:tcPr>
          <w:p w14:paraId="7ADAEB06" w14:textId="77777777" w:rsidR="00785714" w:rsidRPr="0097325E" w:rsidRDefault="00785714" w:rsidP="00811A8E">
            <w:pPr>
              <w:keepNext/>
              <w:keepLines/>
              <w:widowControl/>
              <w:tabs>
                <w:tab w:val="decimal" w:pos="1182"/>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97325E">
              <w:rPr>
                <w:rFonts w:cs="Arial"/>
                <w:color w:val="000000"/>
                <w:szCs w:val="22"/>
                <w:lang w:eastAsia="en-GB" w:bidi="ar-SA"/>
              </w:rPr>
              <w:t>1,753</w:t>
            </w:r>
          </w:p>
        </w:tc>
        <w:tc>
          <w:tcPr>
            <w:tcW w:w="1018" w:type="pct"/>
            <w:vAlign w:val="center"/>
          </w:tcPr>
          <w:p w14:paraId="3B7746A8" w14:textId="77777777" w:rsidR="00785714" w:rsidRPr="007B0B34" w:rsidRDefault="00785714" w:rsidP="00811A8E">
            <w:pPr>
              <w:keepNext/>
              <w:keepLines/>
              <w:widowControl/>
              <w:tabs>
                <w:tab w:val="decimal" w:pos="1100"/>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1,127</w:t>
            </w:r>
          </w:p>
        </w:tc>
      </w:tr>
      <w:tr w:rsidR="00785714" w:rsidRPr="00814453" w14:paraId="682C9823"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vAlign w:val="center"/>
          </w:tcPr>
          <w:p w14:paraId="157E68F7" w14:textId="77777777" w:rsidR="00785714" w:rsidRPr="00A77D96" w:rsidRDefault="00785714" w:rsidP="00811A8E">
            <w:pPr>
              <w:keepNext/>
              <w:keepLines/>
              <w:widowControl/>
              <w:spacing w:before="60" w:after="60"/>
              <w:rPr>
                <w:rFonts w:cs="Arial"/>
                <w:b w:val="0"/>
                <w:color w:val="000000"/>
                <w:szCs w:val="22"/>
                <w:lang w:eastAsia="en-GB" w:bidi="ar-SA"/>
              </w:rPr>
            </w:pPr>
          </w:p>
        </w:tc>
        <w:tc>
          <w:tcPr>
            <w:tcW w:w="887" w:type="pct"/>
            <w:vAlign w:val="center"/>
          </w:tcPr>
          <w:p w14:paraId="2D8D79F6" w14:textId="77777777" w:rsidR="00785714" w:rsidRPr="00CF3694"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p>
        </w:tc>
        <w:tc>
          <w:tcPr>
            <w:tcW w:w="1190" w:type="pct"/>
            <w:vAlign w:val="center"/>
            <w:hideMark/>
          </w:tcPr>
          <w:p w14:paraId="278CAEFB" w14:textId="1AE20A41" w:rsidR="00785714" w:rsidRPr="00CF3694" w:rsidRDefault="00785714" w:rsidP="004D1902">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CF3694">
              <w:rPr>
                <w:rFonts w:cs="Arial"/>
                <w:color w:val="000000"/>
                <w:szCs w:val="22"/>
                <w:lang w:eastAsia="en-GB" w:bidi="ar-SA"/>
              </w:rPr>
              <w:t>1</w:t>
            </w:r>
            <w:r>
              <w:rPr>
                <w:rFonts w:cs="Arial"/>
                <w:color w:val="000000"/>
                <w:szCs w:val="22"/>
                <w:lang w:eastAsia="en-GB" w:bidi="ar-SA"/>
              </w:rPr>
              <w:t>8</w:t>
            </w:r>
            <w:r w:rsidRPr="00CF3694">
              <w:rPr>
                <w:rFonts w:cs="Arial"/>
                <w:color w:val="000000"/>
                <w:szCs w:val="22"/>
                <w:lang w:eastAsia="en-GB" w:bidi="ar-SA"/>
              </w:rPr>
              <w:t xml:space="preserve"> </w:t>
            </w:r>
            <w:r w:rsidR="004D1902">
              <w:rPr>
                <w:rFonts w:cs="Arial"/>
                <w:color w:val="000000"/>
                <w:szCs w:val="22"/>
                <w:lang w:eastAsia="en-GB" w:bidi="ar-SA"/>
              </w:rPr>
              <w:t>-</w:t>
            </w:r>
            <w:r>
              <w:rPr>
                <w:rFonts w:cs="Arial"/>
                <w:color w:val="000000"/>
                <w:szCs w:val="22"/>
                <w:lang w:eastAsia="en-GB" w:bidi="ar-SA"/>
              </w:rPr>
              <w:t xml:space="preserve"> 70 years</w:t>
            </w:r>
          </w:p>
        </w:tc>
        <w:tc>
          <w:tcPr>
            <w:tcW w:w="1018" w:type="pct"/>
            <w:noWrap/>
            <w:vAlign w:val="center"/>
          </w:tcPr>
          <w:p w14:paraId="5B219A24" w14:textId="77777777" w:rsidR="00785714" w:rsidRPr="0097325E" w:rsidRDefault="00785714" w:rsidP="00811A8E">
            <w:pPr>
              <w:keepNext/>
              <w:keepLines/>
              <w:widowControl/>
              <w:tabs>
                <w:tab w:val="decimal" w:pos="1182"/>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97325E">
              <w:rPr>
                <w:rFonts w:cs="Arial"/>
                <w:color w:val="000000"/>
                <w:szCs w:val="22"/>
                <w:lang w:eastAsia="en-GB" w:bidi="ar-SA"/>
              </w:rPr>
              <w:t>8,</w:t>
            </w:r>
            <w:r>
              <w:rPr>
                <w:rFonts w:cs="Arial"/>
                <w:color w:val="000000"/>
                <w:szCs w:val="22"/>
                <w:lang w:eastAsia="en-GB" w:bidi="ar-SA"/>
              </w:rPr>
              <w:t>599</w:t>
            </w:r>
          </w:p>
        </w:tc>
        <w:tc>
          <w:tcPr>
            <w:tcW w:w="1018" w:type="pct"/>
            <w:vAlign w:val="center"/>
          </w:tcPr>
          <w:p w14:paraId="33233171" w14:textId="77777777" w:rsidR="00785714" w:rsidRPr="007B0B34" w:rsidRDefault="00785714" w:rsidP="00811A8E">
            <w:pPr>
              <w:keepNext/>
              <w:keepLines/>
              <w:widowControl/>
              <w:tabs>
                <w:tab w:val="decimal" w:pos="1100"/>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5,477</w:t>
            </w:r>
          </w:p>
        </w:tc>
      </w:tr>
      <w:tr w:rsidR="00785714" w:rsidRPr="00814453" w14:paraId="0DD97026" w14:textId="77777777" w:rsidTr="00811A8E">
        <w:tc>
          <w:tcPr>
            <w:cnfStyle w:val="001000000000" w:firstRow="0" w:lastRow="0" w:firstColumn="1" w:lastColumn="0" w:oddVBand="0" w:evenVBand="0" w:oddHBand="0" w:evenHBand="0" w:firstRowFirstColumn="0" w:firstRowLastColumn="0" w:lastRowFirstColumn="0" w:lastRowLastColumn="0"/>
            <w:tcW w:w="887" w:type="pct"/>
            <w:vAlign w:val="center"/>
          </w:tcPr>
          <w:p w14:paraId="11D559A0" w14:textId="77777777" w:rsidR="00785714" w:rsidRPr="00A77D96" w:rsidRDefault="00785714" w:rsidP="00811A8E">
            <w:pPr>
              <w:keepNext/>
              <w:keepLines/>
              <w:widowControl/>
              <w:spacing w:before="60" w:after="60"/>
              <w:rPr>
                <w:rFonts w:cs="Arial"/>
                <w:b w:val="0"/>
                <w:color w:val="000000"/>
                <w:szCs w:val="22"/>
                <w:lang w:eastAsia="en-GB" w:bidi="ar-SA"/>
              </w:rPr>
            </w:pPr>
          </w:p>
        </w:tc>
        <w:tc>
          <w:tcPr>
            <w:tcW w:w="887" w:type="pct"/>
            <w:vAlign w:val="center"/>
          </w:tcPr>
          <w:p w14:paraId="40DBF99C" w14:textId="77777777" w:rsidR="00785714" w:rsidRPr="00CF3694" w:rsidRDefault="00785714" w:rsidP="00811A8E">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p>
        </w:tc>
        <w:tc>
          <w:tcPr>
            <w:tcW w:w="1190" w:type="pct"/>
            <w:vAlign w:val="center"/>
          </w:tcPr>
          <w:p w14:paraId="5203AF23" w14:textId="77777777" w:rsidR="00785714" w:rsidRPr="00CF3694" w:rsidRDefault="00785714" w:rsidP="00811A8E">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Pr>
                <w:rFonts w:cs="Arial"/>
                <w:color w:val="000000"/>
                <w:szCs w:val="22"/>
                <w:lang w:eastAsia="en-GB" w:bidi="ar-SA"/>
              </w:rPr>
              <w:t>71 years and above</w:t>
            </w:r>
          </w:p>
        </w:tc>
        <w:tc>
          <w:tcPr>
            <w:tcW w:w="1018" w:type="pct"/>
            <w:noWrap/>
            <w:vAlign w:val="center"/>
          </w:tcPr>
          <w:p w14:paraId="7262A6E8" w14:textId="77777777" w:rsidR="00785714" w:rsidRPr="0097325E" w:rsidRDefault="00785714" w:rsidP="00811A8E">
            <w:pPr>
              <w:keepNext/>
              <w:keepLines/>
              <w:widowControl/>
              <w:tabs>
                <w:tab w:val="decimal" w:pos="1182"/>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97325E">
              <w:rPr>
                <w:rFonts w:cs="Arial"/>
                <w:color w:val="000000"/>
                <w:szCs w:val="22"/>
                <w:lang w:eastAsia="en-GB" w:bidi="ar-SA"/>
              </w:rPr>
              <w:t>1,023</w:t>
            </w:r>
          </w:p>
        </w:tc>
        <w:tc>
          <w:tcPr>
            <w:tcW w:w="1018" w:type="pct"/>
            <w:vAlign w:val="center"/>
          </w:tcPr>
          <w:p w14:paraId="4DAA0047" w14:textId="77777777" w:rsidR="00785714" w:rsidRPr="007B0B34" w:rsidRDefault="00785714" w:rsidP="00811A8E">
            <w:pPr>
              <w:keepNext/>
              <w:keepLines/>
              <w:widowControl/>
              <w:tabs>
                <w:tab w:val="decimal" w:pos="1100"/>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652</w:t>
            </w:r>
          </w:p>
        </w:tc>
      </w:tr>
      <w:tr w:rsidR="00785714" w:rsidRPr="00814453" w14:paraId="0EB6D16B"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vAlign w:val="center"/>
          </w:tcPr>
          <w:p w14:paraId="69B018CD" w14:textId="77777777" w:rsidR="00785714" w:rsidRPr="00A77D96" w:rsidRDefault="00785714" w:rsidP="00811A8E">
            <w:pPr>
              <w:keepNext/>
              <w:keepLines/>
              <w:widowControl/>
              <w:spacing w:before="60" w:after="60"/>
              <w:rPr>
                <w:rFonts w:cs="Arial"/>
                <w:b w:val="0"/>
                <w:color w:val="000000"/>
                <w:szCs w:val="22"/>
                <w:lang w:eastAsia="en-GB" w:bidi="ar-SA"/>
              </w:rPr>
            </w:pPr>
          </w:p>
        </w:tc>
        <w:tc>
          <w:tcPr>
            <w:tcW w:w="887" w:type="pct"/>
            <w:vAlign w:val="center"/>
          </w:tcPr>
          <w:p w14:paraId="23B456C0" w14:textId="77777777" w:rsidR="00785714" w:rsidRPr="00CF3694"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p>
        </w:tc>
        <w:tc>
          <w:tcPr>
            <w:tcW w:w="1190" w:type="pct"/>
            <w:vAlign w:val="center"/>
          </w:tcPr>
          <w:p w14:paraId="5870DB44" w14:textId="77777777" w:rsidR="00785714" w:rsidRPr="00CF3694"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CF3694">
              <w:rPr>
                <w:rFonts w:cs="Arial"/>
                <w:color w:val="000000"/>
                <w:szCs w:val="22"/>
                <w:lang w:eastAsia="en-GB" w:bidi="ar-SA"/>
              </w:rPr>
              <w:t>2 years and above</w:t>
            </w:r>
          </w:p>
        </w:tc>
        <w:tc>
          <w:tcPr>
            <w:tcW w:w="1018" w:type="pct"/>
            <w:noWrap/>
            <w:vAlign w:val="center"/>
          </w:tcPr>
          <w:p w14:paraId="7C989F88" w14:textId="77777777" w:rsidR="00785714" w:rsidRPr="0097325E" w:rsidRDefault="00785714" w:rsidP="00811A8E">
            <w:pPr>
              <w:keepNext/>
              <w:keepLines/>
              <w:widowControl/>
              <w:tabs>
                <w:tab w:val="decimal" w:pos="1182"/>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97325E">
              <w:rPr>
                <w:rFonts w:cs="Arial"/>
                <w:color w:val="000000"/>
                <w:szCs w:val="22"/>
                <w:lang w:eastAsia="en-GB" w:bidi="ar-SA"/>
              </w:rPr>
              <w:t>12,153</w:t>
            </w:r>
          </w:p>
        </w:tc>
        <w:tc>
          <w:tcPr>
            <w:tcW w:w="1018" w:type="pct"/>
            <w:vAlign w:val="center"/>
          </w:tcPr>
          <w:p w14:paraId="062D30D3" w14:textId="77777777" w:rsidR="00785714" w:rsidRPr="007B0B34" w:rsidRDefault="00785714" w:rsidP="00811A8E">
            <w:pPr>
              <w:keepNext/>
              <w:keepLines/>
              <w:widowControl/>
              <w:tabs>
                <w:tab w:val="decimal" w:pos="1100"/>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7,735</w:t>
            </w:r>
          </w:p>
        </w:tc>
      </w:tr>
      <w:tr w:rsidR="00785714" w:rsidRPr="00814453" w14:paraId="5514ECFA" w14:textId="77777777" w:rsidTr="00811A8E">
        <w:tc>
          <w:tcPr>
            <w:cnfStyle w:val="001000000000" w:firstRow="0" w:lastRow="0" w:firstColumn="1" w:lastColumn="0" w:oddVBand="0" w:evenVBand="0" w:oddHBand="0" w:evenHBand="0" w:firstRowFirstColumn="0" w:firstRowLastColumn="0" w:lastRowFirstColumn="0" w:lastRowLastColumn="0"/>
            <w:tcW w:w="887" w:type="pct"/>
            <w:vAlign w:val="center"/>
          </w:tcPr>
          <w:p w14:paraId="168CA348" w14:textId="77777777" w:rsidR="00785714" w:rsidRPr="00A77D96" w:rsidRDefault="00785714" w:rsidP="00811A8E">
            <w:pPr>
              <w:keepNext/>
              <w:keepLines/>
              <w:widowControl/>
              <w:spacing w:before="60" w:after="60"/>
              <w:rPr>
                <w:rFonts w:cs="Arial"/>
                <w:b w:val="0"/>
                <w:color w:val="000000"/>
                <w:szCs w:val="22"/>
                <w:lang w:eastAsia="en-GB" w:bidi="ar-SA"/>
              </w:rPr>
            </w:pPr>
            <w:r w:rsidRPr="00A77D96">
              <w:rPr>
                <w:rFonts w:cs="Arial"/>
                <w:b w:val="0"/>
                <w:color w:val="000000"/>
                <w:szCs w:val="22"/>
                <w:lang w:eastAsia="en-GB" w:bidi="ar-SA"/>
              </w:rPr>
              <w:t>New Zealand</w:t>
            </w:r>
          </w:p>
        </w:tc>
        <w:tc>
          <w:tcPr>
            <w:tcW w:w="887" w:type="pct"/>
            <w:vAlign w:val="center"/>
            <w:hideMark/>
          </w:tcPr>
          <w:p w14:paraId="2C60B77B" w14:textId="77777777" w:rsidR="00785714" w:rsidRPr="00814453" w:rsidRDefault="00785714" w:rsidP="00811A8E">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814453">
              <w:rPr>
                <w:rFonts w:cs="Arial"/>
                <w:color w:val="000000"/>
                <w:szCs w:val="22"/>
                <w:lang w:eastAsia="en-GB" w:bidi="ar-SA"/>
              </w:rPr>
              <w:t>2002 NZNNS</w:t>
            </w:r>
          </w:p>
        </w:tc>
        <w:tc>
          <w:tcPr>
            <w:tcW w:w="1190" w:type="pct"/>
            <w:vAlign w:val="center"/>
            <w:hideMark/>
          </w:tcPr>
          <w:p w14:paraId="156BB79D" w14:textId="799910EB" w:rsidR="00785714" w:rsidRPr="00814453" w:rsidRDefault="00785714" w:rsidP="004D1902">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814453">
              <w:rPr>
                <w:rFonts w:cs="Arial"/>
                <w:color w:val="000000"/>
                <w:szCs w:val="22"/>
                <w:lang w:eastAsia="en-GB" w:bidi="ar-SA"/>
              </w:rPr>
              <w:t>5</w:t>
            </w:r>
            <w:r>
              <w:rPr>
                <w:rFonts w:cs="Arial"/>
                <w:color w:val="000000"/>
                <w:szCs w:val="22"/>
                <w:lang w:eastAsia="en-GB" w:bidi="ar-SA"/>
              </w:rPr>
              <w:t xml:space="preserve"> </w:t>
            </w:r>
            <w:r w:rsidR="004D1902">
              <w:rPr>
                <w:rFonts w:cs="Arial"/>
                <w:color w:val="000000"/>
                <w:szCs w:val="22"/>
                <w:lang w:eastAsia="en-GB" w:bidi="ar-SA"/>
              </w:rPr>
              <w:t>-</w:t>
            </w:r>
            <w:r>
              <w:rPr>
                <w:rFonts w:cs="Arial"/>
                <w:color w:val="000000"/>
                <w:szCs w:val="22"/>
                <w:lang w:eastAsia="en-GB" w:bidi="ar-SA"/>
              </w:rPr>
              <w:t xml:space="preserve"> </w:t>
            </w:r>
            <w:r w:rsidRPr="00814453">
              <w:rPr>
                <w:rFonts w:cs="Arial"/>
                <w:color w:val="000000"/>
                <w:szCs w:val="22"/>
                <w:lang w:eastAsia="en-GB" w:bidi="ar-SA"/>
              </w:rPr>
              <w:t>14</w:t>
            </w:r>
            <w:r>
              <w:rPr>
                <w:rFonts w:cs="Arial"/>
                <w:color w:val="000000"/>
                <w:szCs w:val="22"/>
                <w:lang w:eastAsia="en-GB" w:bidi="ar-SA"/>
              </w:rPr>
              <w:t xml:space="preserve"> </w:t>
            </w:r>
            <w:r w:rsidRPr="00814453">
              <w:rPr>
                <w:rFonts w:cs="Arial"/>
                <w:color w:val="000000"/>
                <w:szCs w:val="22"/>
                <w:lang w:eastAsia="en-GB" w:bidi="ar-SA"/>
              </w:rPr>
              <w:t>years</w:t>
            </w:r>
          </w:p>
        </w:tc>
        <w:tc>
          <w:tcPr>
            <w:tcW w:w="1018" w:type="pct"/>
            <w:noWrap/>
            <w:vAlign w:val="center"/>
            <w:hideMark/>
          </w:tcPr>
          <w:p w14:paraId="606FB1EA" w14:textId="77777777" w:rsidR="00785714" w:rsidRPr="007B0B34" w:rsidRDefault="00785714" w:rsidP="00811A8E">
            <w:pPr>
              <w:keepNext/>
              <w:keepLines/>
              <w:widowControl/>
              <w:tabs>
                <w:tab w:val="decimal" w:pos="1182"/>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3,275</w:t>
            </w:r>
          </w:p>
        </w:tc>
        <w:tc>
          <w:tcPr>
            <w:tcW w:w="1018" w:type="pct"/>
            <w:vAlign w:val="center"/>
          </w:tcPr>
          <w:p w14:paraId="38093A78" w14:textId="77777777" w:rsidR="00785714" w:rsidRPr="007B0B34" w:rsidRDefault="00785714" w:rsidP="00811A8E">
            <w:pPr>
              <w:keepNext/>
              <w:keepLines/>
              <w:widowControl/>
              <w:tabs>
                <w:tab w:val="decimal" w:pos="1100"/>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n/a</w:t>
            </w:r>
          </w:p>
        </w:tc>
      </w:tr>
      <w:tr w:rsidR="00785714" w:rsidRPr="00814453" w14:paraId="3B925D84"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vAlign w:val="center"/>
          </w:tcPr>
          <w:p w14:paraId="1ED4156E" w14:textId="77777777" w:rsidR="00785714" w:rsidRPr="00A77D96" w:rsidRDefault="00785714" w:rsidP="00811A8E">
            <w:pPr>
              <w:keepNext/>
              <w:keepLines/>
              <w:widowControl/>
              <w:spacing w:before="60" w:after="60"/>
              <w:rPr>
                <w:rFonts w:cs="Arial"/>
                <w:b w:val="0"/>
                <w:color w:val="000000"/>
                <w:szCs w:val="22"/>
                <w:lang w:eastAsia="en-GB" w:bidi="ar-SA"/>
              </w:rPr>
            </w:pPr>
          </w:p>
        </w:tc>
        <w:tc>
          <w:tcPr>
            <w:tcW w:w="887" w:type="pct"/>
            <w:vAlign w:val="center"/>
            <w:hideMark/>
          </w:tcPr>
          <w:p w14:paraId="4946D1EF" w14:textId="77777777" w:rsidR="00785714" w:rsidRPr="00814453"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814453">
              <w:rPr>
                <w:rFonts w:cs="Arial"/>
                <w:color w:val="000000"/>
                <w:szCs w:val="22"/>
                <w:lang w:eastAsia="en-GB" w:bidi="ar-SA"/>
              </w:rPr>
              <w:t>2008 NZANS</w:t>
            </w:r>
          </w:p>
        </w:tc>
        <w:tc>
          <w:tcPr>
            <w:tcW w:w="1190" w:type="pct"/>
            <w:vAlign w:val="center"/>
            <w:hideMark/>
          </w:tcPr>
          <w:p w14:paraId="3CF0A7C6" w14:textId="77777777" w:rsidR="00785714" w:rsidRPr="00814453"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Pr>
                <w:rFonts w:cs="Arial"/>
                <w:color w:val="000000"/>
                <w:szCs w:val="22"/>
                <w:lang w:eastAsia="en-GB" w:bidi="ar-SA"/>
              </w:rPr>
              <w:t>15 years and</w:t>
            </w:r>
            <w:r w:rsidRPr="00814453">
              <w:rPr>
                <w:rFonts w:cs="Arial"/>
                <w:color w:val="000000"/>
                <w:szCs w:val="22"/>
                <w:lang w:eastAsia="en-GB" w:bidi="ar-SA"/>
              </w:rPr>
              <w:t xml:space="preserve"> above</w:t>
            </w:r>
          </w:p>
        </w:tc>
        <w:tc>
          <w:tcPr>
            <w:tcW w:w="1018" w:type="pct"/>
            <w:noWrap/>
            <w:vAlign w:val="center"/>
            <w:hideMark/>
          </w:tcPr>
          <w:p w14:paraId="77612A9F" w14:textId="77777777" w:rsidR="00785714" w:rsidRPr="007B0B34" w:rsidRDefault="00785714" w:rsidP="00811A8E">
            <w:pPr>
              <w:keepNext/>
              <w:keepLines/>
              <w:widowControl/>
              <w:tabs>
                <w:tab w:val="decimal" w:pos="1182"/>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4,721</w:t>
            </w:r>
          </w:p>
        </w:tc>
        <w:tc>
          <w:tcPr>
            <w:tcW w:w="1018" w:type="pct"/>
            <w:vAlign w:val="center"/>
          </w:tcPr>
          <w:p w14:paraId="65AD11D7" w14:textId="77777777" w:rsidR="00785714" w:rsidRPr="007B0B34" w:rsidRDefault="00785714" w:rsidP="00811A8E">
            <w:pPr>
              <w:keepNext/>
              <w:keepLines/>
              <w:widowControl/>
              <w:tabs>
                <w:tab w:val="decimal" w:pos="1100"/>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n/a</w:t>
            </w:r>
          </w:p>
        </w:tc>
      </w:tr>
      <w:tr w:rsidR="00785714" w:rsidRPr="00814453" w14:paraId="08585D1A" w14:textId="77777777" w:rsidTr="00811A8E">
        <w:tc>
          <w:tcPr>
            <w:cnfStyle w:val="001000000000" w:firstRow="0" w:lastRow="0" w:firstColumn="1" w:lastColumn="0" w:oddVBand="0" w:evenVBand="0" w:oddHBand="0" w:evenHBand="0" w:firstRowFirstColumn="0" w:firstRowLastColumn="0" w:lastRowFirstColumn="0" w:lastRowLastColumn="0"/>
            <w:tcW w:w="887" w:type="pct"/>
            <w:vAlign w:val="center"/>
          </w:tcPr>
          <w:p w14:paraId="791A66D1" w14:textId="77777777" w:rsidR="00785714" w:rsidRPr="00814453" w:rsidRDefault="00785714" w:rsidP="00811A8E">
            <w:pPr>
              <w:keepNext/>
              <w:keepLines/>
              <w:widowControl/>
              <w:spacing w:before="60" w:after="60"/>
              <w:rPr>
                <w:rFonts w:cs="Arial"/>
                <w:color w:val="000000"/>
                <w:szCs w:val="22"/>
                <w:lang w:eastAsia="en-GB" w:bidi="ar-SA"/>
              </w:rPr>
            </w:pPr>
          </w:p>
        </w:tc>
        <w:tc>
          <w:tcPr>
            <w:tcW w:w="887" w:type="pct"/>
            <w:vAlign w:val="center"/>
          </w:tcPr>
          <w:p w14:paraId="04E76647" w14:textId="77777777" w:rsidR="00785714" w:rsidRPr="00814453" w:rsidRDefault="00785714" w:rsidP="00811A8E">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p>
        </w:tc>
        <w:tc>
          <w:tcPr>
            <w:tcW w:w="1190" w:type="pct"/>
            <w:vAlign w:val="center"/>
          </w:tcPr>
          <w:p w14:paraId="3C4B5922" w14:textId="0D20DB5D" w:rsidR="00785714" w:rsidRDefault="00785714" w:rsidP="004D1902">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Pr>
                <w:rFonts w:cs="Arial"/>
                <w:color w:val="000000"/>
                <w:szCs w:val="22"/>
                <w:lang w:eastAsia="en-GB" w:bidi="ar-SA"/>
              </w:rPr>
              <w:t xml:space="preserve">18 </w:t>
            </w:r>
            <w:r w:rsidR="004D1902">
              <w:rPr>
                <w:rFonts w:cs="Arial"/>
                <w:color w:val="000000"/>
                <w:szCs w:val="22"/>
                <w:lang w:eastAsia="en-GB" w:bidi="ar-SA"/>
              </w:rPr>
              <w:t>-</w:t>
            </w:r>
            <w:r>
              <w:rPr>
                <w:rFonts w:cs="Arial"/>
                <w:color w:val="000000"/>
                <w:szCs w:val="22"/>
                <w:lang w:eastAsia="en-GB" w:bidi="ar-SA"/>
              </w:rPr>
              <w:t xml:space="preserve"> 70 years</w:t>
            </w:r>
          </w:p>
        </w:tc>
        <w:tc>
          <w:tcPr>
            <w:tcW w:w="1018" w:type="pct"/>
            <w:noWrap/>
            <w:vAlign w:val="center"/>
          </w:tcPr>
          <w:p w14:paraId="31A72EB1" w14:textId="77777777" w:rsidR="00785714" w:rsidRPr="007B0B34" w:rsidRDefault="00785714" w:rsidP="00811A8E">
            <w:pPr>
              <w:keepNext/>
              <w:keepLines/>
              <w:widowControl/>
              <w:tabs>
                <w:tab w:val="decimal" w:pos="1182"/>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3,</w:t>
            </w:r>
            <w:r>
              <w:rPr>
                <w:rFonts w:cs="Arial"/>
                <w:color w:val="000000"/>
                <w:szCs w:val="22"/>
                <w:lang w:eastAsia="en-GB" w:bidi="ar-SA"/>
              </w:rPr>
              <w:t>992</w:t>
            </w:r>
          </w:p>
        </w:tc>
        <w:tc>
          <w:tcPr>
            <w:tcW w:w="1018" w:type="pct"/>
            <w:vAlign w:val="center"/>
          </w:tcPr>
          <w:p w14:paraId="75B6FEC2" w14:textId="77777777" w:rsidR="00785714" w:rsidRPr="007B0B34" w:rsidRDefault="00785714" w:rsidP="00811A8E">
            <w:pPr>
              <w:keepNext/>
              <w:keepLines/>
              <w:widowControl/>
              <w:tabs>
                <w:tab w:val="decimal" w:pos="1100"/>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n/a</w:t>
            </w:r>
          </w:p>
        </w:tc>
      </w:tr>
      <w:tr w:rsidR="00785714" w:rsidRPr="00814453" w14:paraId="6D7BE029"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vAlign w:val="center"/>
          </w:tcPr>
          <w:p w14:paraId="40F87567" w14:textId="77777777" w:rsidR="00785714" w:rsidRDefault="00785714" w:rsidP="00811A8E">
            <w:pPr>
              <w:keepNext/>
              <w:keepLines/>
              <w:widowControl/>
              <w:spacing w:before="60" w:after="60"/>
              <w:rPr>
                <w:rFonts w:cs="Arial"/>
                <w:color w:val="000000"/>
                <w:szCs w:val="22"/>
                <w:lang w:eastAsia="en-GB" w:bidi="ar-SA"/>
              </w:rPr>
            </w:pPr>
          </w:p>
        </w:tc>
        <w:tc>
          <w:tcPr>
            <w:tcW w:w="887" w:type="pct"/>
            <w:vAlign w:val="center"/>
          </w:tcPr>
          <w:p w14:paraId="16BCCAC9" w14:textId="77777777" w:rsidR="00785714" w:rsidRPr="00814453"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p>
        </w:tc>
        <w:tc>
          <w:tcPr>
            <w:tcW w:w="1190" w:type="pct"/>
            <w:vAlign w:val="center"/>
          </w:tcPr>
          <w:p w14:paraId="63BC36BE" w14:textId="77777777" w:rsidR="00785714"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Pr>
                <w:rFonts w:cs="Arial"/>
                <w:color w:val="000000"/>
                <w:szCs w:val="22"/>
                <w:lang w:eastAsia="en-GB" w:bidi="ar-SA"/>
              </w:rPr>
              <w:t>71 years and above</w:t>
            </w:r>
          </w:p>
        </w:tc>
        <w:tc>
          <w:tcPr>
            <w:tcW w:w="1018" w:type="pct"/>
            <w:noWrap/>
            <w:vAlign w:val="center"/>
          </w:tcPr>
          <w:p w14:paraId="468CF9EE" w14:textId="77777777" w:rsidR="00785714" w:rsidRPr="007B0B34" w:rsidRDefault="00785714" w:rsidP="00811A8E">
            <w:pPr>
              <w:keepNext/>
              <w:keepLines/>
              <w:widowControl/>
              <w:tabs>
                <w:tab w:val="decimal" w:pos="1182"/>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463</w:t>
            </w:r>
          </w:p>
        </w:tc>
        <w:tc>
          <w:tcPr>
            <w:tcW w:w="1018" w:type="pct"/>
            <w:vAlign w:val="center"/>
          </w:tcPr>
          <w:p w14:paraId="295CF04F" w14:textId="77777777" w:rsidR="00785714" w:rsidRPr="007B0B34" w:rsidRDefault="00785714" w:rsidP="00811A8E">
            <w:pPr>
              <w:keepNext/>
              <w:keepLines/>
              <w:widowControl/>
              <w:tabs>
                <w:tab w:val="decimal" w:pos="1100"/>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n/a</w:t>
            </w:r>
          </w:p>
        </w:tc>
      </w:tr>
    </w:tbl>
    <w:p w14:paraId="44538074" w14:textId="77777777" w:rsidR="00785714" w:rsidRPr="00482FD5" w:rsidRDefault="00785714" w:rsidP="00785714">
      <w:pPr>
        <w:pStyle w:val="Heading4"/>
      </w:pPr>
      <w:bookmarkStart w:id="32" w:name="_Toc415041925"/>
      <w:r w:rsidRPr="00482FD5">
        <w:t xml:space="preserve">Proposed food categories and concentrations of </w:t>
      </w:r>
      <w:r>
        <w:t>L-carnitine</w:t>
      </w:r>
      <w:bookmarkEnd w:id="32"/>
    </w:p>
    <w:p w14:paraId="5273A9D9" w14:textId="77777777" w:rsidR="00785714" w:rsidRDefault="00785714" w:rsidP="00785714">
      <w:pPr>
        <w:widowControl/>
        <w:autoSpaceDE w:val="0"/>
        <w:autoSpaceDN w:val="0"/>
        <w:adjustRightInd w:val="0"/>
        <w:rPr>
          <w:bCs/>
        </w:rPr>
      </w:pPr>
      <w:r w:rsidRPr="003945B7">
        <w:t xml:space="preserve">L-carnitine occurs naturally in foods and is currently permitted to be </w:t>
      </w:r>
      <w:r>
        <w:t>added to</w:t>
      </w:r>
      <w:r w:rsidRPr="003945B7">
        <w:t xml:space="preserve"> a) Formulated</w:t>
      </w:r>
      <w:r>
        <w:t xml:space="preserve"> Supplementary Sports Foods with a Maximum amount added per one-day quantity of 100 mg; and b) Infant Formula Products at a minimum of 0.21 mg/100 kJ and maximum of 0.8 mg/100 kJ. These current permissions are considered as a part of the</w:t>
      </w:r>
      <w:r>
        <w:rPr>
          <w:bCs/>
        </w:rPr>
        <w:t xml:space="preserve"> ‘</w:t>
      </w:r>
      <w:r>
        <w:rPr>
          <w:bCs/>
          <w:i/>
        </w:rPr>
        <w:t>Baseline</w:t>
      </w:r>
      <w:r>
        <w:rPr>
          <w:bCs/>
        </w:rPr>
        <w:t>’ scenario along with naturally occurring L-carnitine.</w:t>
      </w:r>
    </w:p>
    <w:p w14:paraId="3A47BD27" w14:textId="77777777" w:rsidR="00785714" w:rsidRDefault="00785714" w:rsidP="00785714">
      <w:pPr>
        <w:rPr>
          <w:bCs/>
        </w:rPr>
      </w:pPr>
    </w:p>
    <w:p w14:paraId="6D305A68" w14:textId="0602D27F" w:rsidR="00785714" w:rsidRDefault="00785714" w:rsidP="00785714">
      <w:r w:rsidRPr="00FE5121">
        <w:t xml:space="preserve">The </w:t>
      </w:r>
      <w:r w:rsidR="00E202CC">
        <w:t>application</w:t>
      </w:r>
      <w:r w:rsidRPr="00FE5121">
        <w:t xml:space="preserve"> requested</w:t>
      </w:r>
      <w:r>
        <w:t xml:space="preserve"> permissions for L-carnitine addition to products </w:t>
      </w:r>
      <w:r>
        <w:rPr>
          <w:rFonts w:eastAsiaTheme="minorHAnsi"/>
          <w:lang w:bidi="ar-SA"/>
        </w:rPr>
        <w:t>including flavoured milk, cultured dairy products (e.g. yoghurts), chocolate, sugar confectionary (including intensely sweetened chewing gum), cereals, muesli, cereal bars, foods intended for particular nutritional uses, a variety of non-alcoholic beverages and gels</w:t>
      </w:r>
      <w:r w:rsidRPr="00FE5121">
        <w:t>.</w:t>
      </w:r>
    </w:p>
    <w:p w14:paraId="73092E6E" w14:textId="77777777" w:rsidR="00785714" w:rsidRDefault="00785714" w:rsidP="00785714">
      <w:pPr>
        <w:widowControl/>
        <w:autoSpaceDE w:val="0"/>
        <w:autoSpaceDN w:val="0"/>
        <w:adjustRightInd w:val="0"/>
      </w:pPr>
    </w:p>
    <w:p w14:paraId="42472C78" w14:textId="77777777" w:rsidR="00785714" w:rsidRDefault="00785714" w:rsidP="00785714">
      <w:pPr>
        <w:widowControl/>
        <w:autoSpaceDE w:val="0"/>
        <w:autoSpaceDN w:val="0"/>
        <w:adjustRightInd w:val="0"/>
      </w:pPr>
      <w:r>
        <w:lastRenderedPageBreak/>
        <w:t>A dietary intake assessment was conducted for a number of scenarios:</w:t>
      </w:r>
    </w:p>
    <w:p w14:paraId="3F81D0D5" w14:textId="77777777" w:rsidR="00785714" w:rsidRDefault="00785714" w:rsidP="00785714">
      <w:pPr>
        <w:pStyle w:val="FSBullet1"/>
        <w:spacing w:before="60" w:after="60"/>
        <w:ind w:left="567" w:hanging="567"/>
      </w:pPr>
      <w:r>
        <w:rPr>
          <w:i/>
        </w:rPr>
        <w:t>‘Baseline’</w:t>
      </w:r>
      <w:r>
        <w:t>: includes naturally occurring L-carnitine and the current permissions for L-carnitine addition in formulated supplementary sports foods and infant formula products.</w:t>
      </w:r>
    </w:p>
    <w:p w14:paraId="72356207" w14:textId="77991386" w:rsidR="00785714" w:rsidRDefault="00785714" w:rsidP="00785714">
      <w:pPr>
        <w:pStyle w:val="FSBullet1"/>
        <w:spacing w:before="60" w:after="60"/>
        <w:ind w:left="567" w:hanging="567"/>
      </w:pPr>
      <w:r>
        <w:rPr>
          <w:i/>
        </w:rPr>
        <w:t>‘Sports food increase’ scenario</w:t>
      </w:r>
      <w:r>
        <w:t xml:space="preserve">: as per </w:t>
      </w:r>
      <w:r>
        <w:rPr>
          <w:i/>
        </w:rPr>
        <w:t>Baseline</w:t>
      </w:r>
      <w:r>
        <w:t xml:space="preserve"> plus the requested L-carnitine permission for sports foods from the </w:t>
      </w:r>
      <w:r w:rsidR="00E202CC">
        <w:t>application</w:t>
      </w:r>
      <w:r>
        <w:t>, at 100% market penetration into the category.</w:t>
      </w:r>
    </w:p>
    <w:p w14:paraId="04FEA0E8" w14:textId="030E6974" w:rsidR="00785714" w:rsidRDefault="00785714" w:rsidP="00785714">
      <w:pPr>
        <w:pStyle w:val="FSBullet1"/>
        <w:spacing w:before="60" w:after="60"/>
        <w:ind w:left="567" w:hanging="567"/>
      </w:pPr>
      <w:r>
        <w:rPr>
          <w:i/>
        </w:rPr>
        <w:t>‘Consumer behaviour’ scenario</w:t>
      </w:r>
      <w:r>
        <w:t xml:space="preserve">: as per </w:t>
      </w:r>
      <w:r>
        <w:rPr>
          <w:i/>
        </w:rPr>
        <w:t>Baseline</w:t>
      </w:r>
      <w:r>
        <w:t xml:space="preserve"> plus all permissions requested in the </w:t>
      </w:r>
      <w:r w:rsidR="00E202CC">
        <w:t>application</w:t>
      </w:r>
      <w:r>
        <w:t>, at 100% market penetration into each category. This scenario represents where a consumer, based on the foods they would normally eat, intentionally chooses the L-carnitine fortified version of each food in every product category where it is proposed that L-carnitine addition would be permitted.</w:t>
      </w:r>
    </w:p>
    <w:p w14:paraId="376F8939" w14:textId="77777777" w:rsidR="00785714" w:rsidRDefault="00785714" w:rsidP="00785714">
      <w:pPr>
        <w:pStyle w:val="FSBullet1"/>
        <w:spacing w:before="60" w:after="60"/>
        <w:ind w:left="567" w:hanging="567"/>
      </w:pPr>
      <w:r>
        <w:rPr>
          <w:i/>
        </w:rPr>
        <w:t>‘Baseline (excluding sports and weight management foods)’</w:t>
      </w:r>
      <w:r>
        <w:t>: includes naturally occurring L-carnitine and the current permissions for L-carnitine addition in infant formula products. This scenario excludes the contribution of sports food / beverages, weight management food / beverages and meal replacement food / beverages. This scenario is only used for the target group of sports food / beverage consumers.</w:t>
      </w:r>
    </w:p>
    <w:p w14:paraId="4CF0183D" w14:textId="77777777" w:rsidR="00785714" w:rsidRPr="002A0D47" w:rsidRDefault="00785714" w:rsidP="00785714">
      <w:pPr>
        <w:pStyle w:val="FSBullet1"/>
        <w:spacing w:before="60" w:after="60"/>
        <w:ind w:left="567" w:hanging="567"/>
      </w:pPr>
      <w:r>
        <w:rPr>
          <w:i/>
        </w:rPr>
        <w:t>‘Recommended number of serves sports foods’</w:t>
      </w:r>
      <w:r>
        <w:t xml:space="preserve">: includes L-carnitine intakes from </w:t>
      </w:r>
      <w:r>
        <w:rPr>
          <w:i/>
        </w:rPr>
        <w:t>Baseline (excluding sports and weight management foods)</w:t>
      </w:r>
      <w:r>
        <w:t xml:space="preserve"> plus L-carnitine intakes from the recommended number of serves of sports food / beverage per day as provided by the Applicant (four serves per day to achieve a total intake of 2,000 mg L-carnitine per day from sports food/ beverages). This scenario is only used for the target group of sports food / beverage consumers.</w:t>
      </w:r>
    </w:p>
    <w:p w14:paraId="31DEAF68" w14:textId="77777777" w:rsidR="00785714" w:rsidRDefault="00785714" w:rsidP="00785714">
      <w:pPr>
        <w:rPr>
          <w:rFonts w:cs="Arial"/>
        </w:rPr>
      </w:pPr>
    </w:p>
    <w:p w14:paraId="46FBFB0D" w14:textId="6EE55467" w:rsidR="00785714" w:rsidRPr="00B3135A" w:rsidRDefault="00785714" w:rsidP="00785714">
      <w:r>
        <w:rPr>
          <w:rFonts w:cs="Arial"/>
        </w:rPr>
        <w:t xml:space="preserve">Naturally occurring concentrations were assigned to a broad range of foods including dairy products, meats, fruits </w:t>
      </w:r>
      <w:r w:rsidRPr="00B3135A">
        <w:rPr>
          <w:rFonts w:cs="Arial"/>
        </w:rPr>
        <w:t>and vegetables. The concentrations were derived from papers submitted by the Applicant (Rebouche a</w:t>
      </w:r>
      <w:r>
        <w:rPr>
          <w:rFonts w:cs="Arial"/>
        </w:rPr>
        <w:t>nd Engel 1984;</w:t>
      </w:r>
      <w:r w:rsidRPr="00B3135A">
        <w:rPr>
          <w:rFonts w:cs="Arial"/>
        </w:rPr>
        <w:t xml:space="preserve"> Demarquoy </w:t>
      </w:r>
      <w:r w:rsidR="000B7678">
        <w:rPr>
          <w:rFonts w:cs="Arial"/>
        </w:rPr>
        <w:t>et al. 2</w:t>
      </w:r>
      <w:r w:rsidRPr="00B3135A">
        <w:rPr>
          <w:rFonts w:cs="Arial"/>
        </w:rPr>
        <w:t>003</w:t>
      </w:r>
      <w:r w:rsidRPr="00B3135A">
        <w:t xml:space="preserve">) </w:t>
      </w:r>
      <w:r w:rsidRPr="00B3135A">
        <w:rPr>
          <w:rFonts w:cs="Arial"/>
        </w:rPr>
        <w:t>and from other published sources (</w:t>
      </w:r>
      <w:r>
        <w:rPr>
          <w:rFonts w:cs="Arial"/>
        </w:rPr>
        <w:t>Gustavsen 2000;</w:t>
      </w:r>
      <w:r w:rsidRPr="00B3135A">
        <w:rPr>
          <w:rFonts w:cs="Arial"/>
        </w:rPr>
        <w:t xml:space="preserve"> Broad </w:t>
      </w:r>
      <w:r w:rsidR="000B7678">
        <w:rPr>
          <w:rFonts w:cs="Arial"/>
        </w:rPr>
        <w:t>et al. 2</w:t>
      </w:r>
      <w:r w:rsidRPr="00B3135A">
        <w:rPr>
          <w:rFonts w:cs="Arial"/>
        </w:rPr>
        <w:t>006</w:t>
      </w:r>
      <w:r>
        <w:rPr>
          <w:rFonts w:cs="Arial"/>
        </w:rPr>
        <w:t>;</w:t>
      </w:r>
      <w:r w:rsidRPr="00B3135A">
        <w:rPr>
          <w:rFonts w:cs="Arial"/>
        </w:rPr>
        <w:t xml:space="preserve"> Rigault </w:t>
      </w:r>
      <w:r w:rsidR="000B7678">
        <w:rPr>
          <w:rFonts w:cs="Arial"/>
        </w:rPr>
        <w:t>et al. 2</w:t>
      </w:r>
      <w:r>
        <w:rPr>
          <w:rFonts w:cs="Arial"/>
        </w:rPr>
        <w:t>007;</w:t>
      </w:r>
      <w:r w:rsidRPr="00B3135A">
        <w:rPr>
          <w:rFonts w:cs="Arial"/>
        </w:rPr>
        <w:t xml:space="preserve"> </w:t>
      </w:r>
      <w:r w:rsidRPr="00B3135A">
        <w:t>Özogul</w:t>
      </w:r>
      <w:r w:rsidRPr="00B3135A">
        <w:rPr>
          <w:rFonts w:cs="Arial"/>
        </w:rPr>
        <w:t xml:space="preserve"> </w:t>
      </w:r>
      <w:r w:rsidR="000B7678">
        <w:rPr>
          <w:rFonts w:cs="Arial"/>
        </w:rPr>
        <w:t>et al. 2</w:t>
      </w:r>
      <w:r w:rsidRPr="00B3135A">
        <w:t>013).</w:t>
      </w:r>
    </w:p>
    <w:p w14:paraId="4BDB0C7F" w14:textId="77777777" w:rsidR="00785714" w:rsidRDefault="00785714" w:rsidP="00785714"/>
    <w:p w14:paraId="2D7B37C2" w14:textId="21A3A27F" w:rsidR="00785714" w:rsidRPr="00CB1B09" w:rsidRDefault="00785714" w:rsidP="00785714">
      <w:pPr>
        <w:rPr>
          <w:rFonts w:cs="Arial"/>
          <w:szCs w:val="22"/>
        </w:rPr>
      </w:pPr>
      <w:r w:rsidRPr="00475A5D">
        <w:rPr>
          <w:rFonts w:cs="Arial"/>
        </w:rPr>
        <w:t>The food category codes used by the Applicant</w:t>
      </w:r>
      <w:r w:rsidRPr="00DD12D8">
        <w:rPr>
          <w:rFonts w:cs="Arial"/>
        </w:rPr>
        <w:t xml:space="preserve"> were based on the Australia New Zealand Food Classification System (ANZFCS) in Standard 1.3.1 – Food Additives </w:t>
      </w:r>
      <w:r>
        <w:rPr>
          <w:rFonts w:cs="Arial"/>
        </w:rPr>
        <w:t>of</w:t>
      </w:r>
      <w:r w:rsidRPr="00DD12D8">
        <w:rPr>
          <w:rFonts w:cs="Arial"/>
        </w:rPr>
        <w:t xml:space="preserve"> the Code and its related Schedules. However, the food classification codes in Harvest can vary slightly and may also be split into sub-groups. To assess the populations’ dietary </w:t>
      </w:r>
      <w:r>
        <w:rPr>
          <w:rFonts w:cs="Arial"/>
        </w:rPr>
        <w:t>intake of L-carnitine</w:t>
      </w:r>
      <w:r w:rsidRPr="00DD12D8">
        <w:rPr>
          <w:rFonts w:cs="Arial"/>
        </w:rPr>
        <w:t xml:space="preserve">, the food categories proposed by the Applicant </w:t>
      </w:r>
      <w:r>
        <w:rPr>
          <w:rFonts w:cs="Arial"/>
        </w:rPr>
        <w:t xml:space="preserve">and the data provided on naturally-occurring L-carnitine </w:t>
      </w:r>
      <w:r w:rsidRPr="00DD12D8">
        <w:rPr>
          <w:rFonts w:cs="Arial"/>
        </w:rPr>
        <w:t xml:space="preserve">were assigned to the relevant Harvest food classification codes. The </w:t>
      </w:r>
      <w:r w:rsidRPr="00CB1B09">
        <w:rPr>
          <w:rFonts w:cs="Arial"/>
          <w:szCs w:val="22"/>
        </w:rPr>
        <w:t xml:space="preserve">food categories and concentrations used in the dietary intake assessment are detailed in </w:t>
      </w:r>
      <w:r w:rsidRPr="00CB1B09">
        <w:rPr>
          <w:rFonts w:cs="Arial"/>
          <w:szCs w:val="22"/>
        </w:rPr>
        <w:fldChar w:fldCharType="begin"/>
      </w:r>
      <w:r w:rsidRPr="00CB1B09">
        <w:rPr>
          <w:rFonts w:cs="Arial"/>
          <w:szCs w:val="22"/>
        </w:rPr>
        <w:instrText xml:space="preserve"> REF _Ref482954461 \h </w:instrText>
      </w:r>
      <w:r>
        <w:rPr>
          <w:rFonts w:cs="Arial"/>
          <w:szCs w:val="22"/>
        </w:rPr>
        <w:instrText xml:space="preserve"> \* MERGEFORMAT </w:instrText>
      </w:r>
      <w:r w:rsidRPr="00CB1B09">
        <w:rPr>
          <w:rFonts w:cs="Arial"/>
          <w:szCs w:val="22"/>
        </w:rPr>
      </w:r>
      <w:r w:rsidRPr="00CB1B09">
        <w:rPr>
          <w:rFonts w:cs="Arial"/>
          <w:szCs w:val="22"/>
        </w:rPr>
        <w:fldChar w:fldCharType="separate"/>
      </w:r>
      <w:r w:rsidR="00872715" w:rsidRPr="00872715">
        <w:rPr>
          <w:szCs w:val="22"/>
        </w:rPr>
        <w:t>Table 6</w:t>
      </w:r>
      <w:r w:rsidRPr="00CB1B09">
        <w:rPr>
          <w:rFonts w:cs="Arial"/>
          <w:szCs w:val="22"/>
        </w:rPr>
        <w:fldChar w:fldCharType="end"/>
      </w:r>
      <w:r w:rsidRPr="00CB1B09">
        <w:rPr>
          <w:rFonts w:cs="Arial"/>
          <w:szCs w:val="22"/>
        </w:rPr>
        <w:t>.</w:t>
      </w:r>
    </w:p>
    <w:p w14:paraId="6B16DC39" w14:textId="77777777" w:rsidR="00785714" w:rsidRDefault="00785714" w:rsidP="00785714">
      <w:pPr>
        <w:rPr>
          <w:rFonts w:cs="Arial"/>
        </w:rPr>
      </w:pPr>
    </w:p>
    <w:p w14:paraId="670B733C" w14:textId="77777777" w:rsidR="00785714" w:rsidRDefault="00785714" w:rsidP="00785714">
      <w:pPr>
        <w:rPr>
          <w:rFonts w:cs="Arial"/>
        </w:rPr>
      </w:pPr>
      <w:r>
        <w:rPr>
          <w:rFonts w:cs="Arial"/>
        </w:rPr>
        <w:t>The concentrations of L-carnitine in dietary supplements was derived from the food composition databases for the nutrition surveys as well as label information.</w:t>
      </w:r>
    </w:p>
    <w:p w14:paraId="3D50C0CE" w14:textId="77777777" w:rsidR="00785714" w:rsidRDefault="00785714" w:rsidP="00785714">
      <w:pPr>
        <w:rPr>
          <w:rFonts w:cs="Arial"/>
          <w:szCs w:val="22"/>
        </w:rPr>
      </w:pPr>
      <w:r>
        <w:rPr>
          <w:rFonts w:cs="Arial"/>
          <w:szCs w:val="22"/>
        </w:rPr>
        <w:br w:type="page"/>
      </w:r>
    </w:p>
    <w:tbl>
      <w:tblPr>
        <w:tblStyle w:val="TableGrid"/>
        <w:tblW w:w="0" w:type="auto"/>
        <w:tblLayout w:type="fixed"/>
        <w:tblLook w:val="04A0" w:firstRow="1" w:lastRow="0" w:firstColumn="1" w:lastColumn="0" w:noHBand="0" w:noVBand="1"/>
        <w:tblDescription w:val="Flow chart describing the approach for calculating L-carnitine dietary intakes in Harvest, the form of the chemical assessed, the age groups assessed, the naional nutrition surveys used and the scenarios being modelled."/>
      </w:tblPr>
      <w:tblGrid>
        <w:gridCol w:w="692"/>
        <w:gridCol w:w="692"/>
        <w:gridCol w:w="3869"/>
        <w:gridCol w:w="1996"/>
        <w:gridCol w:w="1993"/>
      </w:tblGrid>
      <w:tr w:rsidR="00785714" w:rsidRPr="00B15FCE" w14:paraId="77490FFE" w14:textId="77777777" w:rsidTr="006477C1">
        <w:trPr>
          <w:tblHeader/>
        </w:trPr>
        <w:tc>
          <w:tcPr>
            <w:tcW w:w="9242" w:type="dxa"/>
            <w:gridSpan w:val="5"/>
            <w:tcBorders>
              <w:bottom w:val="nil"/>
            </w:tcBorders>
          </w:tcPr>
          <w:p w14:paraId="5E0169EA" w14:textId="77777777" w:rsidR="00785714" w:rsidRPr="00B15FCE" w:rsidRDefault="00785714" w:rsidP="00811A8E">
            <w:pPr>
              <w:spacing w:after="120"/>
              <w:rPr>
                <w:rFonts w:cs="Arial"/>
                <w:b/>
                <w:sz w:val="20"/>
                <w:szCs w:val="20"/>
              </w:rPr>
            </w:pPr>
            <w:r w:rsidRPr="00B15FCE">
              <w:rPr>
                <w:rFonts w:cs="Arial"/>
                <w:b/>
                <w:sz w:val="20"/>
                <w:szCs w:val="20"/>
              </w:rPr>
              <w:lastRenderedPageBreak/>
              <w:t>1. Select the type of model</w:t>
            </w:r>
          </w:p>
        </w:tc>
      </w:tr>
      <w:tr w:rsidR="00785714" w:rsidRPr="00B15FCE" w14:paraId="5B590708" w14:textId="77777777" w:rsidTr="00811A8E">
        <w:tc>
          <w:tcPr>
            <w:tcW w:w="9242" w:type="dxa"/>
            <w:gridSpan w:val="5"/>
            <w:tcBorders>
              <w:top w:val="nil"/>
              <w:bottom w:val="single" w:sz="4" w:space="0" w:color="000000"/>
            </w:tcBorders>
          </w:tcPr>
          <w:p w14:paraId="48F7893F" w14:textId="1781556F" w:rsidR="00785714" w:rsidRPr="00B15FCE" w:rsidRDefault="00785714" w:rsidP="00811A8E">
            <w:pPr>
              <w:spacing w:before="40" w:after="40"/>
              <w:rPr>
                <w:rFonts w:cs="Arial"/>
                <w:i/>
                <w:sz w:val="20"/>
                <w:szCs w:val="20"/>
              </w:rPr>
            </w:pPr>
            <w:r w:rsidRPr="00B15FCE">
              <w:rPr>
                <w:rFonts w:cs="Arial"/>
                <w:i/>
                <w:sz w:val="20"/>
                <w:szCs w:val="20"/>
              </w:rPr>
              <w:t xml:space="preserve">Food additive model in Harvest (best matches food groups requested in </w:t>
            </w:r>
            <w:r w:rsidR="00E202CC">
              <w:rPr>
                <w:rFonts w:cs="Arial"/>
                <w:i/>
                <w:sz w:val="20"/>
                <w:szCs w:val="20"/>
              </w:rPr>
              <w:t>application</w:t>
            </w:r>
            <w:r w:rsidRPr="00B15FCE">
              <w:rPr>
                <w:rFonts w:cs="Arial"/>
                <w:i/>
                <w:sz w:val="20"/>
                <w:szCs w:val="20"/>
              </w:rPr>
              <w:t>)</w:t>
            </w:r>
          </w:p>
        </w:tc>
      </w:tr>
      <w:tr w:rsidR="00785714" w:rsidRPr="00B15FCE" w14:paraId="742B073C" w14:textId="77777777" w:rsidTr="00811A8E">
        <w:tc>
          <w:tcPr>
            <w:tcW w:w="1384" w:type="dxa"/>
            <w:gridSpan w:val="2"/>
            <w:tcBorders>
              <w:left w:val="nil"/>
              <w:bottom w:val="single" w:sz="4" w:space="0" w:color="000000"/>
              <w:right w:val="nil"/>
            </w:tcBorders>
          </w:tcPr>
          <w:p w14:paraId="016FB340" w14:textId="77777777" w:rsidR="00785714" w:rsidRPr="00B15FCE" w:rsidRDefault="00785714" w:rsidP="00811A8E">
            <w:pPr>
              <w:rPr>
                <w:rFonts w:cs="Arial"/>
                <w:sz w:val="20"/>
                <w:szCs w:val="20"/>
              </w:rPr>
            </w:pPr>
          </w:p>
        </w:tc>
        <w:tc>
          <w:tcPr>
            <w:tcW w:w="3869" w:type="dxa"/>
            <w:tcBorders>
              <w:left w:val="nil"/>
              <w:bottom w:val="single" w:sz="4" w:space="0" w:color="000000"/>
              <w:right w:val="single" w:sz="18" w:space="0" w:color="000000"/>
            </w:tcBorders>
          </w:tcPr>
          <w:p w14:paraId="353C3C99" w14:textId="77777777" w:rsidR="00785714" w:rsidRPr="00B15FCE" w:rsidRDefault="00785714" w:rsidP="00811A8E">
            <w:pPr>
              <w:rPr>
                <w:rFonts w:cs="Arial"/>
                <w:sz w:val="20"/>
                <w:szCs w:val="20"/>
              </w:rPr>
            </w:pPr>
          </w:p>
        </w:tc>
        <w:tc>
          <w:tcPr>
            <w:tcW w:w="1996" w:type="dxa"/>
            <w:tcBorders>
              <w:left w:val="single" w:sz="18" w:space="0" w:color="000000"/>
              <w:bottom w:val="single" w:sz="4" w:space="0" w:color="000000"/>
              <w:right w:val="nil"/>
            </w:tcBorders>
          </w:tcPr>
          <w:p w14:paraId="62ED82B6" w14:textId="77777777" w:rsidR="00785714" w:rsidRPr="00B15FCE" w:rsidRDefault="00785714" w:rsidP="00811A8E">
            <w:pPr>
              <w:rPr>
                <w:rFonts w:cs="Arial"/>
                <w:sz w:val="20"/>
                <w:szCs w:val="20"/>
              </w:rPr>
            </w:pPr>
          </w:p>
        </w:tc>
        <w:tc>
          <w:tcPr>
            <w:tcW w:w="1993" w:type="dxa"/>
            <w:tcBorders>
              <w:left w:val="nil"/>
              <w:bottom w:val="single" w:sz="4" w:space="0" w:color="000000"/>
              <w:right w:val="nil"/>
            </w:tcBorders>
          </w:tcPr>
          <w:p w14:paraId="4CBC703F" w14:textId="77777777" w:rsidR="00785714" w:rsidRPr="00B15FCE" w:rsidRDefault="00785714" w:rsidP="00811A8E">
            <w:pPr>
              <w:rPr>
                <w:rFonts w:cs="Arial"/>
                <w:sz w:val="20"/>
                <w:szCs w:val="20"/>
              </w:rPr>
            </w:pPr>
          </w:p>
        </w:tc>
      </w:tr>
      <w:tr w:rsidR="00785714" w:rsidRPr="00B15FCE" w14:paraId="6963CEBA" w14:textId="77777777" w:rsidTr="00811A8E">
        <w:tc>
          <w:tcPr>
            <w:tcW w:w="9242" w:type="dxa"/>
            <w:gridSpan w:val="5"/>
            <w:tcBorders>
              <w:bottom w:val="nil"/>
            </w:tcBorders>
          </w:tcPr>
          <w:p w14:paraId="31C18DA5" w14:textId="77777777" w:rsidR="00785714" w:rsidRPr="00B15FCE" w:rsidRDefault="00785714" w:rsidP="00811A8E">
            <w:pPr>
              <w:spacing w:after="120"/>
              <w:rPr>
                <w:rFonts w:cs="Arial"/>
                <w:b/>
                <w:sz w:val="20"/>
                <w:szCs w:val="20"/>
              </w:rPr>
            </w:pPr>
            <w:r w:rsidRPr="00B15FCE">
              <w:rPr>
                <w:rFonts w:cs="Arial"/>
                <w:b/>
                <w:sz w:val="20"/>
                <w:szCs w:val="20"/>
              </w:rPr>
              <w:t>2. Select the form of L-carnitine to use in the assessment</w:t>
            </w:r>
          </w:p>
        </w:tc>
      </w:tr>
      <w:tr w:rsidR="00785714" w:rsidRPr="00B15FCE" w14:paraId="27BEBF10" w14:textId="77777777" w:rsidTr="00811A8E">
        <w:tc>
          <w:tcPr>
            <w:tcW w:w="9242" w:type="dxa"/>
            <w:gridSpan w:val="5"/>
            <w:tcBorders>
              <w:top w:val="nil"/>
            </w:tcBorders>
          </w:tcPr>
          <w:p w14:paraId="34FEA2F7" w14:textId="77777777" w:rsidR="00785714" w:rsidRPr="00B15FCE" w:rsidRDefault="00785714" w:rsidP="00811A8E">
            <w:pPr>
              <w:spacing w:before="40" w:after="40"/>
              <w:rPr>
                <w:rFonts w:cs="Arial"/>
                <w:i/>
                <w:sz w:val="20"/>
                <w:szCs w:val="20"/>
              </w:rPr>
            </w:pPr>
            <w:r w:rsidRPr="00B15FCE">
              <w:rPr>
                <w:rFonts w:cs="Arial"/>
                <w:i/>
                <w:sz w:val="20"/>
                <w:szCs w:val="20"/>
              </w:rPr>
              <w:t>Total L-carnitine</w:t>
            </w:r>
          </w:p>
        </w:tc>
      </w:tr>
      <w:tr w:rsidR="00785714" w:rsidRPr="00B15FCE" w14:paraId="56E941D0" w14:textId="77777777" w:rsidTr="00811A8E">
        <w:tc>
          <w:tcPr>
            <w:tcW w:w="1384" w:type="dxa"/>
            <w:gridSpan w:val="2"/>
            <w:tcBorders>
              <w:left w:val="nil"/>
              <w:bottom w:val="single" w:sz="4" w:space="0" w:color="000000"/>
              <w:right w:val="nil"/>
            </w:tcBorders>
          </w:tcPr>
          <w:p w14:paraId="5BB4A0C7" w14:textId="77777777" w:rsidR="00785714" w:rsidRPr="00B15FCE" w:rsidRDefault="00785714" w:rsidP="00811A8E">
            <w:pPr>
              <w:rPr>
                <w:rFonts w:cs="Arial"/>
                <w:sz w:val="20"/>
                <w:szCs w:val="20"/>
              </w:rPr>
            </w:pPr>
          </w:p>
        </w:tc>
        <w:tc>
          <w:tcPr>
            <w:tcW w:w="3869" w:type="dxa"/>
            <w:tcBorders>
              <w:left w:val="nil"/>
              <w:bottom w:val="single" w:sz="4" w:space="0" w:color="000000"/>
              <w:right w:val="single" w:sz="18" w:space="0" w:color="000000"/>
            </w:tcBorders>
          </w:tcPr>
          <w:p w14:paraId="3B88D593" w14:textId="77777777" w:rsidR="00785714" w:rsidRPr="00B15FCE" w:rsidRDefault="00785714" w:rsidP="00811A8E">
            <w:pPr>
              <w:rPr>
                <w:rFonts w:cs="Arial"/>
                <w:sz w:val="20"/>
                <w:szCs w:val="20"/>
              </w:rPr>
            </w:pPr>
          </w:p>
        </w:tc>
        <w:tc>
          <w:tcPr>
            <w:tcW w:w="1996" w:type="dxa"/>
            <w:tcBorders>
              <w:left w:val="single" w:sz="18" w:space="0" w:color="000000"/>
              <w:bottom w:val="single" w:sz="4" w:space="0" w:color="000000"/>
              <w:right w:val="nil"/>
            </w:tcBorders>
          </w:tcPr>
          <w:p w14:paraId="0B7635BB" w14:textId="77777777" w:rsidR="00785714" w:rsidRPr="00B15FCE" w:rsidRDefault="00785714" w:rsidP="00811A8E">
            <w:pPr>
              <w:rPr>
                <w:rFonts w:cs="Arial"/>
                <w:sz w:val="20"/>
                <w:szCs w:val="20"/>
              </w:rPr>
            </w:pPr>
          </w:p>
        </w:tc>
        <w:tc>
          <w:tcPr>
            <w:tcW w:w="1993" w:type="dxa"/>
            <w:tcBorders>
              <w:left w:val="nil"/>
              <w:bottom w:val="single" w:sz="4" w:space="0" w:color="000000"/>
              <w:right w:val="nil"/>
            </w:tcBorders>
          </w:tcPr>
          <w:p w14:paraId="50F80BCB" w14:textId="77777777" w:rsidR="00785714" w:rsidRPr="00B15FCE" w:rsidRDefault="00785714" w:rsidP="00811A8E">
            <w:pPr>
              <w:rPr>
                <w:rFonts w:cs="Arial"/>
                <w:sz w:val="20"/>
                <w:szCs w:val="20"/>
              </w:rPr>
            </w:pPr>
          </w:p>
        </w:tc>
      </w:tr>
      <w:tr w:rsidR="00785714" w:rsidRPr="00B15FCE" w14:paraId="745AD6B1" w14:textId="77777777" w:rsidTr="00811A8E">
        <w:tc>
          <w:tcPr>
            <w:tcW w:w="9242" w:type="dxa"/>
            <w:gridSpan w:val="5"/>
            <w:tcBorders>
              <w:bottom w:val="nil"/>
            </w:tcBorders>
          </w:tcPr>
          <w:p w14:paraId="4D8EA4F3" w14:textId="77777777" w:rsidR="00785714" w:rsidRPr="00B15FCE" w:rsidRDefault="00785714" w:rsidP="00811A8E">
            <w:pPr>
              <w:spacing w:after="120"/>
              <w:rPr>
                <w:rFonts w:cs="Arial"/>
                <w:b/>
                <w:sz w:val="20"/>
                <w:szCs w:val="20"/>
              </w:rPr>
            </w:pPr>
            <w:r w:rsidRPr="00B15FCE">
              <w:rPr>
                <w:rFonts w:cs="Arial"/>
                <w:b/>
                <w:sz w:val="20"/>
                <w:szCs w:val="20"/>
              </w:rPr>
              <w:t>3. Select the national nutrition surveys to use in the dietary exposure assessment</w:t>
            </w:r>
          </w:p>
        </w:tc>
      </w:tr>
      <w:tr w:rsidR="00785714" w:rsidRPr="00B15FCE" w14:paraId="5EDDD034" w14:textId="77777777" w:rsidTr="00811A8E">
        <w:tc>
          <w:tcPr>
            <w:tcW w:w="1384" w:type="dxa"/>
            <w:gridSpan w:val="2"/>
            <w:tcBorders>
              <w:top w:val="nil"/>
              <w:bottom w:val="nil"/>
              <w:right w:val="nil"/>
            </w:tcBorders>
          </w:tcPr>
          <w:p w14:paraId="5BEB2B07" w14:textId="77777777" w:rsidR="00785714" w:rsidRPr="00B15FCE" w:rsidRDefault="00785714" w:rsidP="00811A8E">
            <w:pPr>
              <w:spacing w:before="40" w:after="40"/>
              <w:rPr>
                <w:rFonts w:cs="Arial"/>
                <w:i/>
                <w:sz w:val="20"/>
                <w:szCs w:val="20"/>
              </w:rPr>
            </w:pPr>
            <w:r w:rsidRPr="00B15FCE">
              <w:rPr>
                <w:rFonts w:cs="Arial"/>
                <w:i/>
                <w:sz w:val="20"/>
                <w:szCs w:val="20"/>
              </w:rPr>
              <w:t>Australia:</w:t>
            </w:r>
          </w:p>
        </w:tc>
        <w:tc>
          <w:tcPr>
            <w:tcW w:w="7858" w:type="dxa"/>
            <w:gridSpan w:val="3"/>
            <w:tcBorders>
              <w:top w:val="nil"/>
              <w:left w:val="nil"/>
              <w:bottom w:val="nil"/>
            </w:tcBorders>
          </w:tcPr>
          <w:p w14:paraId="67DE8694" w14:textId="77777777" w:rsidR="00785714" w:rsidRPr="00B15FCE" w:rsidRDefault="00785714" w:rsidP="00811A8E">
            <w:pPr>
              <w:spacing w:before="40" w:after="40"/>
              <w:rPr>
                <w:rFonts w:cs="Arial"/>
                <w:i/>
                <w:sz w:val="20"/>
                <w:szCs w:val="20"/>
              </w:rPr>
            </w:pPr>
            <w:r w:rsidRPr="00B15FCE">
              <w:rPr>
                <w:rFonts w:cs="Arial"/>
                <w:i/>
                <w:iCs/>
                <w:sz w:val="20"/>
                <w:szCs w:val="20"/>
              </w:rPr>
              <w:t>2011-12 National Nutrition and Physical Activity Survey</w:t>
            </w:r>
          </w:p>
        </w:tc>
      </w:tr>
      <w:tr w:rsidR="00785714" w:rsidRPr="00B15FCE" w14:paraId="6BF7179B" w14:textId="77777777" w:rsidTr="00811A8E">
        <w:tc>
          <w:tcPr>
            <w:tcW w:w="1384" w:type="dxa"/>
            <w:gridSpan w:val="2"/>
            <w:tcBorders>
              <w:top w:val="nil"/>
              <w:bottom w:val="nil"/>
              <w:right w:val="nil"/>
            </w:tcBorders>
          </w:tcPr>
          <w:p w14:paraId="7E893F11" w14:textId="77777777" w:rsidR="00785714" w:rsidRPr="00B15FCE" w:rsidRDefault="00785714" w:rsidP="00811A8E">
            <w:pPr>
              <w:spacing w:before="40" w:after="40"/>
              <w:rPr>
                <w:rFonts w:cs="Arial"/>
                <w:i/>
                <w:sz w:val="20"/>
                <w:szCs w:val="20"/>
              </w:rPr>
            </w:pPr>
          </w:p>
        </w:tc>
        <w:tc>
          <w:tcPr>
            <w:tcW w:w="7858" w:type="dxa"/>
            <w:gridSpan w:val="3"/>
            <w:tcBorders>
              <w:top w:val="nil"/>
              <w:left w:val="nil"/>
              <w:bottom w:val="nil"/>
            </w:tcBorders>
          </w:tcPr>
          <w:p w14:paraId="724569C1" w14:textId="77777777" w:rsidR="00785714" w:rsidRPr="00B15FCE" w:rsidRDefault="00785714" w:rsidP="00811A8E">
            <w:pPr>
              <w:spacing w:before="40" w:after="40"/>
              <w:rPr>
                <w:rFonts w:cs="Arial"/>
                <w:i/>
                <w:sz w:val="20"/>
                <w:szCs w:val="20"/>
              </w:rPr>
            </w:pPr>
            <w:r w:rsidRPr="00B15FCE">
              <w:rPr>
                <w:rFonts w:cs="Arial"/>
                <w:i/>
                <w:iCs/>
                <w:sz w:val="20"/>
                <w:szCs w:val="20"/>
              </w:rPr>
              <w:t>(2011-12 NNPAS) (2 years &amp; above)</w:t>
            </w:r>
          </w:p>
        </w:tc>
      </w:tr>
      <w:tr w:rsidR="00785714" w:rsidRPr="00B15FCE" w14:paraId="0C9E74FB" w14:textId="77777777" w:rsidTr="00811A8E">
        <w:tc>
          <w:tcPr>
            <w:tcW w:w="1384" w:type="dxa"/>
            <w:gridSpan w:val="2"/>
            <w:vMerge w:val="restart"/>
            <w:tcBorders>
              <w:top w:val="nil"/>
              <w:right w:val="nil"/>
            </w:tcBorders>
          </w:tcPr>
          <w:p w14:paraId="01519750" w14:textId="77777777" w:rsidR="00785714" w:rsidRPr="00B15FCE" w:rsidRDefault="00785714" w:rsidP="00811A8E">
            <w:pPr>
              <w:spacing w:before="40" w:after="40"/>
              <w:rPr>
                <w:rFonts w:cs="Arial"/>
                <w:i/>
                <w:sz w:val="20"/>
                <w:szCs w:val="20"/>
              </w:rPr>
            </w:pPr>
            <w:r w:rsidRPr="00B15FCE">
              <w:rPr>
                <w:rFonts w:cs="Arial"/>
                <w:i/>
                <w:sz w:val="20"/>
                <w:szCs w:val="20"/>
              </w:rPr>
              <w:t>New Zealand:</w:t>
            </w:r>
          </w:p>
        </w:tc>
        <w:tc>
          <w:tcPr>
            <w:tcW w:w="7858" w:type="dxa"/>
            <w:gridSpan w:val="3"/>
            <w:tcBorders>
              <w:top w:val="nil"/>
              <w:left w:val="nil"/>
              <w:bottom w:val="nil"/>
            </w:tcBorders>
          </w:tcPr>
          <w:p w14:paraId="3226913C" w14:textId="77777777" w:rsidR="00785714" w:rsidRPr="00B15FCE" w:rsidRDefault="00785714" w:rsidP="00811A8E">
            <w:pPr>
              <w:spacing w:before="40" w:after="40"/>
              <w:rPr>
                <w:rFonts w:cs="Arial"/>
                <w:i/>
                <w:sz w:val="20"/>
                <w:szCs w:val="20"/>
              </w:rPr>
            </w:pPr>
            <w:r w:rsidRPr="00B15FCE">
              <w:rPr>
                <w:rFonts w:cs="Arial"/>
                <w:i/>
                <w:sz w:val="20"/>
                <w:szCs w:val="20"/>
              </w:rPr>
              <w:t>2002 National Children's Nutrition Survey (5-14 years)</w:t>
            </w:r>
          </w:p>
        </w:tc>
      </w:tr>
      <w:tr w:rsidR="00785714" w:rsidRPr="00B15FCE" w14:paraId="51292E96" w14:textId="77777777" w:rsidTr="00811A8E">
        <w:tc>
          <w:tcPr>
            <w:tcW w:w="1384" w:type="dxa"/>
            <w:gridSpan w:val="2"/>
            <w:vMerge/>
            <w:tcBorders>
              <w:right w:val="nil"/>
            </w:tcBorders>
          </w:tcPr>
          <w:p w14:paraId="35FA796B" w14:textId="77777777" w:rsidR="00785714" w:rsidRPr="00B15FCE" w:rsidRDefault="00785714" w:rsidP="00811A8E">
            <w:pPr>
              <w:spacing w:before="40" w:after="40"/>
              <w:rPr>
                <w:rFonts w:cs="Arial"/>
                <w:i/>
                <w:sz w:val="20"/>
                <w:szCs w:val="20"/>
              </w:rPr>
            </w:pPr>
          </w:p>
        </w:tc>
        <w:tc>
          <w:tcPr>
            <w:tcW w:w="7858" w:type="dxa"/>
            <w:gridSpan w:val="3"/>
            <w:tcBorders>
              <w:top w:val="nil"/>
              <w:left w:val="nil"/>
            </w:tcBorders>
          </w:tcPr>
          <w:p w14:paraId="6510D0DA" w14:textId="77777777" w:rsidR="00785714" w:rsidRPr="00B15FCE" w:rsidRDefault="00785714" w:rsidP="00811A8E">
            <w:pPr>
              <w:spacing w:before="40" w:after="40"/>
              <w:rPr>
                <w:rFonts w:cs="Arial"/>
                <w:i/>
                <w:sz w:val="20"/>
                <w:szCs w:val="20"/>
              </w:rPr>
            </w:pPr>
            <w:r w:rsidRPr="00B15FCE">
              <w:rPr>
                <w:rFonts w:cs="Arial"/>
                <w:i/>
                <w:sz w:val="20"/>
                <w:szCs w:val="20"/>
              </w:rPr>
              <w:t>2008/9 Adults Nutrition Survey (15 years &amp; above)</w:t>
            </w:r>
          </w:p>
        </w:tc>
      </w:tr>
      <w:tr w:rsidR="00785714" w:rsidRPr="00B15FCE" w14:paraId="312C296F" w14:textId="77777777" w:rsidTr="00811A8E">
        <w:tc>
          <w:tcPr>
            <w:tcW w:w="1384" w:type="dxa"/>
            <w:gridSpan w:val="2"/>
            <w:tcBorders>
              <w:left w:val="nil"/>
              <w:bottom w:val="single" w:sz="4" w:space="0" w:color="000000"/>
              <w:right w:val="nil"/>
            </w:tcBorders>
          </w:tcPr>
          <w:p w14:paraId="33ECFFD8" w14:textId="77777777" w:rsidR="00785714" w:rsidRPr="00B15FCE" w:rsidRDefault="00785714" w:rsidP="00811A8E">
            <w:pPr>
              <w:rPr>
                <w:rFonts w:cs="Arial"/>
                <w:sz w:val="20"/>
                <w:szCs w:val="20"/>
              </w:rPr>
            </w:pPr>
          </w:p>
        </w:tc>
        <w:tc>
          <w:tcPr>
            <w:tcW w:w="3869" w:type="dxa"/>
            <w:tcBorders>
              <w:left w:val="nil"/>
              <w:bottom w:val="single" w:sz="4" w:space="0" w:color="000000"/>
              <w:right w:val="single" w:sz="18" w:space="0" w:color="000000"/>
            </w:tcBorders>
          </w:tcPr>
          <w:p w14:paraId="261FC2A9" w14:textId="77777777" w:rsidR="00785714" w:rsidRPr="00B15FCE" w:rsidRDefault="00785714" w:rsidP="00811A8E">
            <w:pPr>
              <w:rPr>
                <w:rFonts w:cs="Arial"/>
                <w:sz w:val="20"/>
                <w:szCs w:val="20"/>
              </w:rPr>
            </w:pPr>
          </w:p>
        </w:tc>
        <w:tc>
          <w:tcPr>
            <w:tcW w:w="1996" w:type="dxa"/>
            <w:tcBorders>
              <w:left w:val="single" w:sz="18" w:space="0" w:color="000000"/>
              <w:bottom w:val="single" w:sz="4" w:space="0" w:color="000000"/>
              <w:right w:val="nil"/>
            </w:tcBorders>
          </w:tcPr>
          <w:p w14:paraId="2B7B81EC" w14:textId="77777777" w:rsidR="00785714" w:rsidRPr="00B15FCE" w:rsidRDefault="00785714" w:rsidP="00811A8E">
            <w:pPr>
              <w:rPr>
                <w:rFonts w:cs="Arial"/>
                <w:sz w:val="20"/>
                <w:szCs w:val="20"/>
              </w:rPr>
            </w:pPr>
          </w:p>
        </w:tc>
        <w:tc>
          <w:tcPr>
            <w:tcW w:w="1993" w:type="dxa"/>
            <w:tcBorders>
              <w:left w:val="nil"/>
              <w:bottom w:val="single" w:sz="4" w:space="0" w:color="000000"/>
              <w:right w:val="nil"/>
            </w:tcBorders>
          </w:tcPr>
          <w:p w14:paraId="3C33FAE0" w14:textId="77777777" w:rsidR="00785714" w:rsidRPr="00B15FCE" w:rsidRDefault="00785714" w:rsidP="00811A8E">
            <w:pPr>
              <w:rPr>
                <w:rFonts w:cs="Arial"/>
                <w:sz w:val="20"/>
                <w:szCs w:val="20"/>
              </w:rPr>
            </w:pPr>
          </w:p>
        </w:tc>
      </w:tr>
      <w:tr w:rsidR="00785714" w:rsidRPr="00B15FCE" w14:paraId="212E04ED" w14:textId="77777777" w:rsidTr="00811A8E">
        <w:tc>
          <w:tcPr>
            <w:tcW w:w="9242" w:type="dxa"/>
            <w:gridSpan w:val="5"/>
            <w:tcBorders>
              <w:bottom w:val="nil"/>
            </w:tcBorders>
          </w:tcPr>
          <w:p w14:paraId="063E5ACC" w14:textId="77777777" w:rsidR="00785714" w:rsidRPr="00B15FCE" w:rsidRDefault="00785714" w:rsidP="00811A8E">
            <w:pPr>
              <w:spacing w:after="120"/>
              <w:rPr>
                <w:rFonts w:cs="Arial"/>
                <w:b/>
                <w:sz w:val="20"/>
                <w:szCs w:val="20"/>
              </w:rPr>
            </w:pPr>
            <w:r w:rsidRPr="00B15FCE">
              <w:rPr>
                <w:rFonts w:cs="Arial"/>
                <w:b/>
                <w:sz w:val="20"/>
                <w:szCs w:val="20"/>
              </w:rPr>
              <w:t>4. Select the population group(s) to assess</w:t>
            </w:r>
          </w:p>
        </w:tc>
      </w:tr>
      <w:tr w:rsidR="00785714" w:rsidRPr="00B15FCE" w14:paraId="493205B2" w14:textId="77777777" w:rsidTr="00811A8E">
        <w:tc>
          <w:tcPr>
            <w:tcW w:w="1384" w:type="dxa"/>
            <w:gridSpan w:val="2"/>
            <w:tcBorders>
              <w:top w:val="nil"/>
              <w:bottom w:val="nil"/>
              <w:right w:val="nil"/>
            </w:tcBorders>
          </w:tcPr>
          <w:p w14:paraId="7D7FB024" w14:textId="77777777" w:rsidR="00785714" w:rsidRPr="00B15FCE" w:rsidRDefault="00785714" w:rsidP="00811A8E">
            <w:pPr>
              <w:spacing w:before="40" w:after="40"/>
              <w:rPr>
                <w:rFonts w:cs="Arial"/>
                <w:i/>
                <w:sz w:val="20"/>
                <w:szCs w:val="20"/>
              </w:rPr>
            </w:pPr>
            <w:r w:rsidRPr="00B15FCE">
              <w:rPr>
                <w:rFonts w:cs="Arial"/>
                <w:i/>
                <w:sz w:val="20"/>
                <w:szCs w:val="20"/>
              </w:rPr>
              <w:t>a.</w:t>
            </w:r>
          </w:p>
        </w:tc>
        <w:tc>
          <w:tcPr>
            <w:tcW w:w="7858" w:type="dxa"/>
            <w:gridSpan w:val="3"/>
            <w:tcBorders>
              <w:top w:val="nil"/>
              <w:left w:val="nil"/>
              <w:bottom w:val="nil"/>
            </w:tcBorders>
          </w:tcPr>
          <w:p w14:paraId="26955030" w14:textId="77777777" w:rsidR="00785714" w:rsidRPr="00B15FCE" w:rsidRDefault="00785714" w:rsidP="00811A8E">
            <w:pPr>
              <w:spacing w:before="40" w:after="40"/>
              <w:rPr>
                <w:rFonts w:cs="Arial"/>
                <w:sz w:val="20"/>
                <w:szCs w:val="20"/>
              </w:rPr>
            </w:pPr>
            <w:r w:rsidRPr="00B15FCE">
              <w:rPr>
                <w:rFonts w:cs="Arial"/>
                <w:i/>
                <w:sz w:val="20"/>
                <w:szCs w:val="20"/>
              </w:rPr>
              <w:t>Whole population (2 years &amp; above (Au); 15 years &amp; above (NZ))</w:t>
            </w:r>
          </w:p>
        </w:tc>
      </w:tr>
      <w:tr w:rsidR="00785714" w:rsidRPr="00B15FCE" w14:paraId="03220198" w14:textId="77777777" w:rsidTr="00811A8E">
        <w:tc>
          <w:tcPr>
            <w:tcW w:w="1384" w:type="dxa"/>
            <w:gridSpan w:val="2"/>
            <w:tcBorders>
              <w:top w:val="nil"/>
              <w:bottom w:val="nil"/>
              <w:right w:val="nil"/>
            </w:tcBorders>
          </w:tcPr>
          <w:p w14:paraId="1F1169B7" w14:textId="77777777" w:rsidR="00785714" w:rsidRPr="00B15FCE" w:rsidRDefault="00785714" w:rsidP="00811A8E">
            <w:pPr>
              <w:spacing w:before="40" w:after="40"/>
              <w:rPr>
                <w:rFonts w:cs="Arial"/>
                <w:sz w:val="20"/>
                <w:szCs w:val="20"/>
              </w:rPr>
            </w:pPr>
            <w:r w:rsidRPr="00B15FCE">
              <w:rPr>
                <w:rFonts w:cs="Arial"/>
                <w:i/>
                <w:sz w:val="20"/>
                <w:szCs w:val="20"/>
              </w:rPr>
              <w:t>b.</w:t>
            </w:r>
          </w:p>
        </w:tc>
        <w:tc>
          <w:tcPr>
            <w:tcW w:w="7858" w:type="dxa"/>
            <w:gridSpan w:val="3"/>
            <w:tcBorders>
              <w:top w:val="nil"/>
              <w:left w:val="nil"/>
              <w:bottom w:val="nil"/>
            </w:tcBorders>
          </w:tcPr>
          <w:p w14:paraId="7A11421B" w14:textId="77777777" w:rsidR="00785714" w:rsidRPr="00B15FCE" w:rsidRDefault="00785714" w:rsidP="00811A8E">
            <w:pPr>
              <w:spacing w:before="40" w:after="40"/>
              <w:rPr>
                <w:rFonts w:cs="Arial"/>
                <w:sz w:val="20"/>
                <w:szCs w:val="20"/>
              </w:rPr>
            </w:pPr>
            <w:r w:rsidRPr="00B15FCE">
              <w:rPr>
                <w:rFonts w:cs="Arial"/>
                <w:i/>
                <w:sz w:val="20"/>
                <w:szCs w:val="20"/>
              </w:rPr>
              <w:t>Children (2-6 years (Au); 7-17 years (Au); 5-14 years (NZ))</w:t>
            </w:r>
          </w:p>
        </w:tc>
      </w:tr>
      <w:tr w:rsidR="00785714" w:rsidRPr="00B15FCE" w14:paraId="506C4CB3" w14:textId="77777777" w:rsidTr="00811A8E">
        <w:tc>
          <w:tcPr>
            <w:tcW w:w="1384" w:type="dxa"/>
            <w:gridSpan w:val="2"/>
            <w:tcBorders>
              <w:top w:val="nil"/>
              <w:bottom w:val="nil"/>
              <w:right w:val="nil"/>
            </w:tcBorders>
          </w:tcPr>
          <w:p w14:paraId="4AA3DA64" w14:textId="77777777" w:rsidR="00785714" w:rsidRPr="00B15FCE" w:rsidRDefault="00785714" w:rsidP="00811A8E">
            <w:pPr>
              <w:spacing w:before="40" w:after="40"/>
              <w:rPr>
                <w:rFonts w:cs="Arial"/>
                <w:sz w:val="20"/>
                <w:szCs w:val="20"/>
              </w:rPr>
            </w:pPr>
            <w:r w:rsidRPr="00B15FCE">
              <w:rPr>
                <w:rFonts w:cs="Arial"/>
                <w:i/>
                <w:sz w:val="20"/>
                <w:szCs w:val="20"/>
              </w:rPr>
              <w:t>c.</w:t>
            </w:r>
          </w:p>
        </w:tc>
        <w:tc>
          <w:tcPr>
            <w:tcW w:w="7858" w:type="dxa"/>
            <w:gridSpan w:val="3"/>
            <w:tcBorders>
              <w:top w:val="nil"/>
              <w:left w:val="nil"/>
              <w:bottom w:val="nil"/>
            </w:tcBorders>
          </w:tcPr>
          <w:p w14:paraId="0AFE14B0" w14:textId="77777777" w:rsidR="00785714" w:rsidRPr="00B15FCE" w:rsidRDefault="00785714" w:rsidP="00811A8E">
            <w:pPr>
              <w:spacing w:before="40" w:after="40"/>
              <w:rPr>
                <w:rFonts w:cs="Arial"/>
                <w:sz w:val="20"/>
                <w:szCs w:val="20"/>
              </w:rPr>
            </w:pPr>
            <w:r w:rsidRPr="00B15FCE">
              <w:rPr>
                <w:rFonts w:cs="Arial"/>
                <w:i/>
                <w:sz w:val="20"/>
                <w:szCs w:val="20"/>
              </w:rPr>
              <w:t>Adult age group 18 - 70 years</w:t>
            </w:r>
          </w:p>
        </w:tc>
      </w:tr>
      <w:tr w:rsidR="00785714" w:rsidRPr="00B15FCE" w14:paraId="3952F3AD" w14:textId="77777777" w:rsidTr="00811A8E">
        <w:tc>
          <w:tcPr>
            <w:tcW w:w="1384" w:type="dxa"/>
            <w:gridSpan w:val="2"/>
            <w:tcBorders>
              <w:top w:val="nil"/>
              <w:bottom w:val="nil"/>
              <w:right w:val="nil"/>
            </w:tcBorders>
          </w:tcPr>
          <w:p w14:paraId="65C741AC" w14:textId="77777777" w:rsidR="00785714" w:rsidRPr="00B15FCE" w:rsidRDefault="00785714" w:rsidP="00811A8E">
            <w:pPr>
              <w:spacing w:before="40" w:after="40"/>
              <w:rPr>
                <w:rFonts w:cs="Arial"/>
                <w:sz w:val="20"/>
                <w:szCs w:val="20"/>
              </w:rPr>
            </w:pPr>
            <w:r w:rsidRPr="00B15FCE">
              <w:rPr>
                <w:rFonts w:cs="Arial"/>
                <w:i/>
                <w:sz w:val="20"/>
                <w:szCs w:val="20"/>
              </w:rPr>
              <w:t>d.</w:t>
            </w:r>
          </w:p>
        </w:tc>
        <w:tc>
          <w:tcPr>
            <w:tcW w:w="7858" w:type="dxa"/>
            <w:gridSpan w:val="3"/>
            <w:tcBorders>
              <w:top w:val="nil"/>
              <w:left w:val="nil"/>
              <w:bottom w:val="nil"/>
            </w:tcBorders>
          </w:tcPr>
          <w:p w14:paraId="282F4ABD" w14:textId="77777777" w:rsidR="00785714" w:rsidRPr="00B15FCE" w:rsidRDefault="00785714" w:rsidP="00811A8E">
            <w:pPr>
              <w:spacing w:before="40" w:after="40"/>
              <w:rPr>
                <w:rFonts w:cs="Arial"/>
                <w:sz w:val="20"/>
                <w:szCs w:val="20"/>
              </w:rPr>
            </w:pPr>
            <w:r w:rsidRPr="00B15FCE">
              <w:rPr>
                <w:rFonts w:cs="Arial"/>
                <w:i/>
                <w:sz w:val="20"/>
                <w:szCs w:val="20"/>
              </w:rPr>
              <w:t>Elderly 71 years &amp; above</w:t>
            </w:r>
          </w:p>
        </w:tc>
      </w:tr>
      <w:tr w:rsidR="00785714" w:rsidRPr="00B15FCE" w14:paraId="2EE85B83" w14:textId="77777777" w:rsidTr="00811A8E">
        <w:tc>
          <w:tcPr>
            <w:tcW w:w="1384" w:type="dxa"/>
            <w:gridSpan w:val="2"/>
            <w:tcBorders>
              <w:top w:val="nil"/>
              <w:bottom w:val="nil"/>
              <w:right w:val="nil"/>
            </w:tcBorders>
          </w:tcPr>
          <w:p w14:paraId="3E5B0479" w14:textId="77777777" w:rsidR="00785714" w:rsidRPr="00B15FCE" w:rsidRDefault="00785714" w:rsidP="00811A8E">
            <w:pPr>
              <w:spacing w:before="40" w:after="40"/>
              <w:rPr>
                <w:rFonts w:cs="Arial"/>
                <w:sz w:val="20"/>
                <w:szCs w:val="20"/>
              </w:rPr>
            </w:pPr>
            <w:r w:rsidRPr="00B15FCE">
              <w:rPr>
                <w:rFonts w:cs="Arial"/>
                <w:i/>
                <w:sz w:val="20"/>
                <w:szCs w:val="20"/>
              </w:rPr>
              <w:t>e.</w:t>
            </w:r>
          </w:p>
        </w:tc>
        <w:tc>
          <w:tcPr>
            <w:tcW w:w="7858" w:type="dxa"/>
            <w:gridSpan w:val="3"/>
            <w:tcBorders>
              <w:top w:val="nil"/>
              <w:left w:val="nil"/>
              <w:bottom w:val="nil"/>
            </w:tcBorders>
          </w:tcPr>
          <w:p w14:paraId="44C75A84" w14:textId="77777777" w:rsidR="00785714" w:rsidRPr="00B15FCE" w:rsidRDefault="00785714" w:rsidP="00811A8E">
            <w:pPr>
              <w:spacing w:before="40" w:after="40"/>
              <w:rPr>
                <w:rFonts w:cs="Arial"/>
                <w:sz w:val="20"/>
                <w:szCs w:val="20"/>
              </w:rPr>
            </w:pPr>
            <w:r w:rsidRPr="00B15FCE">
              <w:rPr>
                <w:rFonts w:cs="Arial"/>
                <w:i/>
                <w:sz w:val="20"/>
                <w:szCs w:val="20"/>
              </w:rPr>
              <w:t>Respondents who didn't consume meats (incl. poultry, seafoods &amp; game) or meat</w:t>
            </w:r>
            <w:r w:rsidRPr="00B15FCE">
              <w:rPr>
                <w:rFonts w:cs="Arial"/>
                <w:i/>
                <w:sz w:val="20"/>
                <w:szCs w:val="20"/>
                <w:lang w:val="en-AU"/>
              </w:rPr>
              <w:t xml:space="preserve"> </w:t>
            </w:r>
            <w:r w:rsidRPr="00B15FCE">
              <w:rPr>
                <w:rFonts w:cs="Arial"/>
                <w:i/>
                <w:sz w:val="20"/>
                <w:szCs w:val="20"/>
              </w:rPr>
              <w:t>products (e.g. fish sauce)) in the nutrition surveys as a proxy for 'vegetarians'</w:t>
            </w:r>
          </w:p>
        </w:tc>
      </w:tr>
      <w:tr w:rsidR="00785714" w:rsidRPr="00B15FCE" w14:paraId="2A32BB74" w14:textId="77777777" w:rsidTr="00811A8E">
        <w:tc>
          <w:tcPr>
            <w:tcW w:w="1384" w:type="dxa"/>
            <w:gridSpan w:val="2"/>
            <w:tcBorders>
              <w:top w:val="nil"/>
              <w:bottom w:val="nil"/>
              <w:right w:val="nil"/>
            </w:tcBorders>
          </w:tcPr>
          <w:p w14:paraId="230B7719" w14:textId="77777777" w:rsidR="00785714" w:rsidRPr="00B15FCE" w:rsidRDefault="00785714" w:rsidP="00811A8E">
            <w:pPr>
              <w:spacing w:before="40" w:after="40"/>
              <w:rPr>
                <w:rFonts w:cs="Arial"/>
                <w:sz w:val="20"/>
                <w:szCs w:val="20"/>
              </w:rPr>
            </w:pPr>
            <w:r w:rsidRPr="00B15FCE">
              <w:rPr>
                <w:rFonts w:cs="Arial"/>
                <w:i/>
                <w:sz w:val="20"/>
                <w:szCs w:val="20"/>
              </w:rPr>
              <w:t>f.</w:t>
            </w:r>
          </w:p>
        </w:tc>
        <w:tc>
          <w:tcPr>
            <w:tcW w:w="7858" w:type="dxa"/>
            <w:gridSpan w:val="3"/>
            <w:tcBorders>
              <w:top w:val="nil"/>
              <w:left w:val="nil"/>
              <w:bottom w:val="nil"/>
            </w:tcBorders>
          </w:tcPr>
          <w:p w14:paraId="09E4D101" w14:textId="77777777" w:rsidR="00785714" w:rsidRPr="00B15FCE" w:rsidRDefault="00785714" w:rsidP="00811A8E">
            <w:pPr>
              <w:spacing w:before="40" w:after="40"/>
              <w:rPr>
                <w:rFonts w:cs="Arial"/>
                <w:sz w:val="20"/>
                <w:szCs w:val="20"/>
              </w:rPr>
            </w:pPr>
            <w:r w:rsidRPr="00B15FCE">
              <w:rPr>
                <w:rFonts w:cs="Arial"/>
                <w:i/>
                <w:sz w:val="20"/>
                <w:szCs w:val="20"/>
              </w:rPr>
              <w:t>Consumers of weight management or meal replacement products</w:t>
            </w:r>
          </w:p>
        </w:tc>
      </w:tr>
      <w:tr w:rsidR="00785714" w:rsidRPr="00B15FCE" w14:paraId="5668770E" w14:textId="77777777" w:rsidTr="00811A8E">
        <w:tc>
          <w:tcPr>
            <w:tcW w:w="1384" w:type="dxa"/>
            <w:gridSpan w:val="2"/>
            <w:tcBorders>
              <w:top w:val="nil"/>
              <w:right w:val="nil"/>
            </w:tcBorders>
          </w:tcPr>
          <w:p w14:paraId="774E0B6F" w14:textId="77777777" w:rsidR="00785714" w:rsidRPr="00B15FCE" w:rsidRDefault="00785714" w:rsidP="00811A8E">
            <w:pPr>
              <w:spacing w:before="40" w:after="40"/>
              <w:rPr>
                <w:rFonts w:cs="Arial"/>
                <w:sz w:val="20"/>
                <w:szCs w:val="20"/>
              </w:rPr>
            </w:pPr>
            <w:r w:rsidRPr="00B15FCE">
              <w:rPr>
                <w:rFonts w:cs="Arial"/>
                <w:i/>
                <w:sz w:val="20"/>
                <w:szCs w:val="20"/>
              </w:rPr>
              <w:t>g.</w:t>
            </w:r>
          </w:p>
        </w:tc>
        <w:tc>
          <w:tcPr>
            <w:tcW w:w="7858" w:type="dxa"/>
            <w:gridSpan w:val="3"/>
            <w:tcBorders>
              <w:top w:val="nil"/>
              <w:left w:val="nil"/>
              <w:bottom w:val="single" w:sz="4" w:space="0" w:color="000000"/>
            </w:tcBorders>
          </w:tcPr>
          <w:p w14:paraId="0819874E" w14:textId="77777777" w:rsidR="00785714" w:rsidRPr="00B15FCE" w:rsidRDefault="00785714" w:rsidP="00811A8E">
            <w:pPr>
              <w:spacing w:before="40" w:after="40"/>
              <w:rPr>
                <w:rFonts w:cs="Arial"/>
                <w:sz w:val="20"/>
                <w:szCs w:val="20"/>
              </w:rPr>
            </w:pPr>
            <w:r w:rsidRPr="00B15FCE">
              <w:rPr>
                <w:rFonts w:cs="Arial"/>
                <w:i/>
                <w:sz w:val="20"/>
                <w:szCs w:val="20"/>
              </w:rPr>
              <w:t>Consumers of sports foods ± protein supplements (e.g. bars / powders)</w:t>
            </w:r>
          </w:p>
        </w:tc>
      </w:tr>
      <w:tr w:rsidR="00785714" w:rsidRPr="00B15FCE" w14:paraId="4C73D77D" w14:textId="77777777" w:rsidTr="00811A8E">
        <w:tc>
          <w:tcPr>
            <w:tcW w:w="1384" w:type="dxa"/>
            <w:gridSpan w:val="2"/>
            <w:tcBorders>
              <w:left w:val="nil"/>
              <w:bottom w:val="single" w:sz="4" w:space="0" w:color="000000"/>
              <w:right w:val="nil"/>
            </w:tcBorders>
          </w:tcPr>
          <w:p w14:paraId="00AC2503" w14:textId="77777777" w:rsidR="00785714" w:rsidRPr="00B15FCE" w:rsidRDefault="00785714" w:rsidP="00811A8E">
            <w:pPr>
              <w:rPr>
                <w:rFonts w:cs="Arial"/>
                <w:sz w:val="20"/>
                <w:szCs w:val="20"/>
              </w:rPr>
            </w:pPr>
          </w:p>
        </w:tc>
        <w:tc>
          <w:tcPr>
            <w:tcW w:w="3869" w:type="dxa"/>
            <w:tcBorders>
              <w:left w:val="nil"/>
              <w:bottom w:val="single" w:sz="4" w:space="0" w:color="000000"/>
              <w:right w:val="single" w:sz="18" w:space="0" w:color="000000"/>
            </w:tcBorders>
          </w:tcPr>
          <w:p w14:paraId="67149E28" w14:textId="77777777" w:rsidR="00785714" w:rsidRPr="00B15FCE" w:rsidRDefault="00785714" w:rsidP="00811A8E">
            <w:pPr>
              <w:rPr>
                <w:rFonts w:cs="Arial"/>
                <w:sz w:val="20"/>
                <w:szCs w:val="20"/>
              </w:rPr>
            </w:pPr>
          </w:p>
        </w:tc>
        <w:tc>
          <w:tcPr>
            <w:tcW w:w="1996" w:type="dxa"/>
            <w:tcBorders>
              <w:left w:val="single" w:sz="18" w:space="0" w:color="000000"/>
              <w:bottom w:val="single" w:sz="4" w:space="0" w:color="000000"/>
              <w:right w:val="nil"/>
            </w:tcBorders>
          </w:tcPr>
          <w:p w14:paraId="1D045BF8" w14:textId="77777777" w:rsidR="00785714" w:rsidRPr="00B15FCE" w:rsidRDefault="00785714" w:rsidP="00811A8E">
            <w:pPr>
              <w:rPr>
                <w:rFonts w:cs="Arial"/>
                <w:sz w:val="20"/>
                <w:szCs w:val="20"/>
              </w:rPr>
            </w:pPr>
          </w:p>
        </w:tc>
        <w:tc>
          <w:tcPr>
            <w:tcW w:w="1993" w:type="dxa"/>
            <w:tcBorders>
              <w:left w:val="nil"/>
              <w:bottom w:val="single" w:sz="4" w:space="0" w:color="000000"/>
              <w:right w:val="nil"/>
            </w:tcBorders>
          </w:tcPr>
          <w:p w14:paraId="4B490C90" w14:textId="77777777" w:rsidR="00785714" w:rsidRPr="00B15FCE" w:rsidRDefault="00785714" w:rsidP="00811A8E">
            <w:pPr>
              <w:rPr>
                <w:rFonts w:cs="Arial"/>
                <w:sz w:val="20"/>
                <w:szCs w:val="20"/>
              </w:rPr>
            </w:pPr>
          </w:p>
        </w:tc>
      </w:tr>
      <w:tr w:rsidR="00785714" w:rsidRPr="00B15FCE" w14:paraId="1C0BB109" w14:textId="77777777" w:rsidTr="00811A8E">
        <w:tc>
          <w:tcPr>
            <w:tcW w:w="9242" w:type="dxa"/>
            <w:gridSpan w:val="5"/>
            <w:tcBorders>
              <w:bottom w:val="single" w:sz="4" w:space="0" w:color="000000"/>
            </w:tcBorders>
          </w:tcPr>
          <w:p w14:paraId="131EB4D3" w14:textId="77777777" w:rsidR="00785714" w:rsidRPr="00B15FCE" w:rsidRDefault="00785714" w:rsidP="00811A8E">
            <w:pPr>
              <w:spacing w:after="120"/>
              <w:rPr>
                <w:rFonts w:cs="Arial"/>
                <w:b/>
                <w:sz w:val="20"/>
                <w:szCs w:val="20"/>
              </w:rPr>
            </w:pPr>
            <w:r w:rsidRPr="00B15FCE">
              <w:rPr>
                <w:rFonts w:cs="Arial"/>
                <w:b/>
                <w:sz w:val="20"/>
                <w:szCs w:val="20"/>
              </w:rPr>
              <w:t>5. Determine the scenarios to model</w:t>
            </w:r>
          </w:p>
        </w:tc>
      </w:tr>
      <w:tr w:rsidR="00785714" w:rsidRPr="00B15FCE" w14:paraId="6612118C" w14:textId="77777777" w:rsidTr="00811A8E">
        <w:trPr>
          <w:trHeight w:hRule="exact" w:val="142"/>
        </w:trPr>
        <w:tc>
          <w:tcPr>
            <w:tcW w:w="692" w:type="dxa"/>
            <w:tcBorders>
              <w:top w:val="single" w:sz="4" w:space="0" w:color="000000"/>
              <w:left w:val="nil"/>
              <w:bottom w:val="nil"/>
              <w:right w:val="single" w:sz="18" w:space="0" w:color="000000"/>
            </w:tcBorders>
          </w:tcPr>
          <w:p w14:paraId="07936A75" w14:textId="77777777" w:rsidR="00785714" w:rsidRPr="00B15FCE" w:rsidRDefault="00785714" w:rsidP="00811A8E">
            <w:pPr>
              <w:rPr>
                <w:rFonts w:cs="Arial"/>
                <w:sz w:val="20"/>
                <w:szCs w:val="20"/>
              </w:rPr>
            </w:pPr>
          </w:p>
        </w:tc>
        <w:tc>
          <w:tcPr>
            <w:tcW w:w="692" w:type="dxa"/>
            <w:tcBorders>
              <w:top w:val="single" w:sz="4" w:space="0" w:color="000000"/>
              <w:left w:val="single" w:sz="18" w:space="0" w:color="000000"/>
              <w:bottom w:val="nil"/>
              <w:right w:val="nil"/>
            </w:tcBorders>
          </w:tcPr>
          <w:p w14:paraId="3D67C938" w14:textId="77777777" w:rsidR="00785714" w:rsidRPr="00B15FCE" w:rsidRDefault="00785714" w:rsidP="00811A8E">
            <w:pPr>
              <w:rPr>
                <w:rFonts w:cs="Arial"/>
                <w:sz w:val="20"/>
                <w:szCs w:val="20"/>
              </w:rPr>
            </w:pPr>
          </w:p>
        </w:tc>
        <w:tc>
          <w:tcPr>
            <w:tcW w:w="7858" w:type="dxa"/>
            <w:gridSpan w:val="3"/>
            <w:tcBorders>
              <w:top w:val="single" w:sz="4" w:space="0" w:color="000000"/>
              <w:left w:val="nil"/>
              <w:bottom w:val="single" w:sz="4" w:space="0" w:color="000000"/>
              <w:right w:val="nil"/>
            </w:tcBorders>
          </w:tcPr>
          <w:p w14:paraId="519F4475" w14:textId="77777777" w:rsidR="00785714" w:rsidRPr="00B15FCE" w:rsidRDefault="00785714" w:rsidP="00811A8E">
            <w:pPr>
              <w:spacing w:after="120"/>
              <w:rPr>
                <w:rFonts w:cs="Arial"/>
                <w:b/>
                <w:bCs/>
                <w:sz w:val="20"/>
                <w:szCs w:val="20"/>
              </w:rPr>
            </w:pPr>
          </w:p>
        </w:tc>
      </w:tr>
      <w:tr w:rsidR="00785714" w:rsidRPr="00B15FCE" w14:paraId="4AE01CED" w14:textId="77777777" w:rsidTr="00811A8E">
        <w:tc>
          <w:tcPr>
            <w:tcW w:w="692" w:type="dxa"/>
            <w:tcBorders>
              <w:top w:val="nil"/>
              <w:left w:val="nil"/>
              <w:bottom w:val="nil"/>
              <w:right w:val="single" w:sz="18" w:space="0" w:color="000000"/>
            </w:tcBorders>
          </w:tcPr>
          <w:p w14:paraId="5E3807EA" w14:textId="77777777" w:rsidR="00785714" w:rsidRPr="00B15FCE" w:rsidRDefault="00785714" w:rsidP="00811A8E">
            <w:pPr>
              <w:rPr>
                <w:rFonts w:cs="Arial"/>
                <w:sz w:val="20"/>
                <w:szCs w:val="20"/>
              </w:rPr>
            </w:pPr>
          </w:p>
        </w:tc>
        <w:tc>
          <w:tcPr>
            <w:tcW w:w="692" w:type="dxa"/>
            <w:tcBorders>
              <w:top w:val="nil"/>
              <w:left w:val="single" w:sz="18" w:space="0" w:color="000000"/>
              <w:bottom w:val="single" w:sz="18" w:space="0" w:color="000000"/>
            </w:tcBorders>
          </w:tcPr>
          <w:p w14:paraId="269496F8" w14:textId="77777777" w:rsidR="00785714" w:rsidRPr="00B15FCE" w:rsidRDefault="00785714" w:rsidP="00811A8E">
            <w:pPr>
              <w:rPr>
                <w:rFonts w:cs="Arial"/>
                <w:sz w:val="20"/>
                <w:szCs w:val="20"/>
              </w:rPr>
            </w:pPr>
          </w:p>
        </w:tc>
        <w:tc>
          <w:tcPr>
            <w:tcW w:w="7858" w:type="dxa"/>
            <w:gridSpan w:val="3"/>
            <w:tcBorders>
              <w:top w:val="single" w:sz="4" w:space="0" w:color="000000"/>
              <w:bottom w:val="nil"/>
            </w:tcBorders>
          </w:tcPr>
          <w:p w14:paraId="2D705E58" w14:textId="77777777" w:rsidR="00785714" w:rsidRPr="00B15FCE" w:rsidRDefault="00785714" w:rsidP="00811A8E">
            <w:pPr>
              <w:spacing w:after="40"/>
              <w:rPr>
                <w:rFonts w:cs="Arial"/>
                <w:sz w:val="20"/>
                <w:szCs w:val="20"/>
              </w:rPr>
            </w:pPr>
            <w:r w:rsidRPr="00B15FCE">
              <w:rPr>
                <w:rFonts w:cs="Arial"/>
                <w:b/>
                <w:bCs/>
                <w:sz w:val="20"/>
                <w:szCs w:val="20"/>
              </w:rPr>
              <w:t>5a. 'Baseline'</w:t>
            </w:r>
          </w:p>
        </w:tc>
      </w:tr>
      <w:tr w:rsidR="00785714" w:rsidRPr="00B15FCE" w14:paraId="37A39EB5" w14:textId="77777777" w:rsidTr="00811A8E">
        <w:tc>
          <w:tcPr>
            <w:tcW w:w="692" w:type="dxa"/>
            <w:tcBorders>
              <w:top w:val="nil"/>
              <w:left w:val="nil"/>
              <w:bottom w:val="nil"/>
              <w:right w:val="single" w:sz="18" w:space="0" w:color="000000"/>
            </w:tcBorders>
          </w:tcPr>
          <w:p w14:paraId="12C28A77" w14:textId="77777777" w:rsidR="00785714" w:rsidRPr="00B15FCE" w:rsidRDefault="00785714" w:rsidP="00811A8E">
            <w:pPr>
              <w:rPr>
                <w:rFonts w:cs="Arial"/>
                <w:sz w:val="20"/>
                <w:szCs w:val="20"/>
              </w:rPr>
            </w:pPr>
          </w:p>
        </w:tc>
        <w:tc>
          <w:tcPr>
            <w:tcW w:w="692" w:type="dxa"/>
            <w:tcBorders>
              <w:top w:val="single" w:sz="18" w:space="0" w:color="000000"/>
              <w:left w:val="single" w:sz="18" w:space="0" w:color="000000"/>
              <w:bottom w:val="nil"/>
            </w:tcBorders>
          </w:tcPr>
          <w:p w14:paraId="4C46ACF4" w14:textId="77777777" w:rsidR="00785714" w:rsidRPr="00B15FCE" w:rsidRDefault="00785714" w:rsidP="00811A8E">
            <w:pPr>
              <w:rPr>
                <w:rFonts w:cs="Arial"/>
                <w:sz w:val="20"/>
                <w:szCs w:val="20"/>
              </w:rPr>
            </w:pPr>
          </w:p>
        </w:tc>
        <w:tc>
          <w:tcPr>
            <w:tcW w:w="7858" w:type="dxa"/>
            <w:gridSpan w:val="3"/>
            <w:tcBorders>
              <w:top w:val="nil"/>
              <w:bottom w:val="single" w:sz="4" w:space="0" w:color="000000"/>
            </w:tcBorders>
          </w:tcPr>
          <w:p w14:paraId="4E65EF8C" w14:textId="3A1490C8" w:rsidR="00785714" w:rsidRPr="00B15FCE" w:rsidRDefault="00785714" w:rsidP="00BE485E">
            <w:pPr>
              <w:rPr>
                <w:rFonts w:cs="Arial"/>
                <w:i/>
                <w:sz w:val="20"/>
                <w:szCs w:val="20"/>
              </w:rPr>
            </w:pPr>
            <w:r w:rsidRPr="00B15FCE">
              <w:rPr>
                <w:rFonts w:cs="Arial"/>
                <w:i/>
                <w:sz w:val="20"/>
                <w:szCs w:val="20"/>
              </w:rPr>
              <w:t xml:space="preserve">To assess intake of L-carnitine, including naturally-occurring sources and extension of use permissions (at the </w:t>
            </w:r>
            <w:r w:rsidR="00BE485E">
              <w:rPr>
                <w:rFonts w:cs="Arial"/>
                <w:i/>
                <w:sz w:val="20"/>
                <w:szCs w:val="20"/>
              </w:rPr>
              <w:t xml:space="preserve">current </w:t>
            </w:r>
            <w:r w:rsidR="00553CE0" w:rsidRPr="00B15FCE">
              <w:rPr>
                <w:rFonts w:cs="Arial"/>
                <w:i/>
                <w:sz w:val="20"/>
                <w:szCs w:val="20"/>
              </w:rPr>
              <w:t>maximum permitted level</w:t>
            </w:r>
            <w:r w:rsidRPr="00B15FCE">
              <w:rPr>
                <w:rFonts w:cs="Arial"/>
                <w:i/>
                <w:sz w:val="20"/>
                <w:szCs w:val="20"/>
              </w:rPr>
              <w:t xml:space="preserve">) </w:t>
            </w:r>
            <w:r w:rsidRPr="00553CE0">
              <w:rPr>
                <w:rFonts w:cs="Arial"/>
                <w:i/>
                <w:sz w:val="20"/>
                <w:szCs w:val="20"/>
              </w:rPr>
              <w:t>for sports foods</w:t>
            </w:r>
          </w:p>
        </w:tc>
      </w:tr>
      <w:tr w:rsidR="00785714" w:rsidRPr="00B15FCE" w14:paraId="61E4488E" w14:textId="77777777" w:rsidTr="00811A8E">
        <w:tc>
          <w:tcPr>
            <w:tcW w:w="692" w:type="dxa"/>
            <w:tcBorders>
              <w:top w:val="nil"/>
              <w:left w:val="nil"/>
              <w:bottom w:val="nil"/>
              <w:right w:val="single" w:sz="18" w:space="0" w:color="000000"/>
            </w:tcBorders>
          </w:tcPr>
          <w:p w14:paraId="1B0C5F39" w14:textId="77777777" w:rsidR="00785714" w:rsidRPr="00B15FCE" w:rsidRDefault="00785714" w:rsidP="00811A8E">
            <w:pPr>
              <w:rPr>
                <w:rFonts w:cs="Arial"/>
                <w:sz w:val="20"/>
                <w:szCs w:val="20"/>
              </w:rPr>
            </w:pPr>
          </w:p>
        </w:tc>
        <w:tc>
          <w:tcPr>
            <w:tcW w:w="692" w:type="dxa"/>
            <w:tcBorders>
              <w:top w:val="nil"/>
              <w:left w:val="single" w:sz="18" w:space="0" w:color="000000"/>
              <w:bottom w:val="nil"/>
              <w:right w:val="nil"/>
            </w:tcBorders>
          </w:tcPr>
          <w:p w14:paraId="44ADBC8A" w14:textId="77777777" w:rsidR="00785714" w:rsidRPr="00B15FCE" w:rsidRDefault="00785714" w:rsidP="00811A8E">
            <w:pPr>
              <w:rPr>
                <w:rFonts w:cs="Arial"/>
                <w:sz w:val="20"/>
                <w:szCs w:val="20"/>
              </w:rPr>
            </w:pPr>
          </w:p>
        </w:tc>
        <w:tc>
          <w:tcPr>
            <w:tcW w:w="7858" w:type="dxa"/>
            <w:gridSpan w:val="3"/>
            <w:tcBorders>
              <w:top w:val="single" w:sz="4" w:space="0" w:color="000000"/>
              <w:left w:val="nil"/>
              <w:bottom w:val="nil"/>
              <w:right w:val="nil"/>
            </w:tcBorders>
          </w:tcPr>
          <w:p w14:paraId="5826C1C3" w14:textId="77777777" w:rsidR="00785714" w:rsidRPr="00B15FCE" w:rsidRDefault="00785714" w:rsidP="00811A8E">
            <w:pPr>
              <w:rPr>
                <w:rFonts w:cs="Arial"/>
                <w:i/>
                <w:sz w:val="20"/>
                <w:szCs w:val="20"/>
              </w:rPr>
            </w:pPr>
          </w:p>
        </w:tc>
      </w:tr>
      <w:tr w:rsidR="00785714" w:rsidRPr="00B15FCE" w14:paraId="10258C43" w14:textId="77777777" w:rsidTr="00811A8E">
        <w:tc>
          <w:tcPr>
            <w:tcW w:w="692" w:type="dxa"/>
            <w:tcBorders>
              <w:top w:val="nil"/>
              <w:left w:val="nil"/>
              <w:bottom w:val="nil"/>
              <w:right w:val="single" w:sz="18" w:space="0" w:color="000000"/>
            </w:tcBorders>
          </w:tcPr>
          <w:p w14:paraId="0DC04CF3" w14:textId="77777777" w:rsidR="00785714" w:rsidRPr="00B15FCE" w:rsidRDefault="00785714" w:rsidP="00811A8E">
            <w:pPr>
              <w:rPr>
                <w:rFonts w:cs="Arial"/>
                <w:sz w:val="20"/>
                <w:szCs w:val="20"/>
              </w:rPr>
            </w:pPr>
          </w:p>
        </w:tc>
        <w:tc>
          <w:tcPr>
            <w:tcW w:w="692" w:type="dxa"/>
            <w:tcBorders>
              <w:top w:val="nil"/>
              <w:left w:val="single" w:sz="18" w:space="0" w:color="000000"/>
              <w:bottom w:val="single" w:sz="18" w:space="0" w:color="000000"/>
            </w:tcBorders>
          </w:tcPr>
          <w:p w14:paraId="2554C631" w14:textId="77777777" w:rsidR="00785714" w:rsidRPr="00B15FCE" w:rsidRDefault="00785714" w:rsidP="00811A8E">
            <w:pPr>
              <w:rPr>
                <w:rFonts w:cs="Arial"/>
                <w:sz w:val="20"/>
                <w:szCs w:val="20"/>
              </w:rPr>
            </w:pPr>
          </w:p>
        </w:tc>
        <w:tc>
          <w:tcPr>
            <w:tcW w:w="7858" w:type="dxa"/>
            <w:gridSpan w:val="3"/>
            <w:tcBorders>
              <w:bottom w:val="nil"/>
            </w:tcBorders>
          </w:tcPr>
          <w:p w14:paraId="40441D51" w14:textId="77777777" w:rsidR="00785714" w:rsidRPr="00B15FCE" w:rsidRDefault="00785714" w:rsidP="00811A8E">
            <w:pPr>
              <w:spacing w:after="40"/>
              <w:rPr>
                <w:rFonts w:cs="Arial"/>
                <w:b/>
                <w:sz w:val="20"/>
                <w:szCs w:val="20"/>
              </w:rPr>
            </w:pPr>
            <w:r w:rsidRPr="00B15FCE">
              <w:rPr>
                <w:rFonts w:cs="Arial"/>
                <w:b/>
                <w:sz w:val="20"/>
                <w:szCs w:val="20"/>
              </w:rPr>
              <w:t>5b. 'Sports food increase' Scenario</w:t>
            </w:r>
          </w:p>
        </w:tc>
      </w:tr>
      <w:tr w:rsidR="00785714" w:rsidRPr="00B15FCE" w14:paraId="44BF95BC" w14:textId="77777777" w:rsidTr="00811A8E">
        <w:tc>
          <w:tcPr>
            <w:tcW w:w="692" w:type="dxa"/>
            <w:tcBorders>
              <w:top w:val="nil"/>
              <w:left w:val="nil"/>
              <w:bottom w:val="nil"/>
              <w:right w:val="single" w:sz="18" w:space="0" w:color="000000"/>
            </w:tcBorders>
          </w:tcPr>
          <w:p w14:paraId="0B82A608" w14:textId="77777777" w:rsidR="00785714" w:rsidRPr="00B15FCE" w:rsidRDefault="00785714" w:rsidP="00811A8E">
            <w:pPr>
              <w:rPr>
                <w:rFonts w:cs="Arial"/>
                <w:sz w:val="20"/>
                <w:szCs w:val="20"/>
              </w:rPr>
            </w:pPr>
          </w:p>
        </w:tc>
        <w:tc>
          <w:tcPr>
            <w:tcW w:w="692" w:type="dxa"/>
            <w:tcBorders>
              <w:top w:val="single" w:sz="18" w:space="0" w:color="000000"/>
              <w:left w:val="single" w:sz="18" w:space="0" w:color="000000"/>
              <w:bottom w:val="nil"/>
            </w:tcBorders>
          </w:tcPr>
          <w:p w14:paraId="2E284385" w14:textId="77777777" w:rsidR="00785714" w:rsidRPr="00B15FCE" w:rsidRDefault="00785714" w:rsidP="00811A8E">
            <w:pPr>
              <w:rPr>
                <w:rFonts w:cs="Arial"/>
                <w:sz w:val="20"/>
                <w:szCs w:val="20"/>
              </w:rPr>
            </w:pPr>
          </w:p>
        </w:tc>
        <w:tc>
          <w:tcPr>
            <w:tcW w:w="7858" w:type="dxa"/>
            <w:gridSpan w:val="3"/>
            <w:tcBorders>
              <w:top w:val="nil"/>
            </w:tcBorders>
          </w:tcPr>
          <w:p w14:paraId="59B30B26" w14:textId="4DA93F2C" w:rsidR="00785714" w:rsidRPr="00B15FCE" w:rsidRDefault="00785714" w:rsidP="00553CE0">
            <w:pPr>
              <w:rPr>
                <w:rFonts w:cs="Arial"/>
                <w:i/>
                <w:sz w:val="20"/>
                <w:szCs w:val="20"/>
              </w:rPr>
            </w:pPr>
            <w:r w:rsidRPr="00B15FCE">
              <w:rPr>
                <w:rFonts w:cs="Arial"/>
                <w:i/>
                <w:iCs/>
                <w:sz w:val="20"/>
                <w:szCs w:val="20"/>
              </w:rPr>
              <w:t xml:space="preserve">To assess intake of L-carnitine, including naturally-occurring sources and extension of use permissions (at the </w:t>
            </w:r>
            <w:r w:rsidR="00553CE0" w:rsidRPr="00B15FCE">
              <w:rPr>
                <w:rFonts w:cs="Arial"/>
                <w:i/>
                <w:iCs/>
                <w:sz w:val="20"/>
                <w:szCs w:val="20"/>
              </w:rPr>
              <w:t xml:space="preserve">maximum </w:t>
            </w:r>
            <w:r w:rsidR="00553CE0" w:rsidRPr="00553CE0">
              <w:rPr>
                <w:rFonts w:cs="Arial"/>
                <w:b/>
                <w:i/>
                <w:iCs/>
                <w:sz w:val="20"/>
                <w:szCs w:val="20"/>
              </w:rPr>
              <w:t>requested</w:t>
            </w:r>
            <w:r w:rsidR="00553CE0" w:rsidRPr="00B15FCE">
              <w:rPr>
                <w:rFonts w:cs="Arial"/>
                <w:i/>
                <w:iCs/>
                <w:sz w:val="20"/>
                <w:szCs w:val="20"/>
              </w:rPr>
              <w:t xml:space="preserve"> level</w:t>
            </w:r>
            <w:r w:rsidRPr="00B15FCE">
              <w:rPr>
                <w:rFonts w:cs="Arial"/>
                <w:i/>
                <w:iCs/>
                <w:sz w:val="20"/>
                <w:szCs w:val="20"/>
              </w:rPr>
              <w:t xml:space="preserve">) </w:t>
            </w:r>
            <w:r w:rsidRPr="00553CE0">
              <w:rPr>
                <w:rFonts w:cs="Arial"/>
                <w:iCs/>
                <w:sz w:val="20"/>
                <w:szCs w:val="20"/>
              </w:rPr>
              <w:t>for sports foods</w:t>
            </w:r>
          </w:p>
        </w:tc>
      </w:tr>
      <w:tr w:rsidR="00785714" w:rsidRPr="00B15FCE" w14:paraId="45996504" w14:textId="77777777" w:rsidTr="00811A8E">
        <w:tc>
          <w:tcPr>
            <w:tcW w:w="692" w:type="dxa"/>
            <w:tcBorders>
              <w:top w:val="nil"/>
              <w:left w:val="nil"/>
              <w:bottom w:val="nil"/>
              <w:right w:val="single" w:sz="18" w:space="0" w:color="000000"/>
            </w:tcBorders>
          </w:tcPr>
          <w:p w14:paraId="04E01A7A" w14:textId="77777777" w:rsidR="00785714" w:rsidRPr="00B15FCE" w:rsidRDefault="00785714" w:rsidP="00811A8E">
            <w:pPr>
              <w:rPr>
                <w:rFonts w:cs="Arial"/>
                <w:sz w:val="20"/>
                <w:szCs w:val="20"/>
              </w:rPr>
            </w:pPr>
          </w:p>
        </w:tc>
        <w:tc>
          <w:tcPr>
            <w:tcW w:w="692" w:type="dxa"/>
            <w:tcBorders>
              <w:top w:val="nil"/>
              <w:left w:val="single" w:sz="18" w:space="0" w:color="000000"/>
              <w:bottom w:val="nil"/>
              <w:right w:val="nil"/>
            </w:tcBorders>
          </w:tcPr>
          <w:p w14:paraId="2464713F" w14:textId="77777777" w:rsidR="00785714" w:rsidRPr="00B15FCE" w:rsidRDefault="00785714" w:rsidP="00811A8E">
            <w:pPr>
              <w:rPr>
                <w:rFonts w:cs="Arial"/>
                <w:sz w:val="20"/>
                <w:szCs w:val="20"/>
              </w:rPr>
            </w:pPr>
          </w:p>
        </w:tc>
        <w:tc>
          <w:tcPr>
            <w:tcW w:w="7858" w:type="dxa"/>
            <w:gridSpan w:val="3"/>
            <w:tcBorders>
              <w:top w:val="nil"/>
              <w:left w:val="nil"/>
              <w:bottom w:val="nil"/>
              <w:right w:val="nil"/>
            </w:tcBorders>
          </w:tcPr>
          <w:p w14:paraId="3C5936D5" w14:textId="77777777" w:rsidR="00785714" w:rsidRPr="00B15FCE" w:rsidRDefault="00785714" w:rsidP="00811A8E">
            <w:pPr>
              <w:rPr>
                <w:rFonts w:cs="Arial"/>
                <w:i/>
                <w:sz w:val="20"/>
                <w:szCs w:val="20"/>
              </w:rPr>
            </w:pPr>
          </w:p>
        </w:tc>
      </w:tr>
      <w:tr w:rsidR="00785714" w:rsidRPr="00B15FCE" w14:paraId="0B8E0847" w14:textId="77777777" w:rsidTr="00811A8E">
        <w:tc>
          <w:tcPr>
            <w:tcW w:w="692" w:type="dxa"/>
            <w:tcBorders>
              <w:top w:val="nil"/>
              <w:left w:val="nil"/>
              <w:bottom w:val="nil"/>
              <w:right w:val="single" w:sz="18" w:space="0" w:color="000000"/>
            </w:tcBorders>
          </w:tcPr>
          <w:p w14:paraId="28C529EA" w14:textId="77777777" w:rsidR="00785714" w:rsidRPr="00B15FCE" w:rsidRDefault="00785714" w:rsidP="00811A8E">
            <w:pPr>
              <w:rPr>
                <w:rFonts w:cs="Arial"/>
                <w:sz w:val="20"/>
                <w:szCs w:val="20"/>
              </w:rPr>
            </w:pPr>
          </w:p>
        </w:tc>
        <w:tc>
          <w:tcPr>
            <w:tcW w:w="692" w:type="dxa"/>
            <w:tcBorders>
              <w:top w:val="nil"/>
              <w:left w:val="single" w:sz="18" w:space="0" w:color="000000"/>
              <w:bottom w:val="single" w:sz="18" w:space="0" w:color="000000"/>
            </w:tcBorders>
          </w:tcPr>
          <w:p w14:paraId="2EE5B938" w14:textId="77777777" w:rsidR="00785714" w:rsidRPr="00B15FCE" w:rsidRDefault="00785714" w:rsidP="00811A8E">
            <w:pPr>
              <w:rPr>
                <w:rFonts w:cs="Arial"/>
                <w:sz w:val="20"/>
                <w:szCs w:val="20"/>
              </w:rPr>
            </w:pPr>
          </w:p>
        </w:tc>
        <w:tc>
          <w:tcPr>
            <w:tcW w:w="7858" w:type="dxa"/>
            <w:gridSpan w:val="3"/>
            <w:tcBorders>
              <w:bottom w:val="nil"/>
            </w:tcBorders>
          </w:tcPr>
          <w:p w14:paraId="3DFF7090" w14:textId="77777777" w:rsidR="00785714" w:rsidRPr="00B15FCE" w:rsidRDefault="00785714" w:rsidP="00811A8E">
            <w:pPr>
              <w:spacing w:after="40"/>
              <w:rPr>
                <w:rFonts w:cs="Arial"/>
                <w:sz w:val="20"/>
                <w:szCs w:val="20"/>
              </w:rPr>
            </w:pPr>
            <w:r w:rsidRPr="00B15FCE">
              <w:rPr>
                <w:rFonts w:cs="Arial"/>
                <w:b/>
                <w:sz w:val="20"/>
                <w:szCs w:val="20"/>
              </w:rPr>
              <w:t>5c. 'Consumer behaviour' Scenario</w:t>
            </w:r>
          </w:p>
        </w:tc>
      </w:tr>
      <w:tr w:rsidR="00785714" w:rsidRPr="00B15FCE" w14:paraId="2E66F5CB" w14:textId="77777777" w:rsidTr="00811A8E">
        <w:tc>
          <w:tcPr>
            <w:tcW w:w="692" w:type="dxa"/>
            <w:tcBorders>
              <w:top w:val="nil"/>
              <w:left w:val="nil"/>
              <w:bottom w:val="nil"/>
              <w:right w:val="single" w:sz="18" w:space="0" w:color="000000"/>
            </w:tcBorders>
          </w:tcPr>
          <w:p w14:paraId="62E0359A" w14:textId="77777777" w:rsidR="00785714" w:rsidRPr="00B15FCE" w:rsidRDefault="00785714" w:rsidP="00811A8E">
            <w:pPr>
              <w:rPr>
                <w:rFonts w:cs="Arial"/>
                <w:sz w:val="20"/>
                <w:szCs w:val="20"/>
              </w:rPr>
            </w:pPr>
          </w:p>
        </w:tc>
        <w:tc>
          <w:tcPr>
            <w:tcW w:w="692" w:type="dxa"/>
            <w:tcBorders>
              <w:top w:val="single" w:sz="18" w:space="0" w:color="000000"/>
              <w:left w:val="single" w:sz="18" w:space="0" w:color="000000"/>
              <w:bottom w:val="nil"/>
            </w:tcBorders>
          </w:tcPr>
          <w:p w14:paraId="4E753C6C" w14:textId="77777777" w:rsidR="00785714" w:rsidRPr="00B15FCE" w:rsidRDefault="00785714" w:rsidP="00811A8E">
            <w:pPr>
              <w:rPr>
                <w:rFonts w:cs="Arial"/>
                <w:sz w:val="20"/>
                <w:szCs w:val="20"/>
              </w:rPr>
            </w:pPr>
          </w:p>
        </w:tc>
        <w:tc>
          <w:tcPr>
            <w:tcW w:w="7858" w:type="dxa"/>
            <w:gridSpan w:val="3"/>
            <w:tcBorders>
              <w:top w:val="nil"/>
            </w:tcBorders>
          </w:tcPr>
          <w:p w14:paraId="029BCF28" w14:textId="77777777" w:rsidR="00785714" w:rsidRPr="00B15FCE" w:rsidRDefault="00785714" w:rsidP="00811A8E">
            <w:pPr>
              <w:rPr>
                <w:rFonts w:cs="Arial"/>
                <w:sz w:val="20"/>
                <w:szCs w:val="20"/>
              </w:rPr>
            </w:pPr>
            <w:r w:rsidRPr="00B15FCE">
              <w:rPr>
                <w:rFonts w:cs="Arial"/>
                <w:i/>
                <w:iCs/>
                <w:sz w:val="20"/>
                <w:szCs w:val="20"/>
              </w:rPr>
              <w:t>To assess intake of L-carnitine, including naturally-occurring sources and extension of use permissions (at the Maximum Permitted Level) for all food categories requested.</w:t>
            </w:r>
          </w:p>
        </w:tc>
      </w:tr>
      <w:tr w:rsidR="00785714" w:rsidRPr="00B15FCE" w14:paraId="44E6826B" w14:textId="77777777" w:rsidTr="00811A8E">
        <w:tc>
          <w:tcPr>
            <w:tcW w:w="692" w:type="dxa"/>
            <w:tcBorders>
              <w:top w:val="nil"/>
              <w:left w:val="nil"/>
              <w:bottom w:val="nil"/>
              <w:right w:val="single" w:sz="18" w:space="0" w:color="000000"/>
            </w:tcBorders>
          </w:tcPr>
          <w:p w14:paraId="3EF0326F" w14:textId="77777777" w:rsidR="00785714" w:rsidRPr="00B15FCE" w:rsidRDefault="00785714" w:rsidP="00811A8E">
            <w:pPr>
              <w:rPr>
                <w:rFonts w:cs="Arial"/>
                <w:sz w:val="20"/>
                <w:szCs w:val="20"/>
              </w:rPr>
            </w:pPr>
          </w:p>
        </w:tc>
        <w:tc>
          <w:tcPr>
            <w:tcW w:w="692" w:type="dxa"/>
            <w:tcBorders>
              <w:top w:val="nil"/>
              <w:left w:val="single" w:sz="18" w:space="0" w:color="000000"/>
              <w:bottom w:val="nil"/>
              <w:right w:val="nil"/>
            </w:tcBorders>
          </w:tcPr>
          <w:p w14:paraId="1FCB93F5" w14:textId="77777777" w:rsidR="00785714" w:rsidRPr="00B15FCE" w:rsidRDefault="00785714" w:rsidP="00811A8E">
            <w:pPr>
              <w:rPr>
                <w:rFonts w:cs="Arial"/>
                <w:sz w:val="20"/>
                <w:szCs w:val="20"/>
              </w:rPr>
            </w:pPr>
          </w:p>
        </w:tc>
        <w:tc>
          <w:tcPr>
            <w:tcW w:w="7858" w:type="dxa"/>
            <w:gridSpan w:val="3"/>
            <w:tcBorders>
              <w:top w:val="nil"/>
              <w:left w:val="nil"/>
              <w:bottom w:val="nil"/>
              <w:right w:val="nil"/>
            </w:tcBorders>
          </w:tcPr>
          <w:p w14:paraId="5FF7EA5B" w14:textId="77777777" w:rsidR="00785714" w:rsidRPr="00B15FCE" w:rsidRDefault="00785714" w:rsidP="00811A8E">
            <w:pPr>
              <w:rPr>
                <w:rFonts w:cs="Arial"/>
                <w:i/>
                <w:sz w:val="20"/>
                <w:szCs w:val="20"/>
              </w:rPr>
            </w:pPr>
          </w:p>
        </w:tc>
      </w:tr>
      <w:tr w:rsidR="00785714" w:rsidRPr="00B15FCE" w14:paraId="34D7FCD1" w14:textId="77777777" w:rsidTr="00811A8E">
        <w:tc>
          <w:tcPr>
            <w:tcW w:w="692" w:type="dxa"/>
            <w:tcBorders>
              <w:top w:val="nil"/>
              <w:left w:val="nil"/>
              <w:bottom w:val="nil"/>
              <w:right w:val="single" w:sz="18" w:space="0" w:color="000000"/>
            </w:tcBorders>
          </w:tcPr>
          <w:p w14:paraId="5A262926" w14:textId="77777777" w:rsidR="00785714" w:rsidRPr="00B15FCE" w:rsidRDefault="00785714" w:rsidP="00811A8E">
            <w:pPr>
              <w:rPr>
                <w:rFonts w:cs="Arial"/>
                <w:sz w:val="20"/>
                <w:szCs w:val="20"/>
              </w:rPr>
            </w:pPr>
          </w:p>
        </w:tc>
        <w:tc>
          <w:tcPr>
            <w:tcW w:w="692" w:type="dxa"/>
            <w:tcBorders>
              <w:top w:val="nil"/>
              <w:left w:val="single" w:sz="18" w:space="0" w:color="000000"/>
              <w:bottom w:val="single" w:sz="18" w:space="0" w:color="000000"/>
            </w:tcBorders>
          </w:tcPr>
          <w:p w14:paraId="05056E53" w14:textId="77777777" w:rsidR="00785714" w:rsidRPr="00B15FCE" w:rsidRDefault="00785714" w:rsidP="00811A8E">
            <w:pPr>
              <w:rPr>
                <w:rFonts w:cs="Arial"/>
                <w:sz w:val="20"/>
                <w:szCs w:val="20"/>
              </w:rPr>
            </w:pPr>
          </w:p>
        </w:tc>
        <w:tc>
          <w:tcPr>
            <w:tcW w:w="7858" w:type="dxa"/>
            <w:gridSpan w:val="3"/>
            <w:tcBorders>
              <w:bottom w:val="nil"/>
            </w:tcBorders>
          </w:tcPr>
          <w:p w14:paraId="3C661F9F" w14:textId="77777777" w:rsidR="00785714" w:rsidRPr="00B15FCE" w:rsidRDefault="00785714" w:rsidP="00811A8E">
            <w:pPr>
              <w:spacing w:after="40"/>
              <w:rPr>
                <w:rFonts w:cs="Arial"/>
                <w:sz w:val="20"/>
                <w:szCs w:val="20"/>
              </w:rPr>
            </w:pPr>
            <w:r w:rsidRPr="00B15FCE">
              <w:rPr>
                <w:rFonts w:cs="Arial"/>
                <w:b/>
                <w:sz w:val="20"/>
                <w:szCs w:val="20"/>
              </w:rPr>
              <w:t>5d. 'Baseline (excluding sports and weight management foods)' Scenario</w:t>
            </w:r>
          </w:p>
        </w:tc>
      </w:tr>
      <w:tr w:rsidR="00785714" w:rsidRPr="00B15FCE" w14:paraId="2F16D3A6" w14:textId="77777777" w:rsidTr="00811A8E">
        <w:tc>
          <w:tcPr>
            <w:tcW w:w="692" w:type="dxa"/>
            <w:tcBorders>
              <w:top w:val="nil"/>
              <w:left w:val="nil"/>
              <w:bottom w:val="nil"/>
              <w:right w:val="single" w:sz="18" w:space="0" w:color="000000"/>
            </w:tcBorders>
          </w:tcPr>
          <w:p w14:paraId="5D0AA089" w14:textId="77777777" w:rsidR="00785714" w:rsidRPr="00B15FCE" w:rsidRDefault="00785714" w:rsidP="00811A8E">
            <w:pPr>
              <w:rPr>
                <w:rFonts w:cs="Arial"/>
                <w:sz w:val="20"/>
                <w:szCs w:val="20"/>
              </w:rPr>
            </w:pPr>
          </w:p>
        </w:tc>
        <w:tc>
          <w:tcPr>
            <w:tcW w:w="692" w:type="dxa"/>
            <w:tcBorders>
              <w:top w:val="single" w:sz="18" w:space="0" w:color="000000"/>
              <w:left w:val="single" w:sz="18" w:space="0" w:color="000000"/>
              <w:bottom w:val="nil"/>
            </w:tcBorders>
          </w:tcPr>
          <w:p w14:paraId="7BBD93F6" w14:textId="77777777" w:rsidR="00785714" w:rsidRPr="00B15FCE" w:rsidRDefault="00785714" w:rsidP="00811A8E">
            <w:pPr>
              <w:rPr>
                <w:rFonts w:cs="Arial"/>
                <w:sz w:val="20"/>
                <w:szCs w:val="20"/>
              </w:rPr>
            </w:pPr>
          </w:p>
        </w:tc>
        <w:tc>
          <w:tcPr>
            <w:tcW w:w="7858" w:type="dxa"/>
            <w:gridSpan w:val="3"/>
            <w:tcBorders>
              <w:top w:val="nil"/>
            </w:tcBorders>
          </w:tcPr>
          <w:p w14:paraId="32E24FA9" w14:textId="77777777" w:rsidR="00785714" w:rsidRPr="00B15FCE" w:rsidRDefault="00785714" w:rsidP="00811A8E">
            <w:pPr>
              <w:rPr>
                <w:rFonts w:cs="Arial"/>
                <w:sz w:val="20"/>
                <w:szCs w:val="20"/>
              </w:rPr>
            </w:pPr>
            <w:r w:rsidRPr="00B15FCE">
              <w:rPr>
                <w:rFonts w:cs="Arial"/>
                <w:i/>
                <w:iCs/>
                <w:sz w:val="20"/>
                <w:szCs w:val="20"/>
              </w:rPr>
              <w:t>To assess current intake of L-carnitine, including naturally-occurring sources and current permissions in infant formula products. Excludes contribution of sports, weight management and meal replacement food / beverages. Only used for the target group of sports food / beverage consumers.</w:t>
            </w:r>
          </w:p>
        </w:tc>
      </w:tr>
      <w:tr w:rsidR="00785714" w:rsidRPr="00B15FCE" w14:paraId="322C2DB1" w14:textId="77777777" w:rsidTr="00811A8E">
        <w:tc>
          <w:tcPr>
            <w:tcW w:w="692" w:type="dxa"/>
            <w:tcBorders>
              <w:top w:val="nil"/>
              <w:left w:val="nil"/>
              <w:bottom w:val="nil"/>
              <w:right w:val="single" w:sz="18" w:space="0" w:color="000000"/>
            </w:tcBorders>
          </w:tcPr>
          <w:p w14:paraId="19C24533" w14:textId="77777777" w:rsidR="00785714" w:rsidRPr="00B15FCE" w:rsidRDefault="00785714" w:rsidP="00811A8E">
            <w:pPr>
              <w:rPr>
                <w:rFonts w:cs="Arial"/>
                <w:sz w:val="20"/>
                <w:szCs w:val="20"/>
              </w:rPr>
            </w:pPr>
          </w:p>
        </w:tc>
        <w:tc>
          <w:tcPr>
            <w:tcW w:w="692" w:type="dxa"/>
            <w:tcBorders>
              <w:top w:val="nil"/>
              <w:left w:val="single" w:sz="18" w:space="0" w:color="000000"/>
              <w:bottom w:val="nil"/>
              <w:right w:val="nil"/>
            </w:tcBorders>
          </w:tcPr>
          <w:p w14:paraId="4CE56A5A" w14:textId="77777777" w:rsidR="00785714" w:rsidRPr="00B15FCE" w:rsidRDefault="00785714" w:rsidP="00811A8E">
            <w:pPr>
              <w:rPr>
                <w:rFonts w:cs="Arial"/>
                <w:sz w:val="20"/>
                <w:szCs w:val="20"/>
              </w:rPr>
            </w:pPr>
          </w:p>
        </w:tc>
        <w:tc>
          <w:tcPr>
            <w:tcW w:w="7858" w:type="dxa"/>
            <w:gridSpan w:val="3"/>
            <w:tcBorders>
              <w:top w:val="nil"/>
              <w:left w:val="nil"/>
              <w:bottom w:val="nil"/>
              <w:right w:val="nil"/>
            </w:tcBorders>
          </w:tcPr>
          <w:p w14:paraId="182DDAB6" w14:textId="77777777" w:rsidR="00785714" w:rsidRPr="00B15FCE" w:rsidRDefault="00785714" w:rsidP="00811A8E">
            <w:pPr>
              <w:rPr>
                <w:rFonts w:cs="Arial"/>
                <w:i/>
                <w:sz w:val="20"/>
                <w:szCs w:val="20"/>
              </w:rPr>
            </w:pPr>
          </w:p>
        </w:tc>
      </w:tr>
      <w:tr w:rsidR="00785714" w:rsidRPr="00B15FCE" w14:paraId="14859C20" w14:textId="77777777" w:rsidTr="00811A8E">
        <w:tc>
          <w:tcPr>
            <w:tcW w:w="692" w:type="dxa"/>
            <w:tcBorders>
              <w:top w:val="nil"/>
              <w:left w:val="nil"/>
              <w:bottom w:val="nil"/>
              <w:right w:val="single" w:sz="18" w:space="0" w:color="000000"/>
            </w:tcBorders>
          </w:tcPr>
          <w:p w14:paraId="63E1B445" w14:textId="77777777" w:rsidR="00785714" w:rsidRPr="00B15FCE" w:rsidRDefault="00785714" w:rsidP="00811A8E">
            <w:pPr>
              <w:rPr>
                <w:rFonts w:cs="Arial"/>
                <w:sz w:val="20"/>
                <w:szCs w:val="20"/>
              </w:rPr>
            </w:pPr>
          </w:p>
        </w:tc>
        <w:tc>
          <w:tcPr>
            <w:tcW w:w="692" w:type="dxa"/>
            <w:tcBorders>
              <w:top w:val="nil"/>
              <w:left w:val="single" w:sz="18" w:space="0" w:color="000000"/>
              <w:bottom w:val="single" w:sz="18" w:space="0" w:color="000000"/>
            </w:tcBorders>
          </w:tcPr>
          <w:p w14:paraId="64CD9427" w14:textId="77777777" w:rsidR="00785714" w:rsidRPr="00B15FCE" w:rsidRDefault="00785714" w:rsidP="00811A8E">
            <w:pPr>
              <w:rPr>
                <w:rFonts w:cs="Arial"/>
                <w:sz w:val="20"/>
                <w:szCs w:val="20"/>
              </w:rPr>
            </w:pPr>
          </w:p>
        </w:tc>
        <w:tc>
          <w:tcPr>
            <w:tcW w:w="7858" w:type="dxa"/>
            <w:gridSpan w:val="3"/>
            <w:tcBorders>
              <w:bottom w:val="nil"/>
            </w:tcBorders>
          </w:tcPr>
          <w:p w14:paraId="3DB99B3F" w14:textId="77777777" w:rsidR="00785714" w:rsidRPr="00B15FCE" w:rsidRDefault="00785714" w:rsidP="00811A8E">
            <w:pPr>
              <w:spacing w:after="40"/>
              <w:rPr>
                <w:rFonts w:cs="Arial"/>
                <w:b/>
                <w:sz w:val="20"/>
                <w:szCs w:val="20"/>
              </w:rPr>
            </w:pPr>
            <w:r w:rsidRPr="00B15FCE">
              <w:rPr>
                <w:rFonts w:cs="Arial"/>
                <w:b/>
                <w:sz w:val="20"/>
                <w:szCs w:val="20"/>
              </w:rPr>
              <w:t>5e. 'Recommended number of serves sports foods’ Scenario</w:t>
            </w:r>
          </w:p>
        </w:tc>
      </w:tr>
      <w:tr w:rsidR="00785714" w:rsidRPr="00B15FCE" w14:paraId="7A9B915B" w14:textId="77777777" w:rsidTr="00811A8E">
        <w:tc>
          <w:tcPr>
            <w:tcW w:w="692" w:type="dxa"/>
            <w:tcBorders>
              <w:top w:val="nil"/>
              <w:left w:val="nil"/>
              <w:bottom w:val="nil"/>
              <w:right w:val="nil"/>
            </w:tcBorders>
          </w:tcPr>
          <w:p w14:paraId="64C3421A" w14:textId="77777777" w:rsidR="00785714" w:rsidRPr="00B15FCE" w:rsidRDefault="00785714" w:rsidP="00811A8E">
            <w:pPr>
              <w:rPr>
                <w:rFonts w:cs="Arial"/>
                <w:sz w:val="20"/>
                <w:szCs w:val="20"/>
              </w:rPr>
            </w:pPr>
          </w:p>
        </w:tc>
        <w:tc>
          <w:tcPr>
            <w:tcW w:w="692" w:type="dxa"/>
            <w:tcBorders>
              <w:top w:val="single" w:sz="18" w:space="0" w:color="000000"/>
              <w:left w:val="nil"/>
              <w:bottom w:val="nil"/>
            </w:tcBorders>
          </w:tcPr>
          <w:p w14:paraId="31CBCE6A" w14:textId="77777777" w:rsidR="00785714" w:rsidRPr="00B15FCE" w:rsidRDefault="00785714" w:rsidP="00811A8E">
            <w:pPr>
              <w:rPr>
                <w:rFonts w:cs="Arial"/>
                <w:sz w:val="20"/>
                <w:szCs w:val="20"/>
              </w:rPr>
            </w:pPr>
          </w:p>
        </w:tc>
        <w:tc>
          <w:tcPr>
            <w:tcW w:w="7858" w:type="dxa"/>
            <w:gridSpan w:val="3"/>
            <w:tcBorders>
              <w:top w:val="nil"/>
            </w:tcBorders>
          </w:tcPr>
          <w:p w14:paraId="72BA92B8" w14:textId="77777777" w:rsidR="00785714" w:rsidRPr="00B15FCE" w:rsidRDefault="00785714" w:rsidP="00811A8E">
            <w:pPr>
              <w:rPr>
                <w:rFonts w:cs="Arial"/>
                <w:sz w:val="20"/>
                <w:szCs w:val="20"/>
              </w:rPr>
            </w:pPr>
            <w:r w:rsidRPr="00B15FCE">
              <w:rPr>
                <w:rFonts w:cs="Arial"/>
                <w:i/>
                <w:iCs/>
                <w:sz w:val="20"/>
                <w:szCs w:val="20"/>
              </w:rPr>
              <w:t>To assess intake of L-carnitine, including naturally-occurring sources and current permissions in infant formula products plus L-carnitine intakes from the recommended number of serves of sports food / beverage per day as provided by Applicant (four serves per day to achieve a total intake of 2,000 mg L-carnitine per day from sports food/ beverages). Only used for the target group of sports food / beverage consumers.</w:t>
            </w:r>
          </w:p>
        </w:tc>
      </w:tr>
    </w:tbl>
    <w:p w14:paraId="3D243B48" w14:textId="77777777" w:rsidR="00785714" w:rsidRPr="00B24DC9" w:rsidRDefault="00785714" w:rsidP="00785714">
      <w:pPr>
        <w:pStyle w:val="FSFigureTitle"/>
      </w:pPr>
      <w:bookmarkStart w:id="33" w:name="_Ref482954641"/>
      <w:bookmarkStart w:id="34" w:name="_Ref494961769"/>
      <w:r>
        <w:t xml:space="preserve">Figure </w:t>
      </w:r>
      <w:bookmarkEnd w:id="33"/>
      <w:r>
        <w:t xml:space="preserve">4: </w:t>
      </w:r>
      <w:r w:rsidRPr="00B24DC9">
        <w:t xml:space="preserve">Dietary modelling approach used for assessing </w:t>
      </w:r>
      <w:r>
        <w:t>dietary intake of L-carnitine</w:t>
      </w:r>
      <w:r w:rsidRPr="00B24DC9">
        <w:t xml:space="preserve"> for Australia and New Zealand</w:t>
      </w:r>
      <w:bookmarkEnd w:id="34"/>
    </w:p>
    <w:p w14:paraId="3203104D" w14:textId="77777777" w:rsidR="00785714" w:rsidRPr="00944CE7" w:rsidRDefault="00785714" w:rsidP="00785714">
      <w:pPr>
        <w:sectPr w:rsidR="00785714" w:rsidRPr="00944CE7" w:rsidSect="00200FB1">
          <w:footerReference w:type="default" r:id="rId28"/>
          <w:pgSz w:w="11906" w:h="16838"/>
          <w:pgMar w:top="1440" w:right="1440" w:bottom="1440" w:left="1440" w:header="709" w:footer="709" w:gutter="0"/>
          <w:cols w:space="708"/>
          <w:docGrid w:linePitch="360"/>
        </w:sectPr>
      </w:pPr>
    </w:p>
    <w:tbl>
      <w:tblPr>
        <w:tblStyle w:val="TableGrid"/>
        <w:tblW w:w="14174"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ayout w:type="fixed"/>
        <w:tblLook w:val="04A0" w:firstRow="1" w:lastRow="0" w:firstColumn="1" w:lastColumn="0" w:noHBand="0" w:noVBand="1"/>
        <w:tblDescription w:val="Table that lists the L-carnitine concentrations in foods, by food additive classification, for the baseline and all scenarios."/>
      </w:tblPr>
      <w:tblGrid>
        <w:gridCol w:w="1665"/>
        <w:gridCol w:w="3827"/>
        <w:gridCol w:w="2171"/>
        <w:gridCol w:w="2171"/>
        <w:gridCol w:w="2171"/>
        <w:gridCol w:w="2169"/>
      </w:tblGrid>
      <w:tr w:rsidR="00785714" w:rsidRPr="00596752" w14:paraId="5C858B48" w14:textId="77777777" w:rsidTr="008658C9">
        <w:trPr>
          <w:cantSplit/>
          <w:tblHeader/>
        </w:trPr>
        <w:tc>
          <w:tcPr>
            <w:tcW w:w="14174" w:type="dxa"/>
            <w:gridSpan w:val="6"/>
            <w:tcBorders>
              <w:top w:val="nil"/>
              <w:left w:val="nil"/>
              <w:right w:val="nil"/>
            </w:tcBorders>
          </w:tcPr>
          <w:p w14:paraId="049ED607" w14:textId="77777777" w:rsidR="00785714" w:rsidRPr="00596752" w:rsidRDefault="00785714" w:rsidP="00811A8E">
            <w:pPr>
              <w:pStyle w:val="FSTableTitle"/>
              <w:rPr>
                <w:b w:val="0"/>
                <w:sz w:val="20"/>
                <w:szCs w:val="20"/>
              </w:rPr>
            </w:pPr>
            <w:bookmarkStart w:id="35" w:name="_Ref482954461"/>
            <w:bookmarkStart w:id="36" w:name="_Ref406501388"/>
            <w:r w:rsidRPr="00596752">
              <w:rPr>
                <w:sz w:val="20"/>
                <w:szCs w:val="20"/>
              </w:rPr>
              <w:lastRenderedPageBreak/>
              <w:t>Table</w:t>
            </w:r>
            <w:r>
              <w:rPr>
                <w:sz w:val="20"/>
                <w:szCs w:val="20"/>
              </w:rPr>
              <w:t xml:space="preserve"> 6</w:t>
            </w:r>
            <w:bookmarkEnd w:id="35"/>
            <w:r w:rsidRPr="00596752">
              <w:rPr>
                <w:sz w:val="20"/>
                <w:szCs w:val="20"/>
              </w:rPr>
              <w:t xml:space="preserve">: L-carnitine concentrations used for the </w:t>
            </w:r>
            <w:bookmarkEnd w:id="36"/>
            <w:r w:rsidRPr="00596752">
              <w:rPr>
                <w:sz w:val="20"/>
                <w:szCs w:val="20"/>
              </w:rPr>
              <w:t>dietary intake assessment</w:t>
            </w:r>
          </w:p>
        </w:tc>
      </w:tr>
      <w:tr w:rsidR="00785714" w:rsidRPr="00596752" w14:paraId="2F591C18" w14:textId="77777777" w:rsidTr="008658C9">
        <w:trPr>
          <w:cantSplit/>
          <w:tblHeader/>
        </w:trPr>
        <w:tc>
          <w:tcPr>
            <w:tcW w:w="1665" w:type="dxa"/>
            <w:vMerge w:val="restart"/>
            <w:vAlign w:val="center"/>
          </w:tcPr>
          <w:p w14:paraId="0A3D209A" w14:textId="77777777" w:rsidR="00785714" w:rsidRPr="00596752" w:rsidRDefault="00785714" w:rsidP="00811A8E">
            <w:pPr>
              <w:spacing w:before="40" w:after="40"/>
              <w:rPr>
                <w:rFonts w:cs="Arial"/>
                <w:b/>
                <w:sz w:val="20"/>
                <w:szCs w:val="20"/>
              </w:rPr>
            </w:pPr>
            <w:r w:rsidRPr="00596752">
              <w:rPr>
                <w:rFonts w:cs="Arial"/>
                <w:b/>
                <w:sz w:val="20"/>
                <w:szCs w:val="20"/>
              </w:rPr>
              <w:t>Harvest Food Category Code</w:t>
            </w:r>
          </w:p>
        </w:tc>
        <w:tc>
          <w:tcPr>
            <w:tcW w:w="3827" w:type="dxa"/>
            <w:vMerge w:val="restart"/>
            <w:vAlign w:val="center"/>
          </w:tcPr>
          <w:p w14:paraId="66186672" w14:textId="77777777" w:rsidR="00785714" w:rsidRPr="00596752" w:rsidRDefault="00785714" w:rsidP="00811A8E">
            <w:pPr>
              <w:spacing w:before="40" w:after="40"/>
              <w:rPr>
                <w:rFonts w:cs="Arial"/>
                <w:b/>
                <w:sz w:val="20"/>
                <w:szCs w:val="20"/>
              </w:rPr>
            </w:pPr>
            <w:r w:rsidRPr="00596752">
              <w:rPr>
                <w:rFonts w:cs="Arial"/>
                <w:b/>
                <w:sz w:val="20"/>
                <w:szCs w:val="20"/>
              </w:rPr>
              <w:t>Food Category Name</w:t>
            </w:r>
          </w:p>
        </w:tc>
        <w:tc>
          <w:tcPr>
            <w:tcW w:w="8682" w:type="dxa"/>
            <w:gridSpan w:val="4"/>
          </w:tcPr>
          <w:p w14:paraId="511F0D96" w14:textId="77777777" w:rsidR="00785714" w:rsidRPr="00596752" w:rsidRDefault="00785714" w:rsidP="00811A8E">
            <w:pPr>
              <w:spacing w:before="40" w:after="40"/>
              <w:jc w:val="center"/>
              <w:rPr>
                <w:rFonts w:cs="Arial"/>
                <w:b/>
                <w:sz w:val="20"/>
                <w:szCs w:val="20"/>
              </w:rPr>
            </w:pPr>
            <w:r w:rsidRPr="00596752">
              <w:rPr>
                <w:rFonts w:cs="Arial"/>
                <w:b/>
                <w:sz w:val="20"/>
                <w:szCs w:val="20"/>
              </w:rPr>
              <w:t>Concentration used in dietary intake estimation (mg/kg)</w:t>
            </w:r>
          </w:p>
        </w:tc>
      </w:tr>
      <w:tr w:rsidR="00785714" w:rsidRPr="00596752" w14:paraId="41EBA94F" w14:textId="77777777" w:rsidTr="008658C9">
        <w:trPr>
          <w:cantSplit/>
          <w:tblHeader/>
        </w:trPr>
        <w:tc>
          <w:tcPr>
            <w:tcW w:w="1665" w:type="dxa"/>
            <w:vMerge/>
            <w:vAlign w:val="center"/>
          </w:tcPr>
          <w:p w14:paraId="08978E14" w14:textId="77777777" w:rsidR="00785714" w:rsidRPr="00596752" w:rsidRDefault="00785714" w:rsidP="00811A8E">
            <w:pPr>
              <w:spacing w:before="40" w:after="40"/>
              <w:rPr>
                <w:rFonts w:cs="Arial"/>
                <w:sz w:val="20"/>
                <w:szCs w:val="20"/>
              </w:rPr>
            </w:pPr>
          </w:p>
        </w:tc>
        <w:tc>
          <w:tcPr>
            <w:tcW w:w="3827" w:type="dxa"/>
            <w:vMerge/>
            <w:vAlign w:val="center"/>
          </w:tcPr>
          <w:p w14:paraId="39324213" w14:textId="77777777" w:rsidR="00785714" w:rsidRPr="00596752" w:rsidRDefault="00785714" w:rsidP="00811A8E">
            <w:pPr>
              <w:spacing w:before="40" w:after="40"/>
              <w:rPr>
                <w:rFonts w:cs="Arial"/>
                <w:sz w:val="20"/>
                <w:szCs w:val="20"/>
              </w:rPr>
            </w:pPr>
          </w:p>
        </w:tc>
        <w:tc>
          <w:tcPr>
            <w:tcW w:w="2171" w:type="dxa"/>
            <w:vAlign w:val="center"/>
          </w:tcPr>
          <w:p w14:paraId="581D9E34" w14:textId="77777777" w:rsidR="00785714" w:rsidRPr="00596752" w:rsidRDefault="00785714" w:rsidP="00811A8E">
            <w:pPr>
              <w:spacing w:before="40" w:after="40"/>
              <w:jc w:val="center"/>
              <w:rPr>
                <w:rFonts w:cs="Arial"/>
                <w:b/>
                <w:i/>
                <w:sz w:val="20"/>
                <w:szCs w:val="20"/>
              </w:rPr>
            </w:pPr>
            <w:r w:rsidRPr="00596752">
              <w:rPr>
                <w:rFonts w:cs="Arial"/>
                <w:b/>
                <w:i/>
                <w:sz w:val="20"/>
                <w:szCs w:val="20"/>
              </w:rPr>
              <w:t>Baseline</w:t>
            </w:r>
          </w:p>
        </w:tc>
        <w:tc>
          <w:tcPr>
            <w:tcW w:w="2171" w:type="dxa"/>
          </w:tcPr>
          <w:p w14:paraId="034B1FCA" w14:textId="77777777" w:rsidR="00785714" w:rsidRPr="00596752" w:rsidRDefault="00785714" w:rsidP="00811A8E">
            <w:pPr>
              <w:spacing w:before="40" w:after="40"/>
              <w:ind w:right="-166"/>
              <w:jc w:val="center"/>
              <w:rPr>
                <w:rFonts w:cs="Arial"/>
                <w:b/>
                <w:i/>
                <w:sz w:val="20"/>
                <w:szCs w:val="20"/>
              </w:rPr>
            </w:pPr>
            <w:r w:rsidRPr="00596752">
              <w:rPr>
                <w:rFonts w:cs="Arial"/>
                <w:b/>
                <w:i/>
                <w:sz w:val="20"/>
                <w:szCs w:val="20"/>
              </w:rPr>
              <w:t>Baseline (excluding sports and weight management foods)</w:t>
            </w:r>
            <w:r w:rsidRPr="00241A90">
              <w:rPr>
                <w:rFonts w:cs="Arial"/>
                <w:b/>
                <w:i/>
                <w:sz w:val="20"/>
                <w:szCs w:val="20"/>
                <w:vertAlign w:val="superscript"/>
              </w:rPr>
              <w:t>Ω</w:t>
            </w:r>
          </w:p>
        </w:tc>
        <w:tc>
          <w:tcPr>
            <w:tcW w:w="2171" w:type="dxa"/>
          </w:tcPr>
          <w:p w14:paraId="740F3543" w14:textId="77777777" w:rsidR="00785714" w:rsidRPr="00596752" w:rsidRDefault="00785714" w:rsidP="00811A8E">
            <w:pPr>
              <w:spacing w:before="40" w:after="40"/>
              <w:jc w:val="center"/>
              <w:rPr>
                <w:rFonts w:cs="Arial"/>
                <w:b/>
                <w:i/>
                <w:sz w:val="20"/>
                <w:szCs w:val="20"/>
              </w:rPr>
            </w:pPr>
            <w:r w:rsidRPr="00596752">
              <w:rPr>
                <w:rFonts w:cs="Arial"/>
                <w:b/>
                <w:i/>
                <w:sz w:val="20"/>
                <w:szCs w:val="20"/>
              </w:rPr>
              <w:t>Sports food increase</w:t>
            </w:r>
          </w:p>
        </w:tc>
        <w:tc>
          <w:tcPr>
            <w:tcW w:w="2169" w:type="dxa"/>
            <w:vAlign w:val="center"/>
          </w:tcPr>
          <w:p w14:paraId="067B43FB" w14:textId="77777777" w:rsidR="00785714" w:rsidRPr="00596752" w:rsidRDefault="00785714" w:rsidP="00811A8E">
            <w:pPr>
              <w:spacing w:before="40" w:after="40"/>
              <w:jc w:val="center"/>
              <w:rPr>
                <w:rFonts w:cs="Arial"/>
                <w:b/>
                <w:i/>
                <w:sz w:val="20"/>
                <w:szCs w:val="20"/>
              </w:rPr>
            </w:pPr>
            <w:r w:rsidRPr="00596752">
              <w:rPr>
                <w:rFonts w:cs="Arial"/>
                <w:b/>
                <w:i/>
                <w:sz w:val="20"/>
                <w:szCs w:val="20"/>
              </w:rPr>
              <w:t>Consumer behaviour</w:t>
            </w:r>
          </w:p>
        </w:tc>
      </w:tr>
      <w:tr w:rsidR="00785714" w:rsidRPr="00596752" w14:paraId="5A7951B9" w14:textId="77777777" w:rsidTr="008658C9">
        <w:trPr>
          <w:cantSplit/>
        </w:trPr>
        <w:tc>
          <w:tcPr>
            <w:tcW w:w="1665" w:type="dxa"/>
            <w:vAlign w:val="center"/>
          </w:tcPr>
          <w:p w14:paraId="08CB0D3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w:t>
            </w:r>
          </w:p>
        </w:tc>
        <w:tc>
          <w:tcPr>
            <w:tcW w:w="3827" w:type="dxa"/>
            <w:vAlign w:val="center"/>
          </w:tcPr>
          <w:p w14:paraId="70C70F2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Plain milk</w:t>
            </w:r>
          </w:p>
        </w:tc>
        <w:tc>
          <w:tcPr>
            <w:tcW w:w="2171" w:type="dxa"/>
            <w:vAlign w:val="center"/>
          </w:tcPr>
          <w:p w14:paraId="1F9D6E5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759FB0E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0A53C82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4B320F1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127769DB" w14:textId="77777777" w:rsidTr="008658C9">
        <w:trPr>
          <w:cantSplit/>
        </w:trPr>
        <w:tc>
          <w:tcPr>
            <w:tcW w:w="1665" w:type="dxa"/>
            <w:vAlign w:val="center"/>
          </w:tcPr>
          <w:p w14:paraId="7B410FC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1.1.2</w:t>
            </w:r>
          </w:p>
        </w:tc>
        <w:tc>
          <w:tcPr>
            <w:tcW w:w="3827" w:type="dxa"/>
            <w:vAlign w:val="center"/>
          </w:tcPr>
          <w:p w14:paraId="0A0742E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Liquid milk products &amp; flavoured liquid milk</w:t>
            </w:r>
          </w:p>
        </w:tc>
        <w:tc>
          <w:tcPr>
            <w:tcW w:w="2171" w:type="dxa"/>
            <w:vAlign w:val="center"/>
          </w:tcPr>
          <w:p w14:paraId="539D4F5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54F9666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7EDAD7F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2C9CB27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1,000</w:t>
            </w:r>
          </w:p>
        </w:tc>
      </w:tr>
      <w:tr w:rsidR="00785714" w:rsidRPr="00596752" w14:paraId="4AEE58A8" w14:textId="77777777" w:rsidTr="008658C9">
        <w:trPr>
          <w:cantSplit/>
        </w:trPr>
        <w:tc>
          <w:tcPr>
            <w:tcW w:w="1665" w:type="dxa"/>
            <w:vAlign w:val="center"/>
          </w:tcPr>
          <w:p w14:paraId="0A24BC3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1.2.1</w:t>
            </w:r>
          </w:p>
        </w:tc>
        <w:tc>
          <w:tcPr>
            <w:tcW w:w="3827" w:type="dxa"/>
            <w:vAlign w:val="center"/>
          </w:tcPr>
          <w:p w14:paraId="3E566D8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Fermented &amp; rennetted milk, unflavoured</w:t>
            </w:r>
          </w:p>
        </w:tc>
        <w:tc>
          <w:tcPr>
            <w:tcW w:w="2171" w:type="dxa"/>
            <w:vAlign w:val="center"/>
          </w:tcPr>
          <w:p w14:paraId="14B4366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6096B70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10F92DB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425B7D9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1,666</w:t>
            </w:r>
          </w:p>
        </w:tc>
      </w:tr>
      <w:tr w:rsidR="00785714" w:rsidRPr="00596752" w14:paraId="765015D7" w14:textId="77777777" w:rsidTr="008658C9">
        <w:trPr>
          <w:cantSplit/>
        </w:trPr>
        <w:tc>
          <w:tcPr>
            <w:tcW w:w="1665" w:type="dxa"/>
            <w:vAlign w:val="center"/>
          </w:tcPr>
          <w:p w14:paraId="34CC0B7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1.2.2</w:t>
            </w:r>
          </w:p>
        </w:tc>
        <w:tc>
          <w:tcPr>
            <w:tcW w:w="3827" w:type="dxa"/>
            <w:vAlign w:val="center"/>
          </w:tcPr>
          <w:p w14:paraId="12E06CF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Fermented &amp; rennetted milk prod, flavoured</w:t>
            </w:r>
          </w:p>
        </w:tc>
        <w:tc>
          <w:tcPr>
            <w:tcW w:w="2171" w:type="dxa"/>
            <w:vAlign w:val="center"/>
          </w:tcPr>
          <w:p w14:paraId="46C0CA9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6D29100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5B5871B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6B1095C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1,666</w:t>
            </w:r>
          </w:p>
        </w:tc>
      </w:tr>
      <w:tr w:rsidR="00785714" w:rsidRPr="00596752" w14:paraId="75856F6F" w14:textId="77777777" w:rsidTr="008658C9">
        <w:trPr>
          <w:cantSplit/>
        </w:trPr>
        <w:tc>
          <w:tcPr>
            <w:tcW w:w="1665" w:type="dxa"/>
            <w:vAlign w:val="center"/>
          </w:tcPr>
          <w:p w14:paraId="7962CBD1"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w:t>
            </w:r>
          </w:p>
        </w:tc>
        <w:tc>
          <w:tcPr>
            <w:tcW w:w="3827" w:type="dxa"/>
            <w:vAlign w:val="center"/>
          </w:tcPr>
          <w:p w14:paraId="5E3214B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Condensed milk &amp; evaporated milk</w:t>
            </w:r>
          </w:p>
        </w:tc>
        <w:tc>
          <w:tcPr>
            <w:tcW w:w="2171" w:type="dxa"/>
            <w:vAlign w:val="center"/>
          </w:tcPr>
          <w:p w14:paraId="4251EA8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90</w:t>
            </w:r>
          </w:p>
        </w:tc>
        <w:tc>
          <w:tcPr>
            <w:tcW w:w="2171" w:type="dxa"/>
            <w:vAlign w:val="center"/>
          </w:tcPr>
          <w:p w14:paraId="5B9F176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90</w:t>
            </w:r>
          </w:p>
        </w:tc>
        <w:tc>
          <w:tcPr>
            <w:tcW w:w="2171" w:type="dxa"/>
            <w:vAlign w:val="center"/>
          </w:tcPr>
          <w:p w14:paraId="0151CCD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90</w:t>
            </w:r>
          </w:p>
        </w:tc>
        <w:tc>
          <w:tcPr>
            <w:tcW w:w="2169" w:type="dxa"/>
            <w:vAlign w:val="center"/>
          </w:tcPr>
          <w:p w14:paraId="3A2D438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90</w:t>
            </w:r>
          </w:p>
        </w:tc>
      </w:tr>
      <w:tr w:rsidR="00785714" w:rsidRPr="00596752" w14:paraId="08995D86" w14:textId="77777777" w:rsidTr="008658C9">
        <w:trPr>
          <w:cantSplit/>
        </w:trPr>
        <w:tc>
          <w:tcPr>
            <w:tcW w:w="1665" w:type="dxa"/>
            <w:vAlign w:val="center"/>
          </w:tcPr>
          <w:p w14:paraId="1B10DA41"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w:t>
            </w:r>
          </w:p>
        </w:tc>
        <w:tc>
          <w:tcPr>
            <w:tcW w:w="3827" w:type="dxa"/>
            <w:vAlign w:val="center"/>
          </w:tcPr>
          <w:p w14:paraId="7091BCD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Cream &amp; cream products</w:t>
            </w:r>
          </w:p>
        </w:tc>
        <w:tc>
          <w:tcPr>
            <w:tcW w:w="2171" w:type="dxa"/>
            <w:vAlign w:val="center"/>
          </w:tcPr>
          <w:p w14:paraId="22074E8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32</w:t>
            </w:r>
          </w:p>
        </w:tc>
        <w:tc>
          <w:tcPr>
            <w:tcW w:w="2171" w:type="dxa"/>
            <w:vAlign w:val="center"/>
          </w:tcPr>
          <w:p w14:paraId="0D5CDF7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32</w:t>
            </w:r>
          </w:p>
        </w:tc>
        <w:tc>
          <w:tcPr>
            <w:tcW w:w="2171" w:type="dxa"/>
            <w:vAlign w:val="center"/>
          </w:tcPr>
          <w:p w14:paraId="3EF5E88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32</w:t>
            </w:r>
          </w:p>
        </w:tc>
        <w:tc>
          <w:tcPr>
            <w:tcW w:w="2169" w:type="dxa"/>
            <w:vAlign w:val="center"/>
          </w:tcPr>
          <w:p w14:paraId="7AE6F03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32</w:t>
            </w:r>
          </w:p>
        </w:tc>
      </w:tr>
      <w:tr w:rsidR="00785714" w:rsidRPr="00596752" w14:paraId="668A53D3" w14:textId="77777777" w:rsidTr="008658C9">
        <w:trPr>
          <w:cantSplit/>
        </w:trPr>
        <w:tc>
          <w:tcPr>
            <w:tcW w:w="1665" w:type="dxa"/>
            <w:vAlign w:val="center"/>
          </w:tcPr>
          <w:p w14:paraId="7EA5895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1.5.1</w:t>
            </w:r>
          </w:p>
        </w:tc>
        <w:tc>
          <w:tcPr>
            <w:tcW w:w="3827" w:type="dxa"/>
            <w:vAlign w:val="center"/>
          </w:tcPr>
          <w:p w14:paraId="2F938AA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Dried milk, milk powder</w:t>
            </w:r>
          </w:p>
        </w:tc>
        <w:tc>
          <w:tcPr>
            <w:tcW w:w="2171" w:type="dxa"/>
            <w:vAlign w:val="center"/>
          </w:tcPr>
          <w:p w14:paraId="4A3B08C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55CD7C0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471C3DC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217A292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6E217BCA" w14:textId="77777777" w:rsidTr="008658C9">
        <w:trPr>
          <w:cantSplit/>
        </w:trPr>
        <w:tc>
          <w:tcPr>
            <w:tcW w:w="1665" w:type="dxa"/>
            <w:vAlign w:val="center"/>
          </w:tcPr>
          <w:p w14:paraId="63BEB37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1.5.2</w:t>
            </w:r>
          </w:p>
        </w:tc>
        <w:tc>
          <w:tcPr>
            <w:tcW w:w="3827" w:type="dxa"/>
            <w:vAlign w:val="center"/>
          </w:tcPr>
          <w:p w14:paraId="25F8F3E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Dried cream powder</w:t>
            </w:r>
          </w:p>
        </w:tc>
        <w:tc>
          <w:tcPr>
            <w:tcW w:w="2171" w:type="dxa"/>
            <w:vAlign w:val="center"/>
          </w:tcPr>
          <w:p w14:paraId="5AB23D9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32</w:t>
            </w:r>
          </w:p>
        </w:tc>
        <w:tc>
          <w:tcPr>
            <w:tcW w:w="2171" w:type="dxa"/>
            <w:vAlign w:val="center"/>
          </w:tcPr>
          <w:p w14:paraId="02F26F3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32</w:t>
            </w:r>
          </w:p>
        </w:tc>
        <w:tc>
          <w:tcPr>
            <w:tcW w:w="2171" w:type="dxa"/>
            <w:vAlign w:val="center"/>
          </w:tcPr>
          <w:p w14:paraId="29A0D61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32</w:t>
            </w:r>
          </w:p>
        </w:tc>
        <w:tc>
          <w:tcPr>
            <w:tcW w:w="2169" w:type="dxa"/>
            <w:vAlign w:val="center"/>
          </w:tcPr>
          <w:p w14:paraId="1A41ECA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32</w:t>
            </w:r>
          </w:p>
        </w:tc>
      </w:tr>
      <w:tr w:rsidR="00785714" w:rsidRPr="00596752" w14:paraId="4775009F" w14:textId="77777777" w:rsidTr="008658C9">
        <w:trPr>
          <w:cantSplit/>
        </w:trPr>
        <w:tc>
          <w:tcPr>
            <w:tcW w:w="1665" w:type="dxa"/>
            <w:vAlign w:val="center"/>
          </w:tcPr>
          <w:p w14:paraId="1596F78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1.5.3</w:t>
            </w:r>
          </w:p>
        </w:tc>
        <w:tc>
          <w:tcPr>
            <w:tcW w:w="3827" w:type="dxa"/>
            <w:vAlign w:val="center"/>
          </w:tcPr>
          <w:p w14:paraId="5BA20B4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Dried yoghurt powder</w:t>
            </w:r>
          </w:p>
        </w:tc>
        <w:tc>
          <w:tcPr>
            <w:tcW w:w="2171" w:type="dxa"/>
            <w:vAlign w:val="center"/>
          </w:tcPr>
          <w:p w14:paraId="7297361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2E043E3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73D3C70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1E874BD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5A87390F" w14:textId="77777777" w:rsidTr="008658C9">
        <w:trPr>
          <w:cantSplit/>
        </w:trPr>
        <w:tc>
          <w:tcPr>
            <w:tcW w:w="1665" w:type="dxa"/>
            <w:vAlign w:val="center"/>
          </w:tcPr>
          <w:p w14:paraId="6EA5B03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1.6</w:t>
            </w:r>
          </w:p>
        </w:tc>
        <w:tc>
          <w:tcPr>
            <w:tcW w:w="3827" w:type="dxa"/>
            <w:vAlign w:val="center"/>
          </w:tcPr>
          <w:p w14:paraId="65665A1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Cheese &amp; cheese products</w:t>
            </w:r>
          </w:p>
        </w:tc>
        <w:tc>
          <w:tcPr>
            <w:tcW w:w="2171" w:type="dxa"/>
            <w:vAlign w:val="center"/>
          </w:tcPr>
          <w:p w14:paraId="229B070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33</w:t>
            </w:r>
          </w:p>
        </w:tc>
        <w:tc>
          <w:tcPr>
            <w:tcW w:w="2171" w:type="dxa"/>
            <w:vAlign w:val="center"/>
          </w:tcPr>
          <w:p w14:paraId="3069C69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33</w:t>
            </w:r>
          </w:p>
        </w:tc>
        <w:tc>
          <w:tcPr>
            <w:tcW w:w="2171" w:type="dxa"/>
            <w:vAlign w:val="center"/>
          </w:tcPr>
          <w:p w14:paraId="64F3DB3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33</w:t>
            </w:r>
          </w:p>
        </w:tc>
        <w:tc>
          <w:tcPr>
            <w:tcW w:w="2169" w:type="dxa"/>
            <w:vAlign w:val="center"/>
          </w:tcPr>
          <w:p w14:paraId="7A2E3A8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33</w:t>
            </w:r>
          </w:p>
        </w:tc>
      </w:tr>
      <w:tr w:rsidR="00785714" w:rsidRPr="00596752" w14:paraId="44D5E22B" w14:textId="77777777" w:rsidTr="008658C9">
        <w:trPr>
          <w:cantSplit/>
        </w:trPr>
        <w:tc>
          <w:tcPr>
            <w:tcW w:w="1665" w:type="dxa"/>
            <w:vAlign w:val="center"/>
          </w:tcPr>
          <w:p w14:paraId="10A4D85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2.2</w:t>
            </w:r>
          </w:p>
        </w:tc>
        <w:tc>
          <w:tcPr>
            <w:tcW w:w="3827" w:type="dxa"/>
            <w:vAlign w:val="center"/>
          </w:tcPr>
          <w:p w14:paraId="1F0BED3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Oil emulsions (water in oil) (excluding butter; butter products; and oil emulsions (&lt;80% oil), dairy blends))</w:t>
            </w:r>
          </w:p>
        </w:tc>
        <w:tc>
          <w:tcPr>
            <w:tcW w:w="2171" w:type="dxa"/>
            <w:vAlign w:val="center"/>
          </w:tcPr>
          <w:p w14:paraId="2798945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0.5</w:t>
            </w:r>
          </w:p>
        </w:tc>
        <w:tc>
          <w:tcPr>
            <w:tcW w:w="2171" w:type="dxa"/>
            <w:vAlign w:val="center"/>
          </w:tcPr>
          <w:p w14:paraId="237F0E3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0.5</w:t>
            </w:r>
          </w:p>
        </w:tc>
        <w:tc>
          <w:tcPr>
            <w:tcW w:w="2171" w:type="dxa"/>
            <w:vAlign w:val="center"/>
          </w:tcPr>
          <w:p w14:paraId="5C513A8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0.5</w:t>
            </w:r>
          </w:p>
        </w:tc>
        <w:tc>
          <w:tcPr>
            <w:tcW w:w="2169" w:type="dxa"/>
            <w:vAlign w:val="center"/>
          </w:tcPr>
          <w:p w14:paraId="33404CF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0.5</w:t>
            </w:r>
          </w:p>
        </w:tc>
      </w:tr>
      <w:tr w:rsidR="00785714" w:rsidRPr="00596752" w14:paraId="4AB896ED" w14:textId="77777777" w:rsidTr="008658C9">
        <w:trPr>
          <w:cantSplit/>
        </w:trPr>
        <w:tc>
          <w:tcPr>
            <w:tcW w:w="1665" w:type="dxa"/>
            <w:vAlign w:val="center"/>
          </w:tcPr>
          <w:p w14:paraId="5C52732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2.2.1.1</w:t>
            </w:r>
          </w:p>
        </w:tc>
        <w:tc>
          <w:tcPr>
            <w:tcW w:w="3827" w:type="dxa"/>
            <w:vAlign w:val="center"/>
          </w:tcPr>
          <w:p w14:paraId="621939D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Butter</w:t>
            </w:r>
          </w:p>
        </w:tc>
        <w:tc>
          <w:tcPr>
            <w:tcW w:w="2171" w:type="dxa"/>
            <w:vAlign w:val="center"/>
          </w:tcPr>
          <w:p w14:paraId="7CCE068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c>
          <w:tcPr>
            <w:tcW w:w="2171" w:type="dxa"/>
            <w:vAlign w:val="center"/>
          </w:tcPr>
          <w:p w14:paraId="06DCBC0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71" w:type="dxa"/>
            <w:vAlign w:val="center"/>
          </w:tcPr>
          <w:p w14:paraId="5D2592A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69" w:type="dxa"/>
            <w:vAlign w:val="center"/>
          </w:tcPr>
          <w:p w14:paraId="05773F0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r>
      <w:tr w:rsidR="00785714" w:rsidRPr="00596752" w14:paraId="7AE238F3" w14:textId="77777777" w:rsidTr="008658C9">
        <w:trPr>
          <w:cantSplit/>
        </w:trPr>
        <w:tc>
          <w:tcPr>
            <w:tcW w:w="1665" w:type="dxa"/>
            <w:vAlign w:val="center"/>
          </w:tcPr>
          <w:p w14:paraId="2682D73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2.2.1.2</w:t>
            </w:r>
          </w:p>
        </w:tc>
        <w:tc>
          <w:tcPr>
            <w:tcW w:w="3827" w:type="dxa"/>
            <w:vAlign w:val="center"/>
          </w:tcPr>
          <w:p w14:paraId="0487400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Butter products</w:t>
            </w:r>
          </w:p>
        </w:tc>
        <w:tc>
          <w:tcPr>
            <w:tcW w:w="2171" w:type="dxa"/>
            <w:vAlign w:val="center"/>
          </w:tcPr>
          <w:p w14:paraId="53AF5D3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c>
          <w:tcPr>
            <w:tcW w:w="2171" w:type="dxa"/>
            <w:vAlign w:val="center"/>
          </w:tcPr>
          <w:p w14:paraId="09974A8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71" w:type="dxa"/>
            <w:vAlign w:val="center"/>
          </w:tcPr>
          <w:p w14:paraId="0C126D6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69" w:type="dxa"/>
            <w:vAlign w:val="center"/>
          </w:tcPr>
          <w:p w14:paraId="39FB5B1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r>
      <w:tr w:rsidR="00785714" w:rsidRPr="00596752" w14:paraId="2D10A78F" w14:textId="77777777" w:rsidTr="008658C9">
        <w:trPr>
          <w:cantSplit/>
        </w:trPr>
        <w:tc>
          <w:tcPr>
            <w:tcW w:w="1665" w:type="dxa"/>
            <w:vAlign w:val="center"/>
          </w:tcPr>
          <w:p w14:paraId="53AFB9F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2.2.2.2</w:t>
            </w:r>
          </w:p>
        </w:tc>
        <w:tc>
          <w:tcPr>
            <w:tcW w:w="3827" w:type="dxa"/>
            <w:vAlign w:val="center"/>
          </w:tcPr>
          <w:p w14:paraId="177D092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Oil emulsions (&lt;80% oil), dairy blends</w:t>
            </w:r>
          </w:p>
        </w:tc>
        <w:tc>
          <w:tcPr>
            <w:tcW w:w="2171" w:type="dxa"/>
            <w:vAlign w:val="center"/>
          </w:tcPr>
          <w:p w14:paraId="32D5C6C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c>
          <w:tcPr>
            <w:tcW w:w="2171" w:type="dxa"/>
            <w:vAlign w:val="center"/>
          </w:tcPr>
          <w:p w14:paraId="4E37D2C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71" w:type="dxa"/>
            <w:vAlign w:val="center"/>
          </w:tcPr>
          <w:p w14:paraId="4E9DFA4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69" w:type="dxa"/>
            <w:vAlign w:val="center"/>
          </w:tcPr>
          <w:p w14:paraId="1D9660E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r>
      <w:tr w:rsidR="00785714" w:rsidRPr="00596752" w14:paraId="5BD45029" w14:textId="77777777" w:rsidTr="008658C9">
        <w:trPr>
          <w:cantSplit/>
        </w:trPr>
        <w:tc>
          <w:tcPr>
            <w:tcW w:w="1665" w:type="dxa"/>
            <w:vAlign w:val="center"/>
          </w:tcPr>
          <w:p w14:paraId="72F8D56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3.1.1.2</w:t>
            </w:r>
          </w:p>
        </w:tc>
        <w:tc>
          <w:tcPr>
            <w:tcW w:w="3827" w:type="dxa"/>
            <w:vAlign w:val="center"/>
          </w:tcPr>
          <w:p w14:paraId="4F2033C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Ice confection, sold liquid at room temp, dairy</w:t>
            </w:r>
          </w:p>
        </w:tc>
        <w:tc>
          <w:tcPr>
            <w:tcW w:w="2171" w:type="dxa"/>
            <w:vAlign w:val="center"/>
          </w:tcPr>
          <w:p w14:paraId="216E2A7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1A60B9C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0BC4D6C0"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196F3F1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017A880C" w14:textId="77777777" w:rsidTr="008658C9">
        <w:trPr>
          <w:cantSplit/>
        </w:trPr>
        <w:tc>
          <w:tcPr>
            <w:tcW w:w="1665" w:type="dxa"/>
            <w:vAlign w:val="center"/>
          </w:tcPr>
          <w:p w14:paraId="7B1429E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3.2</w:t>
            </w:r>
          </w:p>
        </w:tc>
        <w:tc>
          <w:tcPr>
            <w:tcW w:w="3827" w:type="dxa"/>
            <w:vAlign w:val="center"/>
          </w:tcPr>
          <w:p w14:paraId="4F99850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Ice cream</w:t>
            </w:r>
          </w:p>
        </w:tc>
        <w:tc>
          <w:tcPr>
            <w:tcW w:w="2171" w:type="dxa"/>
            <w:vAlign w:val="center"/>
          </w:tcPr>
          <w:p w14:paraId="4F9110D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0B40FEC0"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5779C70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75D4D84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3D99AD20" w14:textId="77777777" w:rsidTr="008658C9">
        <w:trPr>
          <w:cantSplit/>
        </w:trPr>
        <w:tc>
          <w:tcPr>
            <w:tcW w:w="1665" w:type="dxa"/>
            <w:vAlign w:val="center"/>
          </w:tcPr>
          <w:p w14:paraId="54C1DCE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w:t>
            </w:r>
          </w:p>
        </w:tc>
        <w:tc>
          <w:tcPr>
            <w:tcW w:w="3827" w:type="dxa"/>
            <w:vAlign w:val="center"/>
          </w:tcPr>
          <w:p w14:paraId="2C44214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Fruit &amp; vegetables (including fungi/ nuts/ seeds/ herbs/ spices) (excluding category 4 foods listed below)</w:t>
            </w:r>
          </w:p>
        </w:tc>
        <w:tc>
          <w:tcPr>
            <w:tcW w:w="2171" w:type="dxa"/>
            <w:vAlign w:val="center"/>
          </w:tcPr>
          <w:p w14:paraId="4CBE395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2.9</w:t>
            </w:r>
          </w:p>
        </w:tc>
        <w:tc>
          <w:tcPr>
            <w:tcW w:w="2171" w:type="dxa"/>
            <w:vAlign w:val="center"/>
          </w:tcPr>
          <w:p w14:paraId="38AA016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2.9</w:t>
            </w:r>
          </w:p>
        </w:tc>
        <w:tc>
          <w:tcPr>
            <w:tcW w:w="2171" w:type="dxa"/>
            <w:vAlign w:val="center"/>
          </w:tcPr>
          <w:p w14:paraId="6D0423C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2.9</w:t>
            </w:r>
          </w:p>
        </w:tc>
        <w:tc>
          <w:tcPr>
            <w:tcW w:w="2169" w:type="dxa"/>
            <w:vAlign w:val="center"/>
          </w:tcPr>
          <w:p w14:paraId="52DE84C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2.9</w:t>
            </w:r>
          </w:p>
        </w:tc>
      </w:tr>
      <w:tr w:rsidR="00785714" w:rsidRPr="00596752" w14:paraId="284B688B" w14:textId="77777777" w:rsidTr="008658C9">
        <w:trPr>
          <w:cantSplit/>
        </w:trPr>
        <w:tc>
          <w:tcPr>
            <w:tcW w:w="1665" w:type="dxa"/>
            <w:vAlign w:val="center"/>
          </w:tcPr>
          <w:p w14:paraId="4B9379B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lastRenderedPageBreak/>
              <w:t>4.1.0.1</w:t>
            </w:r>
          </w:p>
        </w:tc>
        <w:tc>
          <w:tcPr>
            <w:tcW w:w="3827" w:type="dxa"/>
            <w:vAlign w:val="center"/>
          </w:tcPr>
          <w:p w14:paraId="73B2550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Grapes packed with permeable envelopes</w:t>
            </w:r>
          </w:p>
        </w:tc>
        <w:tc>
          <w:tcPr>
            <w:tcW w:w="2171" w:type="dxa"/>
            <w:vAlign w:val="center"/>
          </w:tcPr>
          <w:p w14:paraId="1B75A433"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1.6</w:t>
            </w:r>
          </w:p>
        </w:tc>
        <w:tc>
          <w:tcPr>
            <w:tcW w:w="2171" w:type="dxa"/>
            <w:vAlign w:val="center"/>
          </w:tcPr>
          <w:p w14:paraId="0B28EF4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71" w:type="dxa"/>
            <w:vAlign w:val="center"/>
          </w:tcPr>
          <w:p w14:paraId="3C712E5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69" w:type="dxa"/>
            <w:vAlign w:val="center"/>
          </w:tcPr>
          <w:p w14:paraId="5D0BC9D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w:t>
            </w:r>
          </w:p>
        </w:tc>
      </w:tr>
      <w:tr w:rsidR="00785714" w:rsidRPr="00596752" w14:paraId="6A20E520" w14:textId="77777777" w:rsidTr="008658C9">
        <w:trPr>
          <w:cantSplit/>
        </w:trPr>
        <w:tc>
          <w:tcPr>
            <w:tcW w:w="1665" w:type="dxa"/>
            <w:vAlign w:val="center"/>
          </w:tcPr>
          <w:p w14:paraId="6FF666B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4.1.0.2</w:t>
            </w:r>
          </w:p>
        </w:tc>
        <w:tc>
          <w:tcPr>
            <w:tcW w:w="3827" w:type="dxa"/>
            <w:vAlign w:val="center"/>
          </w:tcPr>
          <w:p w14:paraId="5AD0ADD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Longans</w:t>
            </w:r>
          </w:p>
        </w:tc>
        <w:tc>
          <w:tcPr>
            <w:tcW w:w="2171" w:type="dxa"/>
            <w:vAlign w:val="center"/>
          </w:tcPr>
          <w:p w14:paraId="12A8EB4B"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1.6</w:t>
            </w:r>
          </w:p>
        </w:tc>
        <w:tc>
          <w:tcPr>
            <w:tcW w:w="2171" w:type="dxa"/>
            <w:vAlign w:val="center"/>
          </w:tcPr>
          <w:p w14:paraId="755750D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71" w:type="dxa"/>
            <w:vAlign w:val="center"/>
          </w:tcPr>
          <w:p w14:paraId="31C55BF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69" w:type="dxa"/>
            <w:vAlign w:val="center"/>
          </w:tcPr>
          <w:p w14:paraId="7B64EE8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w:t>
            </w:r>
          </w:p>
        </w:tc>
      </w:tr>
      <w:tr w:rsidR="00785714" w:rsidRPr="00596752" w14:paraId="5756B5C1" w14:textId="77777777" w:rsidTr="008658C9">
        <w:trPr>
          <w:cantSplit/>
        </w:trPr>
        <w:tc>
          <w:tcPr>
            <w:tcW w:w="1665" w:type="dxa"/>
            <w:vAlign w:val="center"/>
          </w:tcPr>
          <w:p w14:paraId="0B02DC2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4.1.1.1</w:t>
            </w:r>
          </w:p>
        </w:tc>
        <w:tc>
          <w:tcPr>
            <w:tcW w:w="3827" w:type="dxa"/>
            <w:vAlign w:val="center"/>
          </w:tcPr>
          <w:p w14:paraId="07C4DB1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Untreated fruits &amp; vegetables, fungi</w:t>
            </w:r>
          </w:p>
        </w:tc>
        <w:tc>
          <w:tcPr>
            <w:tcW w:w="2171" w:type="dxa"/>
            <w:vAlign w:val="center"/>
          </w:tcPr>
          <w:p w14:paraId="26153B00"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30</w:t>
            </w:r>
          </w:p>
        </w:tc>
        <w:tc>
          <w:tcPr>
            <w:tcW w:w="2171" w:type="dxa"/>
            <w:vAlign w:val="center"/>
          </w:tcPr>
          <w:p w14:paraId="1785335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30</w:t>
            </w:r>
          </w:p>
        </w:tc>
        <w:tc>
          <w:tcPr>
            <w:tcW w:w="2171" w:type="dxa"/>
            <w:vAlign w:val="center"/>
          </w:tcPr>
          <w:p w14:paraId="6C0F36E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30</w:t>
            </w:r>
          </w:p>
        </w:tc>
        <w:tc>
          <w:tcPr>
            <w:tcW w:w="2169" w:type="dxa"/>
            <w:vAlign w:val="center"/>
          </w:tcPr>
          <w:p w14:paraId="1EB9C21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30</w:t>
            </w:r>
          </w:p>
        </w:tc>
      </w:tr>
      <w:tr w:rsidR="00785714" w:rsidRPr="00596752" w14:paraId="08EF3AFF" w14:textId="77777777" w:rsidTr="008658C9">
        <w:trPr>
          <w:cantSplit/>
        </w:trPr>
        <w:tc>
          <w:tcPr>
            <w:tcW w:w="1665" w:type="dxa"/>
            <w:vAlign w:val="center"/>
          </w:tcPr>
          <w:p w14:paraId="34879411"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4.1.1.2</w:t>
            </w:r>
          </w:p>
        </w:tc>
        <w:tc>
          <w:tcPr>
            <w:tcW w:w="3827" w:type="dxa"/>
            <w:vAlign w:val="center"/>
          </w:tcPr>
          <w:p w14:paraId="504819A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Untreated fruits &amp; vegetables, nuts</w:t>
            </w:r>
          </w:p>
        </w:tc>
        <w:tc>
          <w:tcPr>
            <w:tcW w:w="2171" w:type="dxa"/>
            <w:vAlign w:val="center"/>
          </w:tcPr>
          <w:p w14:paraId="790E0951"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4.1</w:t>
            </w:r>
          </w:p>
        </w:tc>
        <w:tc>
          <w:tcPr>
            <w:tcW w:w="2171" w:type="dxa"/>
            <w:vAlign w:val="center"/>
          </w:tcPr>
          <w:p w14:paraId="2A8851D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4.1</w:t>
            </w:r>
          </w:p>
        </w:tc>
        <w:tc>
          <w:tcPr>
            <w:tcW w:w="2171" w:type="dxa"/>
            <w:vAlign w:val="center"/>
          </w:tcPr>
          <w:p w14:paraId="4AB8E18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4.1</w:t>
            </w:r>
          </w:p>
        </w:tc>
        <w:tc>
          <w:tcPr>
            <w:tcW w:w="2169" w:type="dxa"/>
            <w:vAlign w:val="center"/>
          </w:tcPr>
          <w:p w14:paraId="31B1B16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4.1</w:t>
            </w:r>
          </w:p>
        </w:tc>
      </w:tr>
      <w:tr w:rsidR="00785714" w:rsidRPr="00596752" w14:paraId="0C402CC8" w14:textId="77777777" w:rsidTr="008658C9">
        <w:trPr>
          <w:cantSplit/>
        </w:trPr>
        <w:tc>
          <w:tcPr>
            <w:tcW w:w="1665" w:type="dxa"/>
            <w:vAlign w:val="center"/>
          </w:tcPr>
          <w:p w14:paraId="5CB7112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4.1.1.3</w:t>
            </w:r>
          </w:p>
        </w:tc>
        <w:tc>
          <w:tcPr>
            <w:tcW w:w="3827" w:type="dxa"/>
            <w:vAlign w:val="center"/>
          </w:tcPr>
          <w:p w14:paraId="761A71D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Untreated fruits &amp; vegetables, seeds</w:t>
            </w:r>
          </w:p>
        </w:tc>
        <w:tc>
          <w:tcPr>
            <w:tcW w:w="2171" w:type="dxa"/>
            <w:vAlign w:val="center"/>
          </w:tcPr>
          <w:p w14:paraId="6F8F23EB"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4.1</w:t>
            </w:r>
          </w:p>
        </w:tc>
        <w:tc>
          <w:tcPr>
            <w:tcW w:w="2171" w:type="dxa"/>
            <w:vAlign w:val="center"/>
          </w:tcPr>
          <w:p w14:paraId="6161D94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4.1</w:t>
            </w:r>
          </w:p>
        </w:tc>
        <w:tc>
          <w:tcPr>
            <w:tcW w:w="2171" w:type="dxa"/>
            <w:vAlign w:val="center"/>
          </w:tcPr>
          <w:p w14:paraId="01D9F3E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4.1</w:t>
            </w:r>
          </w:p>
        </w:tc>
        <w:tc>
          <w:tcPr>
            <w:tcW w:w="2169" w:type="dxa"/>
            <w:vAlign w:val="center"/>
          </w:tcPr>
          <w:p w14:paraId="216DCC3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4.1</w:t>
            </w:r>
          </w:p>
        </w:tc>
      </w:tr>
      <w:tr w:rsidR="00785714" w:rsidRPr="00596752" w14:paraId="40532C48" w14:textId="77777777" w:rsidTr="008658C9">
        <w:trPr>
          <w:cantSplit/>
        </w:trPr>
        <w:tc>
          <w:tcPr>
            <w:tcW w:w="1665" w:type="dxa"/>
            <w:vAlign w:val="center"/>
          </w:tcPr>
          <w:p w14:paraId="1502B42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4.1.1.4</w:t>
            </w:r>
          </w:p>
        </w:tc>
        <w:tc>
          <w:tcPr>
            <w:tcW w:w="3827" w:type="dxa"/>
            <w:vAlign w:val="center"/>
          </w:tcPr>
          <w:p w14:paraId="23C4DD5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Untreated fruits &amp; vegetables, herbs</w:t>
            </w:r>
          </w:p>
        </w:tc>
        <w:tc>
          <w:tcPr>
            <w:tcW w:w="2171" w:type="dxa"/>
            <w:vAlign w:val="center"/>
          </w:tcPr>
          <w:p w14:paraId="526BD813"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26</w:t>
            </w:r>
          </w:p>
        </w:tc>
        <w:tc>
          <w:tcPr>
            <w:tcW w:w="2171" w:type="dxa"/>
            <w:vAlign w:val="center"/>
          </w:tcPr>
          <w:p w14:paraId="0E4D34B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26</w:t>
            </w:r>
          </w:p>
        </w:tc>
        <w:tc>
          <w:tcPr>
            <w:tcW w:w="2171" w:type="dxa"/>
            <w:vAlign w:val="center"/>
          </w:tcPr>
          <w:p w14:paraId="42EBDB7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26</w:t>
            </w:r>
          </w:p>
        </w:tc>
        <w:tc>
          <w:tcPr>
            <w:tcW w:w="2169" w:type="dxa"/>
            <w:vAlign w:val="center"/>
          </w:tcPr>
          <w:p w14:paraId="6D50658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26</w:t>
            </w:r>
          </w:p>
        </w:tc>
      </w:tr>
      <w:tr w:rsidR="00785714" w:rsidRPr="00596752" w14:paraId="056E2ABE" w14:textId="77777777" w:rsidTr="008658C9">
        <w:trPr>
          <w:cantSplit/>
        </w:trPr>
        <w:tc>
          <w:tcPr>
            <w:tcW w:w="1665" w:type="dxa"/>
            <w:vAlign w:val="center"/>
          </w:tcPr>
          <w:p w14:paraId="51D689F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4.1.1.5.1</w:t>
            </w:r>
          </w:p>
        </w:tc>
        <w:tc>
          <w:tcPr>
            <w:tcW w:w="3827" w:type="dxa"/>
            <w:vAlign w:val="center"/>
          </w:tcPr>
          <w:p w14:paraId="2E77B15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Untreated fruits, other {including raw &amp; cooked}</w:t>
            </w:r>
          </w:p>
        </w:tc>
        <w:tc>
          <w:tcPr>
            <w:tcW w:w="2171" w:type="dxa"/>
            <w:vAlign w:val="center"/>
          </w:tcPr>
          <w:p w14:paraId="40DAD33C"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1.6</w:t>
            </w:r>
          </w:p>
        </w:tc>
        <w:tc>
          <w:tcPr>
            <w:tcW w:w="2171" w:type="dxa"/>
            <w:vAlign w:val="center"/>
          </w:tcPr>
          <w:p w14:paraId="25E677F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71" w:type="dxa"/>
            <w:vAlign w:val="center"/>
          </w:tcPr>
          <w:p w14:paraId="1595306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69" w:type="dxa"/>
            <w:vAlign w:val="center"/>
          </w:tcPr>
          <w:p w14:paraId="176E819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w:t>
            </w:r>
          </w:p>
        </w:tc>
      </w:tr>
      <w:tr w:rsidR="00785714" w:rsidRPr="00596752" w14:paraId="7E9DB593" w14:textId="77777777" w:rsidTr="008658C9">
        <w:trPr>
          <w:cantSplit/>
        </w:trPr>
        <w:tc>
          <w:tcPr>
            <w:tcW w:w="1665" w:type="dxa"/>
            <w:vAlign w:val="center"/>
          </w:tcPr>
          <w:p w14:paraId="6E6A66E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4.1.1.5.2</w:t>
            </w:r>
          </w:p>
        </w:tc>
        <w:tc>
          <w:tcPr>
            <w:tcW w:w="3827" w:type="dxa"/>
            <w:vAlign w:val="center"/>
          </w:tcPr>
          <w:p w14:paraId="02FBA33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Untreated vegetables, other {including raw &amp; cooked}</w:t>
            </w:r>
          </w:p>
        </w:tc>
        <w:tc>
          <w:tcPr>
            <w:tcW w:w="2171" w:type="dxa"/>
            <w:vAlign w:val="center"/>
          </w:tcPr>
          <w:p w14:paraId="0AB2087F"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3.7</w:t>
            </w:r>
          </w:p>
        </w:tc>
        <w:tc>
          <w:tcPr>
            <w:tcW w:w="2171" w:type="dxa"/>
            <w:vAlign w:val="center"/>
          </w:tcPr>
          <w:p w14:paraId="6AFC9F7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787F8DC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5070489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6331A403" w14:textId="77777777" w:rsidTr="008658C9">
        <w:trPr>
          <w:cantSplit/>
        </w:trPr>
        <w:tc>
          <w:tcPr>
            <w:tcW w:w="1665" w:type="dxa"/>
            <w:vAlign w:val="center"/>
          </w:tcPr>
          <w:p w14:paraId="034BB7C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4.1.2.1</w:t>
            </w:r>
          </w:p>
        </w:tc>
        <w:tc>
          <w:tcPr>
            <w:tcW w:w="3827" w:type="dxa"/>
            <w:vAlign w:val="center"/>
          </w:tcPr>
          <w:p w14:paraId="0AD4F13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Surface treated citrus fruit</w:t>
            </w:r>
          </w:p>
        </w:tc>
        <w:tc>
          <w:tcPr>
            <w:tcW w:w="2171" w:type="dxa"/>
            <w:vAlign w:val="center"/>
          </w:tcPr>
          <w:p w14:paraId="26372BEB"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0.1</w:t>
            </w:r>
          </w:p>
        </w:tc>
        <w:tc>
          <w:tcPr>
            <w:tcW w:w="2171" w:type="dxa"/>
            <w:vAlign w:val="center"/>
          </w:tcPr>
          <w:p w14:paraId="2D9CABC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0.1</w:t>
            </w:r>
          </w:p>
        </w:tc>
        <w:tc>
          <w:tcPr>
            <w:tcW w:w="2171" w:type="dxa"/>
            <w:vAlign w:val="center"/>
          </w:tcPr>
          <w:p w14:paraId="6E76E4F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0.1</w:t>
            </w:r>
          </w:p>
        </w:tc>
        <w:tc>
          <w:tcPr>
            <w:tcW w:w="2169" w:type="dxa"/>
            <w:vAlign w:val="center"/>
          </w:tcPr>
          <w:p w14:paraId="6239EC7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0.1</w:t>
            </w:r>
          </w:p>
        </w:tc>
      </w:tr>
      <w:tr w:rsidR="00785714" w:rsidRPr="00596752" w14:paraId="73160FB0" w14:textId="77777777" w:rsidTr="008658C9">
        <w:trPr>
          <w:cantSplit/>
        </w:trPr>
        <w:tc>
          <w:tcPr>
            <w:tcW w:w="1665" w:type="dxa"/>
            <w:vAlign w:val="center"/>
          </w:tcPr>
          <w:p w14:paraId="026E00E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4.1.2.2</w:t>
            </w:r>
          </w:p>
        </w:tc>
        <w:tc>
          <w:tcPr>
            <w:tcW w:w="3827" w:type="dxa"/>
            <w:vAlign w:val="center"/>
          </w:tcPr>
          <w:p w14:paraId="512644E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Surface treated walnut &amp; pecan nut kernels</w:t>
            </w:r>
          </w:p>
        </w:tc>
        <w:tc>
          <w:tcPr>
            <w:tcW w:w="2171" w:type="dxa"/>
            <w:vAlign w:val="center"/>
          </w:tcPr>
          <w:p w14:paraId="442E7D0E"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2.5</w:t>
            </w:r>
          </w:p>
        </w:tc>
        <w:tc>
          <w:tcPr>
            <w:tcW w:w="2171" w:type="dxa"/>
            <w:vAlign w:val="center"/>
          </w:tcPr>
          <w:p w14:paraId="46806DD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2.5</w:t>
            </w:r>
          </w:p>
        </w:tc>
        <w:tc>
          <w:tcPr>
            <w:tcW w:w="2171" w:type="dxa"/>
            <w:vAlign w:val="center"/>
          </w:tcPr>
          <w:p w14:paraId="480265D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2.5</w:t>
            </w:r>
          </w:p>
        </w:tc>
        <w:tc>
          <w:tcPr>
            <w:tcW w:w="2169" w:type="dxa"/>
            <w:vAlign w:val="center"/>
          </w:tcPr>
          <w:p w14:paraId="1F0A8ED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2.5</w:t>
            </w:r>
          </w:p>
        </w:tc>
      </w:tr>
      <w:tr w:rsidR="00785714" w:rsidRPr="00596752" w14:paraId="47FF9453" w14:textId="77777777" w:rsidTr="008658C9">
        <w:trPr>
          <w:cantSplit/>
        </w:trPr>
        <w:tc>
          <w:tcPr>
            <w:tcW w:w="1665" w:type="dxa"/>
            <w:vAlign w:val="center"/>
          </w:tcPr>
          <w:p w14:paraId="3064C761"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4.1.3.1.1</w:t>
            </w:r>
          </w:p>
        </w:tc>
        <w:tc>
          <w:tcPr>
            <w:tcW w:w="3827" w:type="dxa"/>
            <w:vAlign w:val="center"/>
          </w:tcPr>
          <w:p w14:paraId="2541923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Products for manufacturing purposes, apple</w:t>
            </w:r>
          </w:p>
        </w:tc>
        <w:tc>
          <w:tcPr>
            <w:tcW w:w="2171" w:type="dxa"/>
            <w:vAlign w:val="center"/>
          </w:tcPr>
          <w:p w14:paraId="5F92B70C"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0.5</w:t>
            </w:r>
          </w:p>
        </w:tc>
        <w:tc>
          <w:tcPr>
            <w:tcW w:w="2171" w:type="dxa"/>
            <w:vAlign w:val="center"/>
          </w:tcPr>
          <w:p w14:paraId="1A851F4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0.5</w:t>
            </w:r>
          </w:p>
        </w:tc>
        <w:tc>
          <w:tcPr>
            <w:tcW w:w="2171" w:type="dxa"/>
            <w:vAlign w:val="center"/>
          </w:tcPr>
          <w:p w14:paraId="000CB69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0.5</w:t>
            </w:r>
          </w:p>
        </w:tc>
        <w:tc>
          <w:tcPr>
            <w:tcW w:w="2169" w:type="dxa"/>
            <w:vAlign w:val="center"/>
          </w:tcPr>
          <w:p w14:paraId="02C483C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0.5</w:t>
            </w:r>
          </w:p>
        </w:tc>
      </w:tr>
      <w:tr w:rsidR="00785714" w:rsidRPr="00596752" w14:paraId="193E8305" w14:textId="77777777" w:rsidTr="008658C9">
        <w:trPr>
          <w:cantSplit/>
        </w:trPr>
        <w:tc>
          <w:tcPr>
            <w:tcW w:w="1665" w:type="dxa"/>
            <w:vAlign w:val="center"/>
          </w:tcPr>
          <w:p w14:paraId="32EA1C6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4.1.3.1.2</w:t>
            </w:r>
          </w:p>
        </w:tc>
        <w:tc>
          <w:tcPr>
            <w:tcW w:w="3827" w:type="dxa"/>
            <w:vAlign w:val="center"/>
          </w:tcPr>
          <w:p w14:paraId="5A503A1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Products for manufacturing purposes, potato</w:t>
            </w:r>
          </w:p>
        </w:tc>
        <w:tc>
          <w:tcPr>
            <w:tcW w:w="2171" w:type="dxa"/>
            <w:vAlign w:val="center"/>
          </w:tcPr>
          <w:p w14:paraId="52D05CD1"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2.3</w:t>
            </w:r>
          </w:p>
        </w:tc>
        <w:tc>
          <w:tcPr>
            <w:tcW w:w="2171" w:type="dxa"/>
            <w:vAlign w:val="center"/>
          </w:tcPr>
          <w:p w14:paraId="1E85921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2.3</w:t>
            </w:r>
          </w:p>
        </w:tc>
        <w:tc>
          <w:tcPr>
            <w:tcW w:w="2171" w:type="dxa"/>
            <w:vAlign w:val="center"/>
          </w:tcPr>
          <w:p w14:paraId="054195B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2.3</w:t>
            </w:r>
          </w:p>
        </w:tc>
        <w:tc>
          <w:tcPr>
            <w:tcW w:w="2169" w:type="dxa"/>
            <w:vAlign w:val="center"/>
          </w:tcPr>
          <w:p w14:paraId="4018FA1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2.3</w:t>
            </w:r>
          </w:p>
        </w:tc>
      </w:tr>
      <w:tr w:rsidR="00785714" w:rsidRPr="00596752" w14:paraId="459F29C3" w14:textId="77777777" w:rsidTr="008658C9">
        <w:trPr>
          <w:cantSplit/>
        </w:trPr>
        <w:tc>
          <w:tcPr>
            <w:tcW w:w="1665" w:type="dxa"/>
            <w:vAlign w:val="center"/>
          </w:tcPr>
          <w:p w14:paraId="0E3521A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4.1.3.2</w:t>
            </w:r>
          </w:p>
        </w:tc>
        <w:tc>
          <w:tcPr>
            <w:tcW w:w="3827" w:type="dxa"/>
            <w:vAlign w:val="center"/>
          </w:tcPr>
          <w:p w14:paraId="27598892"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Root &amp; tuber vegetables</w:t>
            </w:r>
          </w:p>
        </w:tc>
        <w:tc>
          <w:tcPr>
            <w:tcW w:w="2171" w:type="dxa"/>
            <w:vAlign w:val="center"/>
          </w:tcPr>
          <w:p w14:paraId="30D90EA6"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5.9</w:t>
            </w:r>
          </w:p>
        </w:tc>
        <w:tc>
          <w:tcPr>
            <w:tcW w:w="2171" w:type="dxa"/>
            <w:vAlign w:val="center"/>
          </w:tcPr>
          <w:p w14:paraId="1213C65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5.9</w:t>
            </w:r>
          </w:p>
        </w:tc>
        <w:tc>
          <w:tcPr>
            <w:tcW w:w="2171" w:type="dxa"/>
            <w:vAlign w:val="center"/>
          </w:tcPr>
          <w:p w14:paraId="1BAC5E0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5.9</w:t>
            </w:r>
          </w:p>
        </w:tc>
        <w:tc>
          <w:tcPr>
            <w:tcW w:w="2169" w:type="dxa"/>
            <w:vAlign w:val="center"/>
          </w:tcPr>
          <w:p w14:paraId="3EA11B4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5.9</w:t>
            </w:r>
          </w:p>
        </w:tc>
      </w:tr>
      <w:tr w:rsidR="00785714" w:rsidRPr="00596752" w14:paraId="15A0DD9E" w14:textId="77777777" w:rsidTr="008658C9">
        <w:trPr>
          <w:cantSplit/>
        </w:trPr>
        <w:tc>
          <w:tcPr>
            <w:tcW w:w="1665" w:type="dxa"/>
            <w:vAlign w:val="center"/>
          </w:tcPr>
          <w:p w14:paraId="0611EA92"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4.2.1.1</w:t>
            </w:r>
          </w:p>
        </w:tc>
        <w:tc>
          <w:tcPr>
            <w:tcW w:w="3827" w:type="dxa"/>
            <w:vAlign w:val="center"/>
          </w:tcPr>
          <w:p w14:paraId="7860968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Frozen unprocessed fruits, avocado</w:t>
            </w:r>
          </w:p>
        </w:tc>
        <w:tc>
          <w:tcPr>
            <w:tcW w:w="2171" w:type="dxa"/>
            <w:vAlign w:val="center"/>
          </w:tcPr>
          <w:p w14:paraId="2C7B17A0"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4.2</w:t>
            </w:r>
          </w:p>
        </w:tc>
        <w:tc>
          <w:tcPr>
            <w:tcW w:w="2171" w:type="dxa"/>
            <w:vAlign w:val="center"/>
          </w:tcPr>
          <w:p w14:paraId="09462EA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4.2</w:t>
            </w:r>
          </w:p>
        </w:tc>
        <w:tc>
          <w:tcPr>
            <w:tcW w:w="2171" w:type="dxa"/>
            <w:vAlign w:val="center"/>
          </w:tcPr>
          <w:p w14:paraId="64790BE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4.2</w:t>
            </w:r>
          </w:p>
        </w:tc>
        <w:tc>
          <w:tcPr>
            <w:tcW w:w="2169" w:type="dxa"/>
            <w:vAlign w:val="center"/>
          </w:tcPr>
          <w:p w14:paraId="12CB203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4.2</w:t>
            </w:r>
          </w:p>
        </w:tc>
      </w:tr>
      <w:tr w:rsidR="00785714" w:rsidRPr="00596752" w14:paraId="2327EF53" w14:textId="77777777" w:rsidTr="008658C9">
        <w:trPr>
          <w:cantSplit/>
        </w:trPr>
        <w:tc>
          <w:tcPr>
            <w:tcW w:w="1665" w:type="dxa"/>
            <w:vAlign w:val="center"/>
          </w:tcPr>
          <w:p w14:paraId="5762A9E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4.3.0.1</w:t>
            </w:r>
          </w:p>
        </w:tc>
        <w:tc>
          <w:tcPr>
            <w:tcW w:w="3827" w:type="dxa"/>
            <w:vAlign w:val="center"/>
          </w:tcPr>
          <w:p w14:paraId="7F1BC80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Mushrooms in brine/water &amp; not commercially sterile</w:t>
            </w:r>
          </w:p>
        </w:tc>
        <w:tc>
          <w:tcPr>
            <w:tcW w:w="2171" w:type="dxa"/>
            <w:vAlign w:val="center"/>
          </w:tcPr>
          <w:p w14:paraId="67D64DBF"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30</w:t>
            </w:r>
          </w:p>
        </w:tc>
        <w:tc>
          <w:tcPr>
            <w:tcW w:w="2171" w:type="dxa"/>
            <w:vAlign w:val="center"/>
          </w:tcPr>
          <w:p w14:paraId="23718D0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30</w:t>
            </w:r>
          </w:p>
        </w:tc>
        <w:tc>
          <w:tcPr>
            <w:tcW w:w="2171" w:type="dxa"/>
            <w:vAlign w:val="center"/>
          </w:tcPr>
          <w:p w14:paraId="563CFE7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30</w:t>
            </w:r>
          </w:p>
        </w:tc>
        <w:tc>
          <w:tcPr>
            <w:tcW w:w="2169" w:type="dxa"/>
            <w:vAlign w:val="center"/>
          </w:tcPr>
          <w:p w14:paraId="7CFA234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30</w:t>
            </w:r>
          </w:p>
        </w:tc>
      </w:tr>
      <w:tr w:rsidR="00785714" w:rsidRPr="00596752" w14:paraId="26002B23" w14:textId="77777777" w:rsidTr="008658C9">
        <w:trPr>
          <w:cantSplit/>
        </w:trPr>
        <w:tc>
          <w:tcPr>
            <w:tcW w:w="1665" w:type="dxa"/>
            <w:vAlign w:val="center"/>
          </w:tcPr>
          <w:p w14:paraId="4E15144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4.3.0.2</w:t>
            </w:r>
          </w:p>
        </w:tc>
        <w:tc>
          <w:tcPr>
            <w:tcW w:w="3827" w:type="dxa"/>
            <w:vAlign w:val="center"/>
          </w:tcPr>
          <w:p w14:paraId="19B89CF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Preserved cherries (maraschino/ cocktail/ glace cherries)</w:t>
            </w:r>
          </w:p>
        </w:tc>
        <w:tc>
          <w:tcPr>
            <w:tcW w:w="2171" w:type="dxa"/>
            <w:vAlign w:val="center"/>
          </w:tcPr>
          <w:p w14:paraId="5A69DAFC"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8</w:t>
            </w:r>
          </w:p>
        </w:tc>
        <w:tc>
          <w:tcPr>
            <w:tcW w:w="2171" w:type="dxa"/>
            <w:vAlign w:val="center"/>
          </w:tcPr>
          <w:p w14:paraId="2A02E50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w:t>
            </w:r>
          </w:p>
        </w:tc>
        <w:tc>
          <w:tcPr>
            <w:tcW w:w="2171" w:type="dxa"/>
            <w:vAlign w:val="center"/>
          </w:tcPr>
          <w:p w14:paraId="4C19954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w:t>
            </w:r>
          </w:p>
        </w:tc>
        <w:tc>
          <w:tcPr>
            <w:tcW w:w="2169" w:type="dxa"/>
            <w:vAlign w:val="center"/>
          </w:tcPr>
          <w:p w14:paraId="0C80030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w:t>
            </w:r>
          </w:p>
        </w:tc>
      </w:tr>
      <w:tr w:rsidR="00785714" w:rsidRPr="00596752" w14:paraId="72088574" w14:textId="77777777" w:rsidTr="008658C9">
        <w:trPr>
          <w:cantSplit/>
        </w:trPr>
        <w:tc>
          <w:tcPr>
            <w:tcW w:w="1665" w:type="dxa"/>
            <w:vAlign w:val="center"/>
          </w:tcPr>
          <w:p w14:paraId="6F83952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4.3.0.3</w:t>
            </w:r>
          </w:p>
        </w:tc>
        <w:tc>
          <w:tcPr>
            <w:tcW w:w="3827" w:type="dxa"/>
            <w:vAlign w:val="center"/>
          </w:tcPr>
          <w:p w14:paraId="25FE2F9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Tomato products pH &lt;4.5</w:t>
            </w:r>
          </w:p>
        </w:tc>
        <w:tc>
          <w:tcPr>
            <w:tcW w:w="2171" w:type="dxa"/>
            <w:vAlign w:val="center"/>
          </w:tcPr>
          <w:p w14:paraId="2375A5A1"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1.1</w:t>
            </w:r>
          </w:p>
        </w:tc>
        <w:tc>
          <w:tcPr>
            <w:tcW w:w="2171" w:type="dxa"/>
            <w:vAlign w:val="center"/>
          </w:tcPr>
          <w:p w14:paraId="735FD42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71" w:type="dxa"/>
            <w:vAlign w:val="center"/>
          </w:tcPr>
          <w:p w14:paraId="3E5B8F2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69" w:type="dxa"/>
            <w:vAlign w:val="center"/>
          </w:tcPr>
          <w:p w14:paraId="598F85B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r>
      <w:tr w:rsidR="00785714" w:rsidRPr="00596752" w14:paraId="1104462D" w14:textId="77777777" w:rsidTr="008658C9">
        <w:trPr>
          <w:cantSplit/>
        </w:trPr>
        <w:tc>
          <w:tcPr>
            <w:tcW w:w="1665" w:type="dxa"/>
            <w:vAlign w:val="center"/>
          </w:tcPr>
          <w:p w14:paraId="4BF4AF2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lastRenderedPageBreak/>
              <w:t>4.3.0.4</w:t>
            </w:r>
          </w:p>
        </w:tc>
        <w:tc>
          <w:tcPr>
            <w:tcW w:w="3827" w:type="dxa"/>
            <w:vAlign w:val="center"/>
          </w:tcPr>
          <w:p w14:paraId="04F00FF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Processed fruits &amp; vegetables, ginger only</w:t>
            </w:r>
          </w:p>
        </w:tc>
        <w:tc>
          <w:tcPr>
            <w:tcW w:w="2171" w:type="dxa"/>
            <w:vAlign w:val="center"/>
          </w:tcPr>
          <w:p w14:paraId="08A10AF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w:t>
            </w:r>
          </w:p>
        </w:tc>
        <w:tc>
          <w:tcPr>
            <w:tcW w:w="2171" w:type="dxa"/>
            <w:vAlign w:val="center"/>
          </w:tcPr>
          <w:p w14:paraId="252E5AD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w:t>
            </w:r>
          </w:p>
        </w:tc>
        <w:tc>
          <w:tcPr>
            <w:tcW w:w="2171" w:type="dxa"/>
            <w:vAlign w:val="center"/>
          </w:tcPr>
          <w:p w14:paraId="7E60551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w:t>
            </w:r>
          </w:p>
        </w:tc>
        <w:tc>
          <w:tcPr>
            <w:tcW w:w="2169" w:type="dxa"/>
            <w:vAlign w:val="center"/>
          </w:tcPr>
          <w:p w14:paraId="50ACD21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w:t>
            </w:r>
          </w:p>
        </w:tc>
      </w:tr>
      <w:tr w:rsidR="00785714" w:rsidRPr="00596752" w14:paraId="25E55B01" w14:textId="77777777" w:rsidTr="008658C9">
        <w:trPr>
          <w:cantSplit/>
        </w:trPr>
        <w:tc>
          <w:tcPr>
            <w:tcW w:w="1665" w:type="dxa"/>
            <w:vAlign w:val="center"/>
          </w:tcPr>
          <w:p w14:paraId="6C04D7F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4.3.1</w:t>
            </w:r>
          </w:p>
        </w:tc>
        <w:tc>
          <w:tcPr>
            <w:tcW w:w="3827" w:type="dxa"/>
            <w:vAlign w:val="center"/>
          </w:tcPr>
          <w:p w14:paraId="10DDA0E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Dried fruits &amp; vegetables (excluding dried &amp; rehydrated legumes and dried herbs &amp; spices)</w:t>
            </w:r>
          </w:p>
        </w:tc>
        <w:tc>
          <w:tcPr>
            <w:tcW w:w="2171" w:type="dxa"/>
            <w:vAlign w:val="center"/>
          </w:tcPr>
          <w:p w14:paraId="2172A21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w:t>
            </w:r>
          </w:p>
        </w:tc>
        <w:tc>
          <w:tcPr>
            <w:tcW w:w="2171" w:type="dxa"/>
            <w:vAlign w:val="center"/>
          </w:tcPr>
          <w:p w14:paraId="45C16D4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w:t>
            </w:r>
          </w:p>
        </w:tc>
        <w:tc>
          <w:tcPr>
            <w:tcW w:w="2171" w:type="dxa"/>
            <w:vAlign w:val="center"/>
          </w:tcPr>
          <w:p w14:paraId="288B031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w:t>
            </w:r>
          </w:p>
        </w:tc>
        <w:tc>
          <w:tcPr>
            <w:tcW w:w="2169" w:type="dxa"/>
            <w:vAlign w:val="center"/>
          </w:tcPr>
          <w:p w14:paraId="7802FE5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w:t>
            </w:r>
          </w:p>
        </w:tc>
      </w:tr>
      <w:tr w:rsidR="00785714" w:rsidRPr="00596752" w14:paraId="083B1E55" w14:textId="77777777" w:rsidTr="008658C9">
        <w:trPr>
          <w:cantSplit/>
        </w:trPr>
        <w:tc>
          <w:tcPr>
            <w:tcW w:w="1665" w:type="dxa"/>
            <w:vAlign w:val="center"/>
          </w:tcPr>
          <w:p w14:paraId="6AE0FCC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4.3.1.3.1</w:t>
            </w:r>
          </w:p>
        </w:tc>
        <w:tc>
          <w:tcPr>
            <w:tcW w:w="3827" w:type="dxa"/>
            <w:vAlign w:val="center"/>
          </w:tcPr>
          <w:p w14:paraId="544DEF6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Dried &amp; rehydrated legumes</w:t>
            </w:r>
          </w:p>
        </w:tc>
        <w:tc>
          <w:tcPr>
            <w:tcW w:w="2171" w:type="dxa"/>
            <w:vAlign w:val="center"/>
          </w:tcPr>
          <w:p w14:paraId="4CE51F9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7.5</w:t>
            </w:r>
          </w:p>
        </w:tc>
        <w:tc>
          <w:tcPr>
            <w:tcW w:w="2171" w:type="dxa"/>
            <w:vAlign w:val="center"/>
          </w:tcPr>
          <w:p w14:paraId="0CFA15B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7.5</w:t>
            </w:r>
          </w:p>
        </w:tc>
        <w:tc>
          <w:tcPr>
            <w:tcW w:w="2171" w:type="dxa"/>
            <w:vAlign w:val="center"/>
          </w:tcPr>
          <w:p w14:paraId="7120AF60"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7.5</w:t>
            </w:r>
          </w:p>
        </w:tc>
        <w:tc>
          <w:tcPr>
            <w:tcW w:w="2169" w:type="dxa"/>
            <w:vAlign w:val="center"/>
          </w:tcPr>
          <w:p w14:paraId="0DF4ED2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7.5</w:t>
            </w:r>
          </w:p>
        </w:tc>
      </w:tr>
      <w:tr w:rsidR="00785714" w:rsidRPr="00596752" w14:paraId="0A7F9510" w14:textId="77777777" w:rsidTr="008658C9">
        <w:trPr>
          <w:cantSplit/>
        </w:trPr>
        <w:tc>
          <w:tcPr>
            <w:tcW w:w="1665" w:type="dxa"/>
            <w:vAlign w:val="center"/>
          </w:tcPr>
          <w:p w14:paraId="5F074D9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4.3.1.4</w:t>
            </w:r>
          </w:p>
        </w:tc>
        <w:tc>
          <w:tcPr>
            <w:tcW w:w="3827" w:type="dxa"/>
            <w:vAlign w:val="center"/>
          </w:tcPr>
          <w:p w14:paraId="363861D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Dried herbs &amp; spices</w:t>
            </w:r>
          </w:p>
        </w:tc>
        <w:tc>
          <w:tcPr>
            <w:tcW w:w="2171" w:type="dxa"/>
            <w:vAlign w:val="center"/>
          </w:tcPr>
          <w:p w14:paraId="2C0F241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1.4</w:t>
            </w:r>
          </w:p>
        </w:tc>
        <w:tc>
          <w:tcPr>
            <w:tcW w:w="2171" w:type="dxa"/>
            <w:vAlign w:val="center"/>
          </w:tcPr>
          <w:p w14:paraId="5BE95BA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1.4</w:t>
            </w:r>
          </w:p>
        </w:tc>
        <w:tc>
          <w:tcPr>
            <w:tcW w:w="2171" w:type="dxa"/>
            <w:vAlign w:val="center"/>
          </w:tcPr>
          <w:p w14:paraId="226DFDD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1.4</w:t>
            </w:r>
          </w:p>
        </w:tc>
        <w:tc>
          <w:tcPr>
            <w:tcW w:w="2169" w:type="dxa"/>
            <w:vAlign w:val="center"/>
          </w:tcPr>
          <w:p w14:paraId="70AF273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1.4</w:t>
            </w:r>
          </w:p>
        </w:tc>
      </w:tr>
      <w:tr w:rsidR="00785714" w:rsidRPr="00596752" w14:paraId="631505F4" w14:textId="77777777" w:rsidTr="008658C9">
        <w:trPr>
          <w:cantSplit/>
        </w:trPr>
        <w:tc>
          <w:tcPr>
            <w:tcW w:w="1665" w:type="dxa"/>
            <w:vAlign w:val="center"/>
          </w:tcPr>
          <w:p w14:paraId="5B864FD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4.3.3.1</w:t>
            </w:r>
          </w:p>
        </w:tc>
        <w:tc>
          <w:tcPr>
            <w:tcW w:w="3827" w:type="dxa"/>
            <w:vAlign w:val="center"/>
          </w:tcPr>
          <w:p w14:paraId="4AB2D54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Canned fruits</w:t>
            </w:r>
          </w:p>
        </w:tc>
        <w:tc>
          <w:tcPr>
            <w:tcW w:w="2171" w:type="dxa"/>
            <w:vAlign w:val="center"/>
          </w:tcPr>
          <w:p w14:paraId="49AE137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w:t>
            </w:r>
          </w:p>
        </w:tc>
        <w:tc>
          <w:tcPr>
            <w:tcW w:w="2171" w:type="dxa"/>
            <w:vAlign w:val="center"/>
          </w:tcPr>
          <w:p w14:paraId="362E697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71" w:type="dxa"/>
            <w:vAlign w:val="center"/>
          </w:tcPr>
          <w:p w14:paraId="2D8FF56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69" w:type="dxa"/>
            <w:vAlign w:val="center"/>
          </w:tcPr>
          <w:p w14:paraId="06C5889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w:t>
            </w:r>
          </w:p>
        </w:tc>
      </w:tr>
      <w:tr w:rsidR="00785714" w:rsidRPr="00596752" w14:paraId="4C4CBC8B" w14:textId="77777777" w:rsidTr="008658C9">
        <w:trPr>
          <w:cantSplit/>
        </w:trPr>
        <w:tc>
          <w:tcPr>
            <w:tcW w:w="1665" w:type="dxa"/>
            <w:vAlign w:val="center"/>
          </w:tcPr>
          <w:p w14:paraId="3892555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4.3.3.2</w:t>
            </w:r>
          </w:p>
        </w:tc>
        <w:tc>
          <w:tcPr>
            <w:tcW w:w="3827" w:type="dxa"/>
            <w:vAlign w:val="center"/>
          </w:tcPr>
          <w:p w14:paraId="60E062B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Canned vegetables</w:t>
            </w:r>
          </w:p>
        </w:tc>
        <w:tc>
          <w:tcPr>
            <w:tcW w:w="2171" w:type="dxa"/>
            <w:vAlign w:val="center"/>
          </w:tcPr>
          <w:p w14:paraId="1B38C3B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6BB992F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4947996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5AD5849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33BA8F11" w14:textId="77777777" w:rsidTr="008658C9">
        <w:trPr>
          <w:cantSplit/>
        </w:trPr>
        <w:tc>
          <w:tcPr>
            <w:tcW w:w="1665" w:type="dxa"/>
            <w:vAlign w:val="center"/>
          </w:tcPr>
          <w:p w14:paraId="36EA0DF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4.3.5</w:t>
            </w:r>
          </w:p>
        </w:tc>
        <w:tc>
          <w:tcPr>
            <w:tcW w:w="3827" w:type="dxa"/>
            <w:vAlign w:val="center"/>
          </w:tcPr>
          <w:p w14:paraId="4C26A50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Candied fruits &amp; vegetables</w:t>
            </w:r>
          </w:p>
        </w:tc>
        <w:tc>
          <w:tcPr>
            <w:tcW w:w="2171" w:type="dxa"/>
            <w:vAlign w:val="center"/>
          </w:tcPr>
          <w:p w14:paraId="0195F7C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w:t>
            </w:r>
          </w:p>
        </w:tc>
        <w:tc>
          <w:tcPr>
            <w:tcW w:w="2171" w:type="dxa"/>
            <w:vAlign w:val="center"/>
          </w:tcPr>
          <w:p w14:paraId="714E646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w:t>
            </w:r>
          </w:p>
        </w:tc>
        <w:tc>
          <w:tcPr>
            <w:tcW w:w="2171" w:type="dxa"/>
            <w:vAlign w:val="center"/>
          </w:tcPr>
          <w:p w14:paraId="676EB39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w:t>
            </w:r>
          </w:p>
        </w:tc>
        <w:tc>
          <w:tcPr>
            <w:tcW w:w="2169" w:type="dxa"/>
            <w:vAlign w:val="center"/>
          </w:tcPr>
          <w:p w14:paraId="1CEC63B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w:t>
            </w:r>
          </w:p>
        </w:tc>
      </w:tr>
      <w:tr w:rsidR="00785714" w:rsidRPr="00596752" w14:paraId="3FF1763D" w14:textId="77777777" w:rsidTr="008658C9">
        <w:trPr>
          <w:cantSplit/>
        </w:trPr>
        <w:tc>
          <w:tcPr>
            <w:tcW w:w="1665" w:type="dxa"/>
            <w:vAlign w:val="center"/>
          </w:tcPr>
          <w:p w14:paraId="170F575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4.3.6.3</w:t>
            </w:r>
          </w:p>
        </w:tc>
        <w:tc>
          <w:tcPr>
            <w:tcW w:w="3827" w:type="dxa"/>
            <w:vAlign w:val="center"/>
          </w:tcPr>
          <w:p w14:paraId="429782F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Nut butter</w:t>
            </w:r>
          </w:p>
        </w:tc>
        <w:tc>
          <w:tcPr>
            <w:tcW w:w="2171" w:type="dxa"/>
            <w:vAlign w:val="center"/>
          </w:tcPr>
          <w:p w14:paraId="49884B6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0.8</w:t>
            </w:r>
          </w:p>
        </w:tc>
        <w:tc>
          <w:tcPr>
            <w:tcW w:w="2171" w:type="dxa"/>
            <w:vAlign w:val="center"/>
          </w:tcPr>
          <w:p w14:paraId="0CC2343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0.8</w:t>
            </w:r>
          </w:p>
        </w:tc>
        <w:tc>
          <w:tcPr>
            <w:tcW w:w="2171" w:type="dxa"/>
            <w:vAlign w:val="center"/>
          </w:tcPr>
          <w:p w14:paraId="115A14D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0.8</w:t>
            </w:r>
          </w:p>
        </w:tc>
        <w:tc>
          <w:tcPr>
            <w:tcW w:w="2169" w:type="dxa"/>
            <w:vAlign w:val="center"/>
          </w:tcPr>
          <w:p w14:paraId="47DE8DC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0.8</w:t>
            </w:r>
          </w:p>
        </w:tc>
      </w:tr>
      <w:tr w:rsidR="00785714" w:rsidRPr="00596752" w14:paraId="3D242AE5" w14:textId="77777777" w:rsidTr="008658C9">
        <w:trPr>
          <w:cantSplit/>
        </w:trPr>
        <w:tc>
          <w:tcPr>
            <w:tcW w:w="1665" w:type="dxa"/>
            <w:vAlign w:val="center"/>
          </w:tcPr>
          <w:p w14:paraId="2D51DA6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4.3.6.5</w:t>
            </w:r>
          </w:p>
        </w:tc>
        <w:tc>
          <w:tcPr>
            <w:tcW w:w="3827" w:type="dxa"/>
            <w:vAlign w:val="center"/>
          </w:tcPr>
          <w:p w14:paraId="3835606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Seed butter</w:t>
            </w:r>
          </w:p>
        </w:tc>
        <w:tc>
          <w:tcPr>
            <w:tcW w:w="2171" w:type="dxa"/>
            <w:vAlign w:val="center"/>
          </w:tcPr>
          <w:p w14:paraId="72BF992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0.8</w:t>
            </w:r>
          </w:p>
        </w:tc>
        <w:tc>
          <w:tcPr>
            <w:tcW w:w="2171" w:type="dxa"/>
            <w:vAlign w:val="center"/>
          </w:tcPr>
          <w:p w14:paraId="3B63F35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0.8</w:t>
            </w:r>
          </w:p>
        </w:tc>
        <w:tc>
          <w:tcPr>
            <w:tcW w:w="2171" w:type="dxa"/>
            <w:vAlign w:val="center"/>
          </w:tcPr>
          <w:p w14:paraId="047B400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0.8</w:t>
            </w:r>
          </w:p>
        </w:tc>
        <w:tc>
          <w:tcPr>
            <w:tcW w:w="2169" w:type="dxa"/>
            <w:vAlign w:val="center"/>
          </w:tcPr>
          <w:p w14:paraId="075403D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0.8</w:t>
            </w:r>
          </w:p>
        </w:tc>
      </w:tr>
      <w:tr w:rsidR="00785714" w:rsidRPr="00596752" w14:paraId="1F92C3B2" w14:textId="77777777" w:rsidTr="008658C9">
        <w:trPr>
          <w:cantSplit/>
        </w:trPr>
        <w:tc>
          <w:tcPr>
            <w:tcW w:w="1665" w:type="dxa"/>
            <w:vAlign w:val="center"/>
          </w:tcPr>
          <w:p w14:paraId="2F8E5A3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5.1</w:t>
            </w:r>
          </w:p>
        </w:tc>
        <w:tc>
          <w:tcPr>
            <w:tcW w:w="3827" w:type="dxa"/>
            <w:vAlign w:val="center"/>
          </w:tcPr>
          <w:p w14:paraId="03281E0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Chocolate &amp; cocoa products</w:t>
            </w:r>
          </w:p>
        </w:tc>
        <w:tc>
          <w:tcPr>
            <w:tcW w:w="2171" w:type="dxa"/>
            <w:vAlign w:val="center"/>
          </w:tcPr>
          <w:p w14:paraId="35153D9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80</w:t>
            </w:r>
          </w:p>
        </w:tc>
        <w:tc>
          <w:tcPr>
            <w:tcW w:w="2171" w:type="dxa"/>
            <w:vAlign w:val="center"/>
          </w:tcPr>
          <w:p w14:paraId="0AE8F9D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80</w:t>
            </w:r>
          </w:p>
        </w:tc>
        <w:tc>
          <w:tcPr>
            <w:tcW w:w="2171" w:type="dxa"/>
            <w:vAlign w:val="center"/>
          </w:tcPr>
          <w:p w14:paraId="26C6779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80</w:t>
            </w:r>
          </w:p>
        </w:tc>
        <w:tc>
          <w:tcPr>
            <w:tcW w:w="2169" w:type="dxa"/>
            <w:vAlign w:val="center"/>
          </w:tcPr>
          <w:p w14:paraId="26E7A43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1,666</w:t>
            </w:r>
          </w:p>
        </w:tc>
      </w:tr>
      <w:tr w:rsidR="00785714" w:rsidRPr="00596752" w14:paraId="38F91044" w14:textId="77777777" w:rsidTr="008658C9">
        <w:trPr>
          <w:cantSplit/>
        </w:trPr>
        <w:tc>
          <w:tcPr>
            <w:tcW w:w="1665" w:type="dxa"/>
            <w:vAlign w:val="center"/>
          </w:tcPr>
          <w:p w14:paraId="5C6A399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5.2</w:t>
            </w:r>
          </w:p>
        </w:tc>
        <w:tc>
          <w:tcPr>
            <w:tcW w:w="3827" w:type="dxa"/>
            <w:vAlign w:val="center"/>
          </w:tcPr>
          <w:p w14:paraId="72310D7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Sugar confectionery (excluding bubble gum &amp; chewing gum)</w:t>
            </w:r>
          </w:p>
        </w:tc>
        <w:tc>
          <w:tcPr>
            <w:tcW w:w="2171" w:type="dxa"/>
            <w:vAlign w:val="center"/>
          </w:tcPr>
          <w:p w14:paraId="5EDF128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w:t>
            </w:r>
          </w:p>
        </w:tc>
        <w:tc>
          <w:tcPr>
            <w:tcW w:w="2171" w:type="dxa"/>
            <w:vAlign w:val="center"/>
          </w:tcPr>
          <w:p w14:paraId="2ED6C62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007C520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69" w:type="dxa"/>
            <w:vAlign w:val="center"/>
          </w:tcPr>
          <w:p w14:paraId="3C62E50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3,333</w:t>
            </w:r>
          </w:p>
        </w:tc>
      </w:tr>
      <w:tr w:rsidR="00785714" w:rsidRPr="00596752" w14:paraId="7C2C0261" w14:textId="77777777" w:rsidTr="008658C9">
        <w:trPr>
          <w:cantSplit/>
        </w:trPr>
        <w:tc>
          <w:tcPr>
            <w:tcW w:w="1665" w:type="dxa"/>
            <w:vAlign w:val="center"/>
          </w:tcPr>
          <w:p w14:paraId="45F1D40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5.2.1</w:t>
            </w:r>
          </w:p>
        </w:tc>
        <w:tc>
          <w:tcPr>
            <w:tcW w:w="3827" w:type="dxa"/>
            <w:vAlign w:val="center"/>
          </w:tcPr>
          <w:p w14:paraId="695FC36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Bubble gum &amp; chewing gum</w:t>
            </w:r>
          </w:p>
        </w:tc>
        <w:tc>
          <w:tcPr>
            <w:tcW w:w="2171" w:type="dxa"/>
            <w:vAlign w:val="center"/>
          </w:tcPr>
          <w:p w14:paraId="19D8C68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w:t>
            </w:r>
          </w:p>
        </w:tc>
        <w:tc>
          <w:tcPr>
            <w:tcW w:w="2171" w:type="dxa"/>
            <w:vAlign w:val="center"/>
          </w:tcPr>
          <w:p w14:paraId="2C44D6A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67EC761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69" w:type="dxa"/>
            <w:vAlign w:val="center"/>
          </w:tcPr>
          <w:p w14:paraId="757A9ED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12,500</w:t>
            </w:r>
          </w:p>
        </w:tc>
      </w:tr>
      <w:tr w:rsidR="00785714" w:rsidRPr="00596752" w14:paraId="6F879D8E" w14:textId="77777777" w:rsidTr="008658C9">
        <w:trPr>
          <w:cantSplit/>
        </w:trPr>
        <w:tc>
          <w:tcPr>
            <w:tcW w:w="1665" w:type="dxa"/>
            <w:vAlign w:val="center"/>
          </w:tcPr>
          <w:p w14:paraId="3F643BA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6</w:t>
            </w:r>
          </w:p>
        </w:tc>
        <w:tc>
          <w:tcPr>
            <w:tcW w:w="3827" w:type="dxa"/>
            <w:vAlign w:val="center"/>
          </w:tcPr>
          <w:p w14:paraId="0351254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Cereals &amp; cereal products (excluding oats; rice; wheaten flours, meals &amp; starches and flour products (including noodles &amp; pasta))</w:t>
            </w:r>
          </w:p>
        </w:tc>
        <w:tc>
          <w:tcPr>
            <w:tcW w:w="2171" w:type="dxa"/>
            <w:vAlign w:val="center"/>
          </w:tcPr>
          <w:p w14:paraId="5B0EC8D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3.4</w:t>
            </w:r>
          </w:p>
        </w:tc>
        <w:tc>
          <w:tcPr>
            <w:tcW w:w="2171" w:type="dxa"/>
            <w:vAlign w:val="center"/>
          </w:tcPr>
          <w:p w14:paraId="613BA99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3.4</w:t>
            </w:r>
          </w:p>
        </w:tc>
        <w:tc>
          <w:tcPr>
            <w:tcW w:w="2171" w:type="dxa"/>
            <w:vAlign w:val="center"/>
          </w:tcPr>
          <w:p w14:paraId="48E6BDC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3.4</w:t>
            </w:r>
          </w:p>
        </w:tc>
        <w:tc>
          <w:tcPr>
            <w:tcW w:w="2169" w:type="dxa"/>
            <w:vAlign w:val="center"/>
          </w:tcPr>
          <w:p w14:paraId="570B820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3.4</w:t>
            </w:r>
          </w:p>
        </w:tc>
      </w:tr>
      <w:tr w:rsidR="00785714" w:rsidRPr="00596752" w14:paraId="742FAFB4" w14:textId="77777777" w:rsidTr="008658C9">
        <w:trPr>
          <w:cantSplit/>
        </w:trPr>
        <w:tc>
          <w:tcPr>
            <w:tcW w:w="1665" w:type="dxa"/>
            <w:vAlign w:val="center"/>
          </w:tcPr>
          <w:p w14:paraId="40B4431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6.1.1</w:t>
            </w:r>
          </w:p>
        </w:tc>
        <w:tc>
          <w:tcPr>
            <w:tcW w:w="3827" w:type="dxa"/>
            <w:vAlign w:val="center"/>
          </w:tcPr>
          <w:p w14:paraId="5E7E1EB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 xml:space="preserve">Plain oats (dry) </w:t>
            </w:r>
          </w:p>
        </w:tc>
        <w:tc>
          <w:tcPr>
            <w:tcW w:w="2171" w:type="dxa"/>
            <w:vAlign w:val="center"/>
          </w:tcPr>
          <w:p w14:paraId="276D6B7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0.6</w:t>
            </w:r>
          </w:p>
        </w:tc>
        <w:tc>
          <w:tcPr>
            <w:tcW w:w="2171" w:type="dxa"/>
            <w:vAlign w:val="center"/>
          </w:tcPr>
          <w:p w14:paraId="2BC14A7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0.6</w:t>
            </w:r>
          </w:p>
        </w:tc>
        <w:tc>
          <w:tcPr>
            <w:tcW w:w="2171" w:type="dxa"/>
            <w:vAlign w:val="center"/>
          </w:tcPr>
          <w:p w14:paraId="3151951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0.6</w:t>
            </w:r>
          </w:p>
        </w:tc>
        <w:tc>
          <w:tcPr>
            <w:tcW w:w="2169" w:type="dxa"/>
            <w:vAlign w:val="center"/>
          </w:tcPr>
          <w:p w14:paraId="21D1442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5,000</w:t>
            </w:r>
          </w:p>
        </w:tc>
      </w:tr>
      <w:tr w:rsidR="00785714" w:rsidRPr="00596752" w14:paraId="0CCEFA92" w14:textId="77777777" w:rsidTr="008658C9">
        <w:trPr>
          <w:cantSplit/>
        </w:trPr>
        <w:tc>
          <w:tcPr>
            <w:tcW w:w="1665" w:type="dxa"/>
            <w:vAlign w:val="center"/>
          </w:tcPr>
          <w:p w14:paraId="6474870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6.1.2</w:t>
            </w:r>
          </w:p>
        </w:tc>
        <w:tc>
          <w:tcPr>
            <w:tcW w:w="3827" w:type="dxa"/>
            <w:vAlign w:val="center"/>
          </w:tcPr>
          <w:p w14:paraId="656DBE8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Cereals, whole &amp; broken grains, rice</w:t>
            </w:r>
          </w:p>
        </w:tc>
        <w:tc>
          <w:tcPr>
            <w:tcW w:w="2171" w:type="dxa"/>
            <w:vAlign w:val="center"/>
          </w:tcPr>
          <w:p w14:paraId="3E336C2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1.4</w:t>
            </w:r>
          </w:p>
        </w:tc>
        <w:tc>
          <w:tcPr>
            <w:tcW w:w="2171" w:type="dxa"/>
            <w:vAlign w:val="center"/>
          </w:tcPr>
          <w:p w14:paraId="55C9F57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1.4</w:t>
            </w:r>
          </w:p>
        </w:tc>
        <w:tc>
          <w:tcPr>
            <w:tcW w:w="2171" w:type="dxa"/>
            <w:vAlign w:val="center"/>
          </w:tcPr>
          <w:p w14:paraId="3FDA4DB0"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1.4</w:t>
            </w:r>
          </w:p>
        </w:tc>
        <w:tc>
          <w:tcPr>
            <w:tcW w:w="2169" w:type="dxa"/>
            <w:vAlign w:val="center"/>
          </w:tcPr>
          <w:p w14:paraId="34E33E0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1.4</w:t>
            </w:r>
          </w:p>
        </w:tc>
      </w:tr>
      <w:tr w:rsidR="00785714" w:rsidRPr="00596752" w14:paraId="6937AA15" w14:textId="77777777" w:rsidTr="008658C9">
        <w:trPr>
          <w:cantSplit/>
        </w:trPr>
        <w:tc>
          <w:tcPr>
            <w:tcW w:w="1665" w:type="dxa"/>
            <w:vAlign w:val="center"/>
          </w:tcPr>
          <w:p w14:paraId="7B6F61B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6.2.1</w:t>
            </w:r>
          </w:p>
        </w:tc>
        <w:tc>
          <w:tcPr>
            <w:tcW w:w="3827" w:type="dxa"/>
            <w:vAlign w:val="center"/>
          </w:tcPr>
          <w:p w14:paraId="7B04AFE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Flours, meals &amp; starches, wheat only</w:t>
            </w:r>
          </w:p>
        </w:tc>
        <w:tc>
          <w:tcPr>
            <w:tcW w:w="2171" w:type="dxa"/>
            <w:vAlign w:val="center"/>
          </w:tcPr>
          <w:p w14:paraId="7DDD05A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7</w:t>
            </w:r>
          </w:p>
        </w:tc>
        <w:tc>
          <w:tcPr>
            <w:tcW w:w="2171" w:type="dxa"/>
            <w:vAlign w:val="center"/>
          </w:tcPr>
          <w:p w14:paraId="232F0F0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7</w:t>
            </w:r>
          </w:p>
        </w:tc>
        <w:tc>
          <w:tcPr>
            <w:tcW w:w="2171" w:type="dxa"/>
            <w:vAlign w:val="center"/>
          </w:tcPr>
          <w:p w14:paraId="5F5FF89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7</w:t>
            </w:r>
          </w:p>
        </w:tc>
        <w:tc>
          <w:tcPr>
            <w:tcW w:w="2169" w:type="dxa"/>
            <w:vAlign w:val="center"/>
          </w:tcPr>
          <w:p w14:paraId="7FCFFD5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7</w:t>
            </w:r>
          </w:p>
        </w:tc>
      </w:tr>
      <w:tr w:rsidR="00785714" w:rsidRPr="00596752" w14:paraId="29BAF374" w14:textId="77777777" w:rsidTr="008658C9">
        <w:trPr>
          <w:cantSplit/>
        </w:trPr>
        <w:tc>
          <w:tcPr>
            <w:tcW w:w="1665" w:type="dxa"/>
            <w:vAlign w:val="center"/>
          </w:tcPr>
          <w:p w14:paraId="1784C49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6.4</w:t>
            </w:r>
          </w:p>
        </w:tc>
        <w:tc>
          <w:tcPr>
            <w:tcW w:w="3827" w:type="dxa"/>
            <w:vAlign w:val="center"/>
          </w:tcPr>
          <w:p w14:paraId="5B77A4D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Flour products (including noodles &amp; pasta)</w:t>
            </w:r>
          </w:p>
        </w:tc>
        <w:tc>
          <w:tcPr>
            <w:tcW w:w="2171" w:type="dxa"/>
            <w:vAlign w:val="center"/>
          </w:tcPr>
          <w:p w14:paraId="17FB6B8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2.8</w:t>
            </w:r>
          </w:p>
        </w:tc>
        <w:tc>
          <w:tcPr>
            <w:tcW w:w="2171" w:type="dxa"/>
            <w:vAlign w:val="center"/>
          </w:tcPr>
          <w:p w14:paraId="2357EB7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2.8</w:t>
            </w:r>
          </w:p>
        </w:tc>
        <w:tc>
          <w:tcPr>
            <w:tcW w:w="2171" w:type="dxa"/>
            <w:vAlign w:val="center"/>
          </w:tcPr>
          <w:p w14:paraId="7EF0DF2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2.8</w:t>
            </w:r>
          </w:p>
        </w:tc>
        <w:tc>
          <w:tcPr>
            <w:tcW w:w="2169" w:type="dxa"/>
            <w:vAlign w:val="center"/>
          </w:tcPr>
          <w:p w14:paraId="79AE2B2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2.8</w:t>
            </w:r>
          </w:p>
        </w:tc>
      </w:tr>
      <w:tr w:rsidR="00785714" w:rsidRPr="00596752" w14:paraId="400DA203" w14:textId="77777777" w:rsidTr="008658C9">
        <w:trPr>
          <w:cantSplit/>
        </w:trPr>
        <w:tc>
          <w:tcPr>
            <w:tcW w:w="1665" w:type="dxa"/>
            <w:vAlign w:val="center"/>
          </w:tcPr>
          <w:p w14:paraId="041A731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lastRenderedPageBreak/>
              <w:t>7</w:t>
            </w:r>
          </w:p>
        </w:tc>
        <w:tc>
          <w:tcPr>
            <w:tcW w:w="3827" w:type="dxa"/>
            <w:vAlign w:val="center"/>
          </w:tcPr>
          <w:p w14:paraId="05BE444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Breads &amp; bakery products</w:t>
            </w:r>
          </w:p>
        </w:tc>
        <w:tc>
          <w:tcPr>
            <w:tcW w:w="2171" w:type="dxa"/>
            <w:vAlign w:val="center"/>
          </w:tcPr>
          <w:p w14:paraId="6F4E022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2.9</w:t>
            </w:r>
          </w:p>
        </w:tc>
        <w:tc>
          <w:tcPr>
            <w:tcW w:w="2171" w:type="dxa"/>
            <w:vAlign w:val="center"/>
          </w:tcPr>
          <w:p w14:paraId="1EB4778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2.9</w:t>
            </w:r>
          </w:p>
        </w:tc>
        <w:tc>
          <w:tcPr>
            <w:tcW w:w="2171" w:type="dxa"/>
            <w:vAlign w:val="center"/>
          </w:tcPr>
          <w:p w14:paraId="0C59E06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2.9</w:t>
            </w:r>
          </w:p>
        </w:tc>
        <w:tc>
          <w:tcPr>
            <w:tcW w:w="2169" w:type="dxa"/>
            <w:vAlign w:val="center"/>
          </w:tcPr>
          <w:p w14:paraId="6F02233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2.9</w:t>
            </w:r>
          </w:p>
        </w:tc>
      </w:tr>
      <w:tr w:rsidR="00785714" w:rsidRPr="00596752" w14:paraId="0D5EA2A5" w14:textId="77777777" w:rsidTr="008658C9">
        <w:trPr>
          <w:cantSplit/>
        </w:trPr>
        <w:tc>
          <w:tcPr>
            <w:tcW w:w="1665" w:type="dxa"/>
            <w:vAlign w:val="center"/>
          </w:tcPr>
          <w:p w14:paraId="660D2D5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8.1.1</w:t>
            </w:r>
          </w:p>
        </w:tc>
        <w:tc>
          <w:tcPr>
            <w:tcW w:w="3827" w:type="dxa"/>
            <w:vAlign w:val="center"/>
          </w:tcPr>
          <w:p w14:paraId="22927F0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Poultry (excluding duck)</w:t>
            </w:r>
          </w:p>
        </w:tc>
        <w:tc>
          <w:tcPr>
            <w:tcW w:w="2171" w:type="dxa"/>
            <w:vAlign w:val="center"/>
          </w:tcPr>
          <w:p w14:paraId="691F665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102</w:t>
            </w:r>
          </w:p>
        </w:tc>
        <w:tc>
          <w:tcPr>
            <w:tcW w:w="2171" w:type="dxa"/>
            <w:vAlign w:val="center"/>
          </w:tcPr>
          <w:p w14:paraId="74A5DFA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102</w:t>
            </w:r>
          </w:p>
        </w:tc>
        <w:tc>
          <w:tcPr>
            <w:tcW w:w="2171" w:type="dxa"/>
            <w:vAlign w:val="center"/>
          </w:tcPr>
          <w:p w14:paraId="1A8332B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102</w:t>
            </w:r>
          </w:p>
        </w:tc>
        <w:tc>
          <w:tcPr>
            <w:tcW w:w="2169" w:type="dxa"/>
            <w:vAlign w:val="center"/>
          </w:tcPr>
          <w:p w14:paraId="363E415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102</w:t>
            </w:r>
          </w:p>
        </w:tc>
      </w:tr>
      <w:tr w:rsidR="00785714" w:rsidRPr="00596752" w14:paraId="54EA3643" w14:textId="77777777" w:rsidTr="008658C9">
        <w:trPr>
          <w:cantSplit/>
        </w:trPr>
        <w:tc>
          <w:tcPr>
            <w:tcW w:w="1665" w:type="dxa"/>
            <w:vAlign w:val="center"/>
          </w:tcPr>
          <w:p w14:paraId="0292523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8.1.1.2</w:t>
            </w:r>
          </w:p>
        </w:tc>
        <w:tc>
          <w:tcPr>
            <w:tcW w:w="3827" w:type="dxa"/>
            <w:vAlign w:val="center"/>
          </w:tcPr>
          <w:p w14:paraId="426892E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Poultry, duck only</w:t>
            </w:r>
          </w:p>
        </w:tc>
        <w:tc>
          <w:tcPr>
            <w:tcW w:w="2171" w:type="dxa"/>
            <w:vAlign w:val="center"/>
          </w:tcPr>
          <w:p w14:paraId="40D92F2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288</w:t>
            </w:r>
          </w:p>
        </w:tc>
        <w:tc>
          <w:tcPr>
            <w:tcW w:w="2171" w:type="dxa"/>
            <w:vAlign w:val="center"/>
          </w:tcPr>
          <w:p w14:paraId="66F26CE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288</w:t>
            </w:r>
          </w:p>
        </w:tc>
        <w:tc>
          <w:tcPr>
            <w:tcW w:w="2171" w:type="dxa"/>
            <w:vAlign w:val="center"/>
          </w:tcPr>
          <w:p w14:paraId="7D48477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288</w:t>
            </w:r>
          </w:p>
        </w:tc>
        <w:tc>
          <w:tcPr>
            <w:tcW w:w="2169" w:type="dxa"/>
            <w:vAlign w:val="center"/>
          </w:tcPr>
          <w:p w14:paraId="58EB460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288</w:t>
            </w:r>
          </w:p>
        </w:tc>
      </w:tr>
      <w:tr w:rsidR="00785714" w:rsidRPr="00596752" w14:paraId="2595CC5C" w14:textId="77777777" w:rsidTr="008658C9">
        <w:trPr>
          <w:cantSplit/>
        </w:trPr>
        <w:tc>
          <w:tcPr>
            <w:tcW w:w="1665" w:type="dxa"/>
            <w:vAlign w:val="center"/>
          </w:tcPr>
          <w:p w14:paraId="3830794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8.1.2</w:t>
            </w:r>
          </w:p>
        </w:tc>
        <w:tc>
          <w:tcPr>
            <w:tcW w:w="3827" w:type="dxa"/>
            <w:vAlign w:val="center"/>
          </w:tcPr>
          <w:p w14:paraId="36A8DFC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Game meat</w:t>
            </w:r>
          </w:p>
        </w:tc>
        <w:tc>
          <w:tcPr>
            <w:tcW w:w="2171" w:type="dxa"/>
            <w:vAlign w:val="center"/>
          </w:tcPr>
          <w:p w14:paraId="079D800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1,387</w:t>
            </w:r>
          </w:p>
        </w:tc>
        <w:tc>
          <w:tcPr>
            <w:tcW w:w="2171" w:type="dxa"/>
            <w:vAlign w:val="center"/>
          </w:tcPr>
          <w:p w14:paraId="40446E5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1,387</w:t>
            </w:r>
          </w:p>
        </w:tc>
        <w:tc>
          <w:tcPr>
            <w:tcW w:w="2171" w:type="dxa"/>
            <w:vAlign w:val="center"/>
          </w:tcPr>
          <w:p w14:paraId="1C4AFB5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1,387</w:t>
            </w:r>
          </w:p>
        </w:tc>
        <w:tc>
          <w:tcPr>
            <w:tcW w:w="2169" w:type="dxa"/>
            <w:vAlign w:val="center"/>
          </w:tcPr>
          <w:p w14:paraId="039927B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1,387</w:t>
            </w:r>
          </w:p>
        </w:tc>
      </w:tr>
      <w:tr w:rsidR="00785714" w:rsidRPr="00596752" w14:paraId="17907CB5" w14:textId="77777777" w:rsidTr="008658C9">
        <w:trPr>
          <w:cantSplit/>
        </w:trPr>
        <w:tc>
          <w:tcPr>
            <w:tcW w:w="1665" w:type="dxa"/>
            <w:vAlign w:val="center"/>
          </w:tcPr>
          <w:p w14:paraId="7ECDAB5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8.1.3.2</w:t>
            </w:r>
          </w:p>
        </w:tc>
        <w:tc>
          <w:tcPr>
            <w:tcW w:w="3827" w:type="dxa"/>
            <w:vAlign w:val="center"/>
          </w:tcPr>
          <w:p w14:paraId="3332A16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Meat {not poultry/game}, red</w:t>
            </w:r>
          </w:p>
        </w:tc>
        <w:tc>
          <w:tcPr>
            <w:tcW w:w="2171" w:type="dxa"/>
            <w:vAlign w:val="center"/>
          </w:tcPr>
          <w:p w14:paraId="3867289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733</w:t>
            </w:r>
          </w:p>
        </w:tc>
        <w:tc>
          <w:tcPr>
            <w:tcW w:w="2171" w:type="dxa"/>
            <w:vAlign w:val="center"/>
          </w:tcPr>
          <w:p w14:paraId="688BF9F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733</w:t>
            </w:r>
          </w:p>
        </w:tc>
        <w:tc>
          <w:tcPr>
            <w:tcW w:w="2171" w:type="dxa"/>
            <w:vAlign w:val="center"/>
          </w:tcPr>
          <w:p w14:paraId="5D01A13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733</w:t>
            </w:r>
          </w:p>
        </w:tc>
        <w:tc>
          <w:tcPr>
            <w:tcW w:w="2169" w:type="dxa"/>
            <w:vAlign w:val="center"/>
          </w:tcPr>
          <w:p w14:paraId="2293B4E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733</w:t>
            </w:r>
          </w:p>
        </w:tc>
      </w:tr>
      <w:tr w:rsidR="00785714" w:rsidRPr="00596752" w14:paraId="70150138" w14:textId="77777777" w:rsidTr="008658C9">
        <w:trPr>
          <w:cantSplit/>
        </w:trPr>
        <w:tc>
          <w:tcPr>
            <w:tcW w:w="1665" w:type="dxa"/>
            <w:vAlign w:val="center"/>
          </w:tcPr>
          <w:p w14:paraId="1D0CDD5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8.1.3.3</w:t>
            </w:r>
          </w:p>
        </w:tc>
        <w:tc>
          <w:tcPr>
            <w:tcW w:w="3827" w:type="dxa"/>
            <w:vAlign w:val="center"/>
          </w:tcPr>
          <w:p w14:paraId="1194CF5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Meat {not poultry/game}, white</w:t>
            </w:r>
          </w:p>
        </w:tc>
        <w:tc>
          <w:tcPr>
            <w:tcW w:w="2171" w:type="dxa"/>
            <w:vAlign w:val="center"/>
          </w:tcPr>
          <w:p w14:paraId="14E309E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197</w:t>
            </w:r>
          </w:p>
        </w:tc>
        <w:tc>
          <w:tcPr>
            <w:tcW w:w="2171" w:type="dxa"/>
            <w:vAlign w:val="center"/>
          </w:tcPr>
          <w:p w14:paraId="6500DAA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197</w:t>
            </w:r>
          </w:p>
        </w:tc>
        <w:tc>
          <w:tcPr>
            <w:tcW w:w="2171" w:type="dxa"/>
            <w:vAlign w:val="center"/>
          </w:tcPr>
          <w:p w14:paraId="6CD242A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197</w:t>
            </w:r>
          </w:p>
        </w:tc>
        <w:tc>
          <w:tcPr>
            <w:tcW w:w="2169" w:type="dxa"/>
            <w:vAlign w:val="center"/>
          </w:tcPr>
          <w:p w14:paraId="595369F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197</w:t>
            </w:r>
          </w:p>
        </w:tc>
      </w:tr>
      <w:tr w:rsidR="00785714" w:rsidRPr="00596752" w14:paraId="71FB2022" w14:textId="77777777" w:rsidTr="008658C9">
        <w:trPr>
          <w:cantSplit/>
        </w:trPr>
        <w:tc>
          <w:tcPr>
            <w:tcW w:w="1665" w:type="dxa"/>
            <w:vAlign w:val="center"/>
          </w:tcPr>
          <w:p w14:paraId="70DCAF0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8.1.4</w:t>
            </w:r>
          </w:p>
        </w:tc>
        <w:tc>
          <w:tcPr>
            <w:tcW w:w="3827" w:type="dxa"/>
            <w:vAlign w:val="center"/>
          </w:tcPr>
          <w:p w14:paraId="5D33E97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Offal, all types</w:t>
            </w:r>
          </w:p>
        </w:tc>
        <w:tc>
          <w:tcPr>
            <w:tcW w:w="2171" w:type="dxa"/>
            <w:vAlign w:val="center"/>
          </w:tcPr>
          <w:p w14:paraId="2B90B4E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126</w:t>
            </w:r>
          </w:p>
        </w:tc>
        <w:tc>
          <w:tcPr>
            <w:tcW w:w="2171" w:type="dxa"/>
            <w:vAlign w:val="center"/>
          </w:tcPr>
          <w:p w14:paraId="6977E11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126</w:t>
            </w:r>
          </w:p>
        </w:tc>
        <w:tc>
          <w:tcPr>
            <w:tcW w:w="2171" w:type="dxa"/>
            <w:vAlign w:val="center"/>
          </w:tcPr>
          <w:p w14:paraId="370443B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126</w:t>
            </w:r>
          </w:p>
        </w:tc>
        <w:tc>
          <w:tcPr>
            <w:tcW w:w="2169" w:type="dxa"/>
            <w:vAlign w:val="center"/>
          </w:tcPr>
          <w:p w14:paraId="39A7B5E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126</w:t>
            </w:r>
          </w:p>
        </w:tc>
      </w:tr>
      <w:tr w:rsidR="00785714" w:rsidRPr="00596752" w14:paraId="5BDD1BAD" w14:textId="77777777" w:rsidTr="008658C9">
        <w:trPr>
          <w:cantSplit/>
        </w:trPr>
        <w:tc>
          <w:tcPr>
            <w:tcW w:w="1665" w:type="dxa"/>
            <w:vAlign w:val="center"/>
          </w:tcPr>
          <w:p w14:paraId="4A0CACC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8.2</w:t>
            </w:r>
          </w:p>
        </w:tc>
        <w:tc>
          <w:tcPr>
            <w:tcW w:w="3827" w:type="dxa"/>
            <w:vAlign w:val="center"/>
          </w:tcPr>
          <w:p w14:paraId="634DA5B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Processed meat/ poultry/ game products in whole/ cut pieces (e.g. ham, bacon, smoked chicken)</w:t>
            </w:r>
          </w:p>
        </w:tc>
        <w:tc>
          <w:tcPr>
            <w:tcW w:w="2171" w:type="dxa"/>
            <w:vAlign w:val="center"/>
          </w:tcPr>
          <w:p w14:paraId="34DB194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223</w:t>
            </w:r>
          </w:p>
        </w:tc>
        <w:tc>
          <w:tcPr>
            <w:tcW w:w="2171" w:type="dxa"/>
            <w:vAlign w:val="center"/>
          </w:tcPr>
          <w:p w14:paraId="54656A5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223</w:t>
            </w:r>
          </w:p>
        </w:tc>
        <w:tc>
          <w:tcPr>
            <w:tcW w:w="2171" w:type="dxa"/>
            <w:vAlign w:val="center"/>
          </w:tcPr>
          <w:p w14:paraId="51ACA81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223</w:t>
            </w:r>
          </w:p>
        </w:tc>
        <w:tc>
          <w:tcPr>
            <w:tcW w:w="2169" w:type="dxa"/>
            <w:vAlign w:val="center"/>
          </w:tcPr>
          <w:p w14:paraId="67B9BEE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223</w:t>
            </w:r>
          </w:p>
        </w:tc>
      </w:tr>
      <w:tr w:rsidR="00785714" w:rsidRPr="00596752" w14:paraId="60C327FA" w14:textId="77777777" w:rsidTr="008658C9">
        <w:trPr>
          <w:cantSplit/>
        </w:trPr>
        <w:tc>
          <w:tcPr>
            <w:tcW w:w="1665" w:type="dxa"/>
            <w:vAlign w:val="center"/>
          </w:tcPr>
          <w:p w14:paraId="4C7B966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8.3</w:t>
            </w:r>
          </w:p>
        </w:tc>
        <w:tc>
          <w:tcPr>
            <w:tcW w:w="3827" w:type="dxa"/>
            <w:vAlign w:val="center"/>
          </w:tcPr>
          <w:p w14:paraId="3C471151"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Processed comminuted meat, poultry &amp; game products</w:t>
            </w:r>
          </w:p>
        </w:tc>
        <w:tc>
          <w:tcPr>
            <w:tcW w:w="2171" w:type="dxa"/>
            <w:vAlign w:val="center"/>
          </w:tcPr>
          <w:p w14:paraId="0D7026F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156</w:t>
            </w:r>
          </w:p>
        </w:tc>
        <w:tc>
          <w:tcPr>
            <w:tcW w:w="2171" w:type="dxa"/>
            <w:vAlign w:val="center"/>
          </w:tcPr>
          <w:p w14:paraId="2293CA1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156</w:t>
            </w:r>
          </w:p>
        </w:tc>
        <w:tc>
          <w:tcPr>
            <w:tcW w:w="2171" w:type="dxa"/>
            <w:vAlign w:val="center"/>
          </w:tcPr>
          <w:p w14:paraId="1ABBBD1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156</w:t>
            </w:r>
          </w:p>
        </w:tc>
        <w:tc>
          <w:tcPr>
            <w:tcW w:w="2169" w:type="dxa"/>
            <w:vAlign w:val="center"/>
          </w:tcPr>
          <w:p w14:paraId="2F51660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156</w:t>
            </w:r>
          </w:p>
        </w:tc>
      </w:tr>
      <w:tr w:rsidR="00785714" w:rsidRPr="00596752" w14:paraId="4662C138" w14:textId="77777777" w:rsidTr="008658C9">
        <w:trPr>
          <w:cantSplit/>
        </w:trPr>
        <w:tc>
          <w:tcPr>
            <w:tcW w:w="1665" w:type="dxa"/>
            <w:vAlign w:val="center"/>
          </w:tcPr>
          <w:p w14:paraId="39E1861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8.3.2</w:t>
            </w:r>
          </w:p>
        </w:tc>
        <w:tc>
          <w:tcPr>
            <w:tcW w:w="3827" w:type="dxa"/>
            <w:vAlign w:val="center"/>
          </w:tcPr>
          <w:p w14:paraId="1BE1621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Sausage &amp; sausage meat</w:t>
            </w:r>
          </w:p>
        </w:tc>
        <w:tc>
          <w:tcPr>
            <w:tcW w:w="2171" w:type="dxa"/>
            <w:vAlign w:val="center"/>
          </w:tcPr>
          <w:p w14:paraId="307CE85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184</w:t>
            </w:r>
          </w:p>
        </w:tc>
        <w:tc>
          <w:tcPr>
            <w:tcW w:w="2171" w:type="dxa"/>
            <w:vAlign w:val="center"/>
          </w:tcPr>
          <w:p w14:paraId="42EB3A1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184</w:t>
            </w:r>
          </w:p>
        </w:tc>
        <w:tc>
          <w:tcPr>
            <w:tcW w:w="2171" w:type="dxa"/>
            <w:vAlign w:val="center"/>
          </w:tcPr>
          <w:p w14:paraId="552032F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184</w:t>
            </w:r>
          </w:p>
        </w:tc>
        <w:tc>
          <w:tcPr>
            <w:tcW w:w="2169" w:type="dxa"/>
            <w:vAlign w:val="center"/>
          </w:tcPr>
          <w:p w14:paraId="4F4FE07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184</w:t>
            </w:r>
          </w:p>
        </w:tc>
      </w:tr>
      <w:tr w:rsidR="00785714" w:rsidRPr="00596752" w14:paraId="781824C6" w14:textId="77777777" w:rsidTr="008658C9">
        <w:trPr>
          <w:cantSplit/>
        </w:trPr>
        <w:tc>
          <w:tcPr>
            <w:tcW w:w="1665" w:type="dxa"/>
            <w:vAlign w:val="center"/>
          </w:tcPr>
          <w:p w14:paraId="559B5D9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9</w:t>
            </w:r>
          </w:p>
        </w:tc>
        <w:tc>
          <w:tcPr>
            <w:tcW w:w="3827" w:type="dxa"/>
            <w:vAlign w:val="center"/>
          </w:tcPr>
          <w:p w14:paraId="4461E79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Fish &amp; fish products (excluding category 9 foods listed below)</w:t>
            </w:r>
          </w:p>
        </w:tc>
        <w:tc>
          <w:tcPr>
            <w:tcW w:w="2171" w:type="dxa"/>
            <w:vAlign w:val="center"/>
          </w:tcPr>
          <w:p w14:paraId="7AFF144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40</w:t>
            </w:r>
          </w:p>
        </w:tc>
        <w:tc>
          <w:tcPr>
            <w:tcW w:w="2171" w:type="dxa"/>
            <w:vAlign w:val="center"/>
          </w:tcPr>
          <w:p w14:paraId="26B9C20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40</w:t>
            </w:r>
          </w:p>
        </w:tc>
        <w:tc>
          <w:tcPr>
            <w:tcW w:w="2171" w:type="dxa"/>
            <w:vAlign w:val="center"/>
          </w:tcPr>
          <w:p w14:paraId="3F5494E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40</w:t>
            </w:r>
          </w:p>
        </w:tc>
        <w:tc>
          <w:tcPr>
            <w:tcW w:w="2169" w:type="dxa"/>
            <w:vAlign w:val="center"/>
          </w:tcPr>
          <w:p w14:paraId="2AE0408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40</w:t>
            </w:r>
          </w:p>
        </w:tc>
      </w:tr>
      <w:tr w:rsidR="00785714" w:rsidRPr="00596752" w14:paraId="0A17A335" w14:textId="77777777" w:rsidTr="008658C9">
        <w:trPr>
          <w:cantSplit/>
        </w:trPr>
        <w:tc>
          <w:tcPr>
            <w:tcW w:w="1665" w:type="dxa"/>
            <w:vAlign w:val="center"/>
          </w:tcPr>
          <w:p w14:paraId="5147C6C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9.1.2</w:t>
            </w:r>
          </w:p>
        </w:tc>
        <w:tc>
          <w:tcPr>
            <w:tcW w:w="3827" w:type="dxa"/>
            <w:vAlign w:val="center"/>
          </w:tcPr>
          <w:p w14:paraId="49A27E8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Unprocessed crustacea</w:t>
            </w:r>
          </w:p>
        </w:tc>
        <w:tc>
          <w:tcPr>
            <w:tcW w:w="2171" w:type="dxa"/>
            <w:vAlign w:val="center"/>
          </w:tcPr>
          <w:p w14:paraId="79DC51D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41</w:t>
            </w:r>
          </w:p>
        </w:tc>
        <w:tc>
          <w:tcPr>
            <w:tcW w:w="2171" w:type="dxa"/>
            <w:vAlign w:val="center"/>
          </w:tcPr>
          <w:p w14:paraId="143C6E50"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41</w:t>
            </w:r>
          </w:p>
        </w:tc>
        <w:tc>
          <w:tcPr>
            <w:tcW w:w="2171" w:type="dxa"/>
            <w:vAlign w:val="center"/>
          </w:tcPr>
          <w:p w14:paraId="6D60B85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41</w:t>
            </w:r>
          </w:p>
        </w:tc>
        <w:tc>
          <w:tcPr>
            <w:tcW w:w="2169" w:type="dxa"/>
            <w:vAlign w:val="center"/>
          </w:tcPr>
          <w:p w14:paraId="328DEF0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41</w:t>
            </w:r>
          </w:p>
        </w:tc>
      </w:tr>
      <w:tr w:rsidR="00785714" w:rsidRPr="00596752" w14:paraId="18F7AF36" w14:textId="77777777" w:rsidTr="008658C9">
        <w:trPr>
          <w:cantSplit/>
        </w:trPr>
        <w:tc>
          <w:tcPr>
            <w:tcW w:w="1665" w:type="dxa"/>
            <w:vAlign w:val="center"/>
          </w:tcPr>
          <w:p w14:paraId="47DCDC8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9.1.3</w:t>
            </w:r>
          </w:p>
        </w:tc>
        <w:tc>
          <w:tcPr>
            <w:tcW w:w="3827" w:type="dxa"/>
            <w:vAlign w:val="center"/>
          </w:tcPr>
          <w:p w14:paraId="7F06052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Molluscs</w:t>
            </w:r>
          </w:p>
        </w:tc>
        <w:tc>
          <w:tcPr>
            <w:tcW w:w="2171" w:type="dxa"/>
            <w:vAlign w:val="center"/>
          </w:tcPr>
          <w:p w14:paraId="2501AE7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87</w:t>
            </w:r>
          </w:p>
        </w:tc>
        <w:tc>
          <w:tcPr>
            <w:tcW w:w="2171" w:type="dxa"/>
            <w:vAlign w:val="center"/>
          </w:tcPr>
          <w:p w14:paraId="4C90107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87</w:t>
            </w:r>
          </w:p>
        </w:tc>
        <w:tc>
          <w:tcPr>
            <w:tcW w:w="2171" w:type="dxa"/>
            <w:vAlign w:val="center"/>
          </w:tcPr>
          <w:p w14:paraId="4DD5306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87</w:t>
            </w:r>
          </w:p>
        </w:tc>
        <w:tc>
          <w:tcPr>
            <w:tcW w:w="2169" w:type="dxa"/>
            <w:vAlign w:val="center"/>
          </w:tcPr>
          <w:p w14:paraId="06AF951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87</w:t>
            </w:r>
          </w:p>
        </w:tc>
      </w:tr>
      <w:tr w:rsidR="00785714" w:rsidRPr="00596752" w14:paraId="3A225880" w14:textId="77777777" w:rsidTr="008658C9">
        <w:trPr>
          <w:cantSplit/>
        </w:trPr>
        <w:tc>
          <w:tcPr>
            <w:tcW w:w="1665" w:type="dxa"/>
            <w:vAlign w:val="center"/>
          </w:tcPr>
          <w:p w14:paraId="710956E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9.2.1</w:t>
            </w:r>
          </w:p>
        </w:tc>
        <w:tc>
          <w:tcPr>
            <w:tcW w:w="3827" w:type="dxa"/>
            <w:vAlign w:val="center"/>
          </w:tcPr>
          <w:p w14:paraId="0E579CC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Processed fish &amp; fish products, crustacea</w:t>
            </w:r>
          </w:p>
        </w:tc>
        <w:tc>
          <w:tcPr>
            <w:tcW w:w="2171" w:type="dxa"/>
            <w:vAlign w:val="center"/>
          </w:tcPr>
          <w:p w14:paraId="5227705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41</w:t>
            </w:r>
          </w:p>
        </w:tc>
        <w:tc>
          <w:tcPr>
            <w:tcW w:w="2171" w:type="dxa"/>
            <w:vAlign w:val="center"/>
          </w:tcPr>
          <w:p w14:paraId="4E0E7E5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41</w:t>
            </w:r>
          </w:p>
        </w:tc>
        <w:tc>
          <w:tcPr>
            <w:tcW w:w="2171" w:type="dxa"/>
            <w:vAlign w:val="center"/>
          </w:tcPr>
          <w:p w14:paraId="1D11D8A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41</w:t>
            </w:r>
          </w:p>
        </w:tc>
        <w:tc>
          <w:tcPr>
            <w:tcW w:w="2169" w:type="dxa"/>
            <w:vAlign w:val="center"/>
          </w:tcPr>
          <w:p w14:paraId="50B13A9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41</w:t>
            </w:r>
          </w:p>
        </w:tc>
      </w:tr>
      <w:tr w:rsidR="00785714" w:rsidRPr="00596752" w14:paraId="5AA8F4D9" w14:textId="77777777" w:rsidTr="008658C9">
        <w:trPr>
          <w:cantSplit/>
        </w:trPr>
        <w:tc>
          <w:tcPr>
            <w:tcW w:w="1665" w:type="dxa"/>
            <w:vAlign w:val="center"/>
          </w:tcPr>
          <w:p w14:paraId="52A9FA92"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9.3</w:t>
            </w:r>
          </w:p>
        </w:tc>
        <w:tc>
          <w:tcPr>
            <w:tcW w:w="3827" w:type="dxa"/>
            <w:vAlign w:val="center"/>
          </w:tcPr>
          <w:p w14:paraId="5DFE853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Semi-preserved fish &amp; fish products</w:t>
            </w:r>
          </w:p>
        </w:tc>
        <w:tc>
          <w:tcPr>
            <w:tcW w:w="2171" w:type="dxa"/>
            <w:vAlign w:val="center"/>
          </w:tcPr>
          <w:p w14:paraId="084A329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38</w:t>
            </w:r>
          </w:p>
        </w:tc>
        <w:tc>
          <w:tcPr>
            <w:tcW w:w="2171" w:type="dxa"/>
            <w:vAlign w:val="center"/>
          </w:tcPr>
          <w:p w14:paraId="218415B0"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38</w:t>
            </w:r>
          </w:p>
        </w:tc>
        <w:tc>
          <w:tcPr>
            <w:tcW w:w="2171" w:type="dxa"/>
            <w:vAlign w:val="center"/>
          </w:tcPr>
          <w:p w14:paraId="6340CF50"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38</w:t>
            </w:r>
          </w:p>
        </w:tc>
        <w:tc>
          <w:tcPr>
            <w:tcW w:w="2169" w:type="dxa"/>
            <w:vAlign w:val="center"/>
          </w:tcPr>
          <w:p w14:paraId="485E09C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38</w:t>
            </w:r>
          </w:p>
        </w:tc>
      </w:tr>
      <w:tr w:rsidR="00785714" w:rsidRPr="00596752" w14:paraId="031F1B1C" w14:textId="77777777" w:rsidTr="008658C9">
        <w:trPr>
          <w:cantSplit/>
        </w:trPr>
        <w:tc>
          <w:tcPr>
            <w:tcW w:w="1665" w:type="dxa"/>
            <w:vAlign w:val="center"/>
          </w:tcPr>
          <w:p w14:paraId="1EC60A7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9.4</w:t>
            </w:r>
          </w:p>
        </w:tc>
        <w:tc>
          <w:tcPr>
            <w:tcW w:w="3827" w:type="dxa"/>
            <w:vAlign w:val="center"/>
          </w:tcPr>
          <w:p w14:paraId="2E8C44B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Fully preserved fish including canned fish products</w:t>
            </w:r>
          </w:p>
        </w:tc>
        <w:tc>
          <w:tcPr>
            <w:tcW w:w="2171" w:type="dxa"/>
            <w:vAlign w:val="center"/>
          </w:tcPr>
          <w:p w14:paraId="5634A68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17</w:t>
            </w:r>
          </w:p>
        </w:tc>
        <w:tc>
          <w:tcPr>
            <w:tcW w:w="2171" w:type="dxa"/>
            <w:vAlign w:val="center"/>
          </w:tcPr>
          <w:p w14:paraId="3CE63E0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17</w:t>
            </w:r>
          </w:p>
        </w:tc>
        <w:tc>
          <w:tcPr>
            <w:tcW w:w="2171" w:type="dxa"/>
            <w:vAlign w:val="center"/>
          </w:tcPr>
          <w:p w14:paraId="67E72F7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17</w:t>
            </w:r>
          </w:p>
        </w:tc>
        <w:tc>
          <w:tcPr>
            <w:tcW w:w="2169" w:type="dxa"/>
            <w:vAlign w:val="center"/>
          </w:tcPr>
          <w:p w14:paraId="2B15EC8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17</w:t>
            </w:r>
          </w:p>
        </w:tc>
      </w:tr>
      <w:tr w:rsidR="00785714" w:rsidRPr="00596752" w14:paraId="6ECE58F3" w14:textId="77777777" w:rsidTr="008658C9">
        <w:trPr>
          <w:cantSplit/>
        </w:trPr>
        <w:tc>
          <w:tcPr>
            <w:tcW w:w="1665" w:type="dxa"/>
            <w:vAlign w:val="center"/>
          </w:tcPr>
          <w:p w14:paraId="5B5FB98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10</w:t>
            </w:r>
          </w:p>
        </w:tc>
        <w:tc>
          <w:tcPr>
            <w:tcW w:w="3827" w:type="dxa"/>
            <w:vAlign w:val="center"/>
          </w:tcPr>
          <w:p w14:paraId="025CED9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Egg &amp; egg products</w:t>
            </w:r>
          </w:p>
        </w:tc>
        <w:tc>
          <w:tcPr>
            <w:tcW w:w="2171" w:type="dxa"/>
            <w:vAlign w:val="center"/>
          </w:tcPr>
          <w:p w14:paraId="4212EB1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w:t>
            </w:r>
          </w:p>
        </w:tc>
        <w:tc>
          <w:tcPr>
            <w:tcW w:w="2171" w:type="dxa"/>
            <w:vAlign w:val="center"/>
          </w:tcPr>
          <w:p w14:paraId="6AD2485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w:t>
            </w:r>
          </w:p>
        </w:tc>
        <w:tc>
          <w:tcPr>
            <w:tcW w:w="2171" w:type="dxa"/>
            <w:vAlign w:val="center"/>
          </w:tcPr>
          <w:p w14:paraId="202D56A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w:t>
            </w:r>
          </w:p>
        </w:tc>
        <w:tc>
          <w:tcPr>
            <w:tcW w:w="2169" w:type="dxa"/>
            <w:vAlign w:val="center"/>
          </w:tcPr>
          <w:p w14:paraId="0661BE4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w:t>
            </w:r>
          </w:p>
        </w:tc>
      </w:tr>
      <w:tr w:rsidR="00785714" w:rsidRPr="00596752" w14:paraId="31C62A0C" w14:textId="77777777" w:rsidTr="008658C9">
        <w:trPr>
          <w:cantSplit/>
        </w:trPr>
        <w:tc>
          <w:tcPr>
            <w:tcW w:w="1665" w:type="dxa"/>
            <w:vAlign w:val="center"/>
          </w:tcPr>
          <w:p w14:paraId="7D375F5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12.5</w:t>
            </w:r>
          </w:p>
        </w:tc>
        <w:tc>
          <w:tcPr>
            <w:tcW w:w="3827" w:type="dxa"/>
            <w:vAlign w:val="center"/>
          </w:tcPr>
          <w:p w14:paraId="50511FD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Yeast &amp; yeast products</w:t>
            </w:r>
          </w:p>
        </w:tc>
        <w:tc>
          <w:tcPr>
            <w:tcW w:w="2171" w:type="dxa"/>
            <w:vAlign w:val="center"/>
          </w:tcPr>
          <w:p w14:paraId="53402EF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c>
          <w:tcPr>
            <w:tcW w:w="2171" w:type="dxa"/>
            <w:vAlign w:val="center"/>
          </w:tcPr>
          <w:p w14:paraId="6057613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71" w:type="dxa"/>
            <w:vAlign w:val="center"/>
          </w:tcPr>
          <w:p w14:paraId="133A96B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69" w:type="dxa"/>
            <w:vAlign w:val="center"/>
          </w:tcPr>
          <w:p w14:paraId="49B4A26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r>
      <w:tr w:rsidR="00785714" w:rsidRPr="00596752" w14:paraId="607EC994" w14:textId="77777777" w:rsidTr="008658C9">
        <w:trPr>
          <w:cantSplit/>
        </w:trPr>
        <w:tc>
          <w:tcPr>
            <w:tcW w:w="1665" w:type="dxa"/>
            <w:vAlign w:val="center"/>
          </w:tcPr>
          <w:p w14:paraId="1A47DAC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lastRenderedPageBreak/>
              <w:t>13.1</w:t>
            </w:r>
          </w:p>
        </w:tc>
        <w:tc>
          <w:tcPr>
            <w:tcW w:w="3827" w:type="dxa"/>
            <w:vAlign w:val="center"/>
          </w:tcPr>
          <w:p w14:paraId="51A1355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Infant formula products</w:t>
            </w:r>
          </w:p>
        </w:tc>
        <w:tc>
          <w:tcPr>
            <w:tcW w:w="2171" w:type="dxa"/>
            <w:vAlign w:val="center"/>
          </w:tcPr>
          <w:p w14:paraId="3088797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21</w:t>
            </w:r>
          </w:p>
        </w:tc>
        <w:tc>
          <w:tcPr>
            <w:tcW w:w="2171" w:type="dxa"/>
            <w:vAlign w:val="center"/>
          </w:tcPr>
          <w:p w14:paraId="7EA9884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21</w:t>
            </w:r>
          </w:p>
        </w:tc>
        <w:tc>
          <w:tcPr>
            <w:tcW w:w="2171" w:type="dxa"/>
            <w:vAlign w:val="center"/>
          </w:tcPr>
          <w:p w14:paraId="48DECE4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21</w:t>
            </w:r>
          </w:p>
        </w:tc>
        <w:tc>
          <w:tcPr>
            <w:tcW w:w="2169" w:type="dxa"/>
            <w:vAlign w:val="center"/>
          </w:tcPr>
          <w:p w14:paraId="269C97F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21</w:t>
            </w:r>
          </w:p>
        </w:tc>
      </w:tr>
      <w:tr w:rsidR="00785714" w:rsidRPr="00596752" w14:paraId="1C7D0535" w14:textId="77777777" w:rsidTr="008658C9">
        <w:trPr>
          <w:cantSplit/>
        </w:trPr>
        <w:tc>
          <w:tcPr>
            <w:tcW w:w="1665" w:type="dxa"/>
            <w:vAlign w:val="center"/>
          </w:tcPr>
          <w:p w14:paraId="7B080D5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13.2.1</w:t>
            </w:r>
          </w:p>
        </w:tc>
        <w:tc>
          <w:tcPr>
            <w:tcW w:w="3827" w:type="dxa"/>
            <w:vAlign w:val="center"/>
          </w:tcPr>
          <w:p w14:paraId="7EF526A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Infant cereal products</w:t>
            </w:r>
          </w:p>
        </w:tc>
        <w:tc>
          <w:tcPr>
            <w:tcW w:w="2171" w:type="dxa"/>
            <w:vAlign w:val="center"/>
          </w:tcPr>
          <w:p w14:paraId="1DDA047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3.4</w:t>
            </w:r>
          </w:p>
        </w:tc>
        <w:tc>
          <w:tcPr>
            <w:tcW w:w="2171" w:type="dxa"/>
            <w:vAlign w:val="center"/>
          </w:tcPr>
          <w:p w14:paraId="4FEAB4B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3.4</w:t>
            </w:r>
          </w:p>
        </w:tc>
        <w:tc>
          <w:tcPr>
            <w:tcW w:w="2171" w:type="dxa"/>
            <w:vAlign w:val="center"/>
          </w:tcPr>
          <w:p w14:paraId="7A243FC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3.4</w:t>
            </w:r>
          </w:p>
        </w:tc>
        <w:tc>
          <w:tcPr>
            <w:tcW w:w="2169" w:type="dxa"/>
            <w:vAlign w:val="center"/>
          </w:tcPr>
          <w:p w14:paraId="5BB07B7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3.4</w:t>
            </w:r>
          </w:p>
        </w:tc>
      </w:tr>
      <w:tr w:rsidR="00785714" w:rsidRPr="00596752" w14:paraId="01258256" w14:textId="77777777" w:rsidTr="008658C9">
        <w:trPr>
          <w:cantSplit/>
        </w:trPr>
        <w:tc>
          <w:tcPr>
            <w:tcW w:w="1665" w:type="dxa"/>
            <w:vAlign w:val="center"/>
          </w:tcPr>
          <w:p w14:paraId="033D839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13.2.2</w:t>
            </w:r>
          </w:p>
        </w:tc>
        <w:tc>
          <w:tcPr>
            <w:tcW w:w="3827" w:type="dxa"/>
            <w:vAlign w:val="center"/>
          </w:tcPr>
          <w:p w14:paraId="69EE20A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Infant fruit</w:t>
            </w:r>
          </w:p>
        </w:tc>
        <w:tc>
          <w:tcPr>
            <w:tcW w:w="2171" w:type="dxa"/>
            <w:vAlign w:val="center"/>
          </w:tcPr>
          <w:p w14:paraId="6F68917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w:t>
            </w:r>
          </w:p>
        </w:tc>
        <w:tc>
          <w:tcPr>
            <w:tcW w:w="2171" w:type="dxa"/>
            <w:vAlign w:val="center"/>
          </w:tcPr>
          <w:p w14:paraId="19A1ACC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71" w:type="dxa"/>
            <w:vAlign w:val="center"/>
          </w:tcPr>
          <w:p w14:paraId="6A6DC4E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69" w:type="dxa"/>
            <w:vAlign w:val="center"/>
          </w:tcPr>
          <w:p w14:paraId="10289D4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w:t>
            </w:r>
          </w:p>
        </w:tc>
      </w:tr>
      <w:tr w:rsidR="00785714" w:rsidRPr="00596752" w14:paraId="35BA72BF" w14:textId="77777777" w:rsidTr="008658C9">
        <w:trPr>
          <w:cantSplit/>
        </w:trPr>
        <w:tc>
          <w:tcPr>
            <w:tcW w:w="1665" w:type="dxa"/>
            <w:vAlign w:val="center"/>
          </w:tcPr>
          <w:p w14:paraId="1705C7C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13.2.3</w:t>
            </w:r>
          </w:p>
        </w:tc>
        <w:tc>
          <w:tcPr>
            <w:tcW w:w="3827" w:type="dxa"/>
            <w:vAlign w:val="center"/>
          </w:tcPr>
          <w:p w14:paraId="53CEE3E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Infant dairy desserts</w:t>
            </w:r>
          </w:p>
        </w:tc>
        <w:tc>
          <w:tcPr>
            <w:tcW w:w="2171" w:type="dxa"/>
            <w:vAlign w:val="center"/>
          </w:tcPr>
          <w:p w14:paraId="430A17D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7542032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0080AE4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63AB17B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697E86D6" w14:textId="77777777" w:rsidTr="008658C9">
        <w:trPr>
          <w:cantSplit/>
        </w:trPr>
        <w:tc>
          <w:tcPr>
            <w:tcW w:w="1665" w:type="dxa"/>
            <w:vAlign w:val="center"/>
          </w:tcPr>
          <w:p w14:paraId="4CD0DA7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13.2.4</w:t>
            </w:r>
          </w:p>
        </w:tc>
        <w:tc>
          <w:tcPr>
            <w:tcW w:w="3827" w:type="dxa"/>
            <w:vAlign w:val="center"/>
          </w:tcPr>
          <w:p w14:paraId="0359A8E1"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Infant gels &amp; juices</w:t>
            </w:r>
          </w:p>
        </w:tc>
        <w:tc>
          <w:tcPr>
            <w:tcW w:w="2171" w:type="dxa"/>
            <w:vAlign w:val="center"/>
          </w:tcPr>
          <w:p w14:paraId="21B0623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0.05</w:t>
            </w:r>
          </w:p>
        </w:tc>
        <w:tc>
          <w:tcPr>
            <w:tcW w:w="2171" w:type="dxa"/>
            <w:vAlign w:val="center"/>
          </w:tcPr>
          <w:p w14:paraId="06B4540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0.05</w:t>
            </w:r>
          </w:p>
        </w:tc>
        <w:tc>
          <w:tcPr>
            <w:tcW w:w="2171" w:type="dxa"/>
            <w:vAlign w:val="center"/>
          </w:tcPr>
          <w:p w14:paraId="4F07B8E0"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0.05</w:t>
            </w:r>
          </w:p>
        </w:tc>
        <w:tc>
          <w:tcPr>
            <w:tcW w:w="2169" w:type="dxa"/>
            <w:vAlign w:val="center"/>
          </w:tcPr>
          <w:p w14:paraId="764C55A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0.05</w:t>
            </w:r>
          </w:p>
        </w:tc>
      </w:tr>
      <w:tr w:rsidR="00785714" w:rsidRPr="00596752" w14:paraId="1D1B4448" w14:textId="77777777" w:rsidTr="008658C9">
        <w:trPr>
          <w:cantSplit/>
        </w:trPr>
        <w:tc>
          <w:tcPr>
            <w:tcW w:w="1665" w:type="dxa"/>
            <w:vAlign w:val="center"/>
          </w:tcPr>
          <w:p w14:paraId="3607AF2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13.3.1</w:t>
            </w:r>
          </w:p>
        </w:tc>
        <w:tc>
          <w:tcPr>
            <w:tcW w:w="3827" w:type="dxa"/>
          </w:tcPr>
          <w:p w14:paraId="5FD7958E" w14:textId="77777777" w:rsidR="00785714" w:rsidRPr="00596752" w:rsidRDefault="00785714" w:rsidP="00811A8E">
            <w:pPr>
              <w:spacing w:before="40" w:after="40"/>
              <w:rPr>
                <w:rFonts w:cs="Arial"/>
                <w:color w:val="000000"/>
                <w:sz w:val="20"/>
                <w:szCs w:val="20"/>
                <w:highlight w:val="magenta"/>
              </w:rPr>
            </w:pPr>
            <w:r w:rsidRPr="00596752">
              <w:rPr>
                <w:sz w:val="20"/>
                <w:szCs w:val="20"/>
              </w:rPr>
              <w:t>Solid formula meal replacement &amp; formulated supplementary foods</w:t>
            </w:r>
          </w:p>
        </w:tc>
        <w:tc>
          <w:tcPr>
            <w:tcW w:w="2171" w:type="dxa"/>
            <w:vAlign w:val="center"/>
          </w:tcPr>
          <w:p w14:paraId="6C91445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259</w:t>
            </w:r>
          </w:p>
        </w:tc>
        <w:tc>
          <w:tcPr>
            <w:tcW w:w="2171" w:type="dxa"/>
            <w:vAlign w:val="center"/>
          </w:tcPr>
          <w:p w14:paraId="1BF8DDE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259</w:t>
            </w:r>
          </w:p>
        </w:tc>
        <w:tc>
          <w:tcPr>
            <w:tcW w:w="2171" w:type="dxa"/>
            <w:vAlign w:val="center"/>
          </w:tcPr>
          <w:p w14:paraId="3565EE9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259</w:t>
            </w:r>
          </w:p>
        </w:tc>
        <w:tc>
          <w:tcPr>
            <w:tcW w:w="2169" w:type="dxa"/>
            <w:vAlign w:val="center"/>
          </w:tcPr>
          <w:p w14:paraId="227FD50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5,555</w:t>
            </w:r>
          </w:p>
        </w:tc>
      </w:tr>
      <w:tr w:rsidR="00785714" w:rsidRPr="00596752" w14:paraId="708B765A" w14:textId="77777777" w:rsidTr="008658C9">
        <w:trPr>
          <w:cantSplit/>
        </w:trPr>
        <w:tc>
          <w:tcPr>
            <w:tcW w:w="1665" w:type="dxa"/>
            <w:vAlign w:val="center"/>
          </w:tcPr>
          <w:p w14:paraId="3A174B7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13.3.2</w:t>
            </w:r>
          </w:p>
        </w:tc>
        <w:tc>
          <w:tcPr>
            <w:tcW w:w="3827" w:type="dxa"/>
          </w:tcPr>
          <w:p w14:paraId="2AB798E8" w14:textId="77777777" w:rsidR="00785714" w:rsidRPr="00596752" w:rsidRDefault="00785714" w:rsidP="00811A8E">
            <w:pPr>
              <w:spacing w:before="40" w:after="40"/>
              <w:rPr>
                <w:rFonts w:cs="Arial"/>
                <w:color w:val="000000"/>
                <w:sz w:val="20"/>
                <w:szCs w:val="20"/>
                <w:highlight w:val="magenta"/>
              </w:rPr>
            </w:pPr>
            <w:r w:rsidRPr="00596752">
              <w:rPr>
                <w:sz w:val="20"/>
                <w:szCs w:val="20"/>
              </w:rPr>
              <w:t>Liquid formula meal replacement &amp; formulated supplementary foods</w:t>
            </w:r>
          </w:p>
        </w:tc>
        <w:tc>
          <w:tcPr>
            <w:tcW w:w="2171" w:type="dxa"/>
            <w:vAlign w:val="center"/>
          </w:tcPr>
          <w:p w14:paraId="6071D35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09C5D9B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063E404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1D340AB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833</w:t>
            </w:r>
          </w:p>
        </w:tc>
      </w:tr>
      <w:tr w:rsidR="00785714" w:rsidRPr="00596752" w14:paraId="5D5F64FF" w14:textId="77777777" w:rsidTr="008658C9">
        <w:trPr>
          <w:cantSplit/>
        </w:trPr>
        <w:tc>
          <w:tcPr>
            <w:tcW w:w="1665" w:type="dxa"/>
            <w:vAlign w:val="center"/>
          </w:tcPr>
          <w:p w14:paraId="3148482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13.4.1</w:t>
            </w:r>
          </w:p>
        </w:tc>
        <w:tc>
          <w:tcPr>
            <w:tcW w:w="3827" w:type="dxa"/>
            <w:vAlign w:val="center"/>
          </w:tcPr>
          <w:p w14:paraId="3D055BA2"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Solid formulated supplementary sports foods</w:t>
            </w:r>
          </w:p>
        </w:tc>
        <w:tc>
          <w:tcPr>
            <w:tcW w:w="2171" w:type="dxa"/>
            <w:vAlign w:val="center"/>
          </w:tcPr>
          <w:p w14:paraId="119930A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2,222</w:t>
            </w:r>
          </w:p>
        </w:tc>
        <w:tc>
          <w:tcPr>
            <w:tcW w:w="2171" w:type="dxa"/>
            <w:vAlign w:val="center"/>
          </w:tcPr>
          <w:p w14:paraId="3CECC94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2,222</w:t>
            </w:r>
          </w:p>
        </w:tc>
        <w:tc>
          <w:tcPr>
            <w:tcW w:w="2171" w:type="dxa"/>
            <w:vAlign w:val="center"/>
          </w:tcPr>
          <w:p w14:paraId="62F30C6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11,111</w:t>
            </w:r>
          </w:p>
        </w:tc>
        <w:tc>
          <w:tcPr>
            <w:tcW w:w="2169" w:type="dxa"/>
            <w:vAlign w:val="center"/>
          </w:tcPr>
          <w:p w14:paraId="213084B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11,111</w:t>
            </w:r>
          </w:p>
        </w:tc>
      </w:tr>
      <w:tr w:rsidR="00785714" w:rsidRPr="00596752" w14:paraId="3FCC7C43" w14:textId="77777777" w:rsidTr="008658C9">
        <w:trPr>
          <w:cantSplit/>
        </w:trPr>
        <w:tc>
          <w:tcPr>
            <w:tcW w:w="1665" w:type="dxa"/>
            <w:vAlign w:val="center"/>
          </w:tcPr>
          <w:p w14:paraId="2FB27DA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13.4.2</w:t>
            </w:r>
          </w:p>
        </w:tc>
        <w:tc>
          <w:tcPr>
            <w:tcW w:w="3827" w:type="dxa"/>
            <w:vAlign w:val="center"/>
          </w:tcPr>
          <w:p w14:paraId="6D8B428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Liquid formulated supplementary sports foods</w:t>
            </w:r>
          </w:p>
        </w:tc>
        <w:tc>
          <w:tcPr>
            <w:tcW w:w="2171" w:type="dxa"/>
            <w:vAlign w:val="center"/>
          </w:tcPr>
          <w:p w14:paraId="12847DE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200</w:t>
            </w:r>
          </w:p>
        </w:tc>
        <w:tc>
          <w:tcPr>
            <w:tcW w:w="2171" w:type="dxa"/>
            <w:vAlign w:val="center"/>
          </w:tcPr>
          <w:p w14:paraId="7FDFC62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200</w:t>
            </w:r>
          </w:p>
        </w:tc>
        <w:tc>
          <w:tcPr>
            <w:tcW w:w="2171" w:type="dxa"/>
            <w:vAlign w:val="center"/>
          </w:tcPr>
          <w:p w14:paraId="46C2F82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1,000</w:t>
            </w:r>
          </w:p>
        </w:tc>
        <w:tc>
          <w:tcPr>
            <w:tcW w:w="2169" w:type="dxa"/>
            <w:vAlign w:val="center"/>
          </w:tcPr>
          <w:p w14:paraId="40B6CC6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1,000</w:t>
            </w:r>
          </w:p>
        </w:tc>
      </w:tr>
      <w:tr w:rsidR="00785714" w:rsidRPr="00596752" w14:paraId="5FC03936" w14:textId="77777777" w:rsidTr="008658C9">
        <w:trPr>
          <w:cantSplit/>
        </w:trPr>
        <w:tc>
          <w:tcPr>
            <w:tcW w:w="1665" w:type="dxa"/>
            <w:vAlign w:val="center"/>
          </w:tcPr>
          <w:p w14:paraId="22C7DEF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13.5</w:t>
            </w:r>
          </w:p>
        </w:tc>
        <w:tc>
          <w:tcPr>
            <w:tcW w:w="3827" w:type="dxa"/>
            <w:vAlign w:val="center"/>
          </w:tcPr>
          <w:p w14:paraId="68C0C42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Toddler formula products (excluding soy based)</w:t>
            </w:r>
          </w:p>
        </w:tc>
        <w:tc>
          <w:tcPr>
            <w:tcW w:w="2171" w:type="dxa"/>
            <w:vAlign w:val="center"/>
          </w:tcPr>
          <w:p w14:paraId="4630F42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5F12CDD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6F70676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463AFB1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009392DF" w14:textId="77777777" w:rsidTr="008658C9">
        <w:trPr>
          <w:cantSplit/>
        </w:trPr>
        <w:tc>
          <w:tcPr>
            <w:tcW w:w="1665" w:type="dxa"/>
            <w:vAlign w:val="center"/>
          </w:tcPr>
          <w:p w14:paraId="6C5FB6D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13.5.1</w:t>
            </w:r>
          </w:p>
        </w:tc>
        <w:tc>
          <w:tcPr>
            <w:tcW w:w="3827" w:type="dxa"/>
            <w:vAlign w:val="center"/>
          </w:tcPr>
          <w:p w14:paraId="2EF72BD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Toddler formula products, soy based</w:t>
            </w:r>
          </w:p>
        </w:tc>
        <w:tc>
          <w:tcPr>
            <w:tcW w:w="2171" w:type="dxa"/>
            <w:vAlign w:val="center"/>
          </w:tcPr>
          <w:p w14:paraId="5B5A35D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2.5</w:t>
            </w:r>
          </w:p>
        </w:tc>
        <w:tc>
          <w:tcPr>
            <w:tcW w:w="2171" w:type="dxa"/>
            <w:vAlign w:val="center"/>
          </w:tcPr>
          <w:p w14:paraId="2ED1602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2.5</w:t>
            </w:r>
          </w:p>
        </w:tc>
        <w:tc>
          <w:tcPr>
            <w:tcW w:w="2171" w:type="dxa"/>
            <w:vAlign w:val="center"/>
          </w:tcPr>
          <w:p w14:paraId="3162EEE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2.5</w:t>
            </w:r>
          </w:p>
        </w:tc>
        <w:tc>
          <w:tcPr>
            <w:tcW w:w="2169" w:type="dxa"/>
            <w:vAlign w:val="center"/>
          </w:tcPr>
          <w:p w14:paraId="3B74880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2.5</w:t>
            </w:r>
          </w:p>
        </w:tc>
      </w:tr>
      <w:tr w:rsidR="00785714" w:rsidRPr="00596752" w14:paraId="324DF49E" w14:textId="77777777" w:rsidTr="008658C9">
        <w:trPr>
          <w:cantSplit/>
        </w:trPr>
        <w:tc>
          <w:tcPr>
            <w:tcW w:w="1665" w:type="dxa"/>
            <w:vAlign w:val="center"/>
          </w:tcPr>
          <w:p w14:paraId="38762112"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14.1.2</w:t>
            </w:r>
          </w:p>
        </w:tc>
        <w:tc>
          <w:tcPr>
            <w:tcW w:w="3827" w:type="dxa"/>
            <w:vAlign w:val="center"/>
          </w:tcPr>
          <w:p w14:paraId="26DF81E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Fruit &amp; vegetable juices &amp; fruit &amp; vegetable juice products</w:t>
            </w:r>
          </w:p>
        </w:tc>
        <w:tc>
          <w:tcPr>
            <w:tcW w:w="2171" w:type="dxa"/>
            <w:vAlign w:val="center"/>
          </w:tcPr>
          <w:p w14:paraId="6786B84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0.05</w:t>
            </w:r>
          </w:p>
        </w:tc>
        <w:tc>
          <w:tcPr>
            <w:tcW w:w="2171" w:type="dxa"/>
            <w:vAlign w:val="center"/>
          </w:tcPr>
          <w:p w14:paraId="3659762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0.05</w:t>
            </w:r>
          </w:p>
        </w:tc>
        <w:tc>
          <w:tcPr>
            <w:tcW w:w="2171" w:type="dxa"/>
            <w:vAlign w:val="center"/>
          </w:tcPr>
          <w:p w14:paraId="2117A77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0.05</w:t>
            </w:r>
          </w:p>
        </w:tc>
        <w:tc>
          <w:tcPr>
            <w:tcW w:w="2169" w:type="dxa"/>
            <w:vAlign w:val="center"/>
          </w:tcPr>
          <w:p w14:paraId="23814C0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400</w:t>
            </w:r>
          </w:p>
        </w:tc>
      </w:tr>
      <w:tr w:rsidR="00785714" w:rsidRPr="00596752" w14:paraId="61B04294" w14:textId="77777777" w:rsidTr="008658C9">
        <w:trPr>
          <w:cantSplit/>
        </w:trPr>
        <w:tc>
          <w:tcPr>
            <w:tcW w:w="1665" w:type="dxa"/>
            <w:vAlign w:val="center"/>
          </w:tcPr>
          <w:p w14:paraId="73AE2FF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14.1.2.1.1</w:t>
            </w:r>
          </w:p>
        </w:tc>
        <w:tc>
          <w:tcPr>
            <w:tcW w:w="3827" w:type="dxa"/>
            <w:vAlign w:val="center"/>
          </w:tcPr>
          <w:p w14:paraId="7C72ACA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Coconut milk, coconut cream &amp; coconut syrup</w:t>
            </w:r>
          </w:p>
        </w:tc>
        <w:tc>
          <w:tcPr>
            <w:tcW w:w="2171" w:type="dxa"/>
            <w:vAlign w:val="center"/>
          </w:tcPr>
          <w:p w14:paraId="565797F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0.05</w:t>
            </w:r>
          </w:p>
        </w:tc>
        <w:tc>
          <w:tcPr>
            <w:tcW w:w="2171" w:type="dxa"/>
            <w:vAlign w:val="center"/>
          </w:tcPr>
          <w:p w14:paraId="796D588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0.05</w:t>
            </w:r>
          </w:p>
        </w:tc>
        <w:tc>
          <w:tcPr>
            <w:tcW w:w="2171" w:type="dxa"/>
            <w:vAlign w:val="center"/>
          </w:tcPr>
          <w:p w14:paraId="72E9708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0.05</w:t>
            </w:r>
          </w:p>
        </w:tc>
        <w:tc>
          <w:tcPr>
            <w:tcW w:w="2169" w:type="dxa"/>
            <w:vAlign w:val="center"/>
          </w:tcPr>
          <w:p w14:paraId="008DF9A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0.05</w:t>
            </w:r>
          </w:p>
        </w:tc>
      </w:tr>
      <w:tr w:rsidR="00785714" w:rsidRPr="00596752" w14:paraId="0690849C" w14:textId="77777777" w:rsidTr="008658C9">
        <w:trPr>
          <w:cantSplit/>
        </w:trPr>
        <w:tc>
          <w:tcPr>
            <w:tcW w:w="1665" w:type="dxa"/>
            <w:vAlign w:val="center"/>
          </w:tcPr>
          <w:p w14:paraId="41F714B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14.1.3</w:t>
            </w:r>
          </w:p>
        </w:tc>
        <w:tc>
          <w:tcPr>
            <w:tcW w:w="3827" w:type="dxa"/>
            <w:vAlign w:val="center"/>
          </w:tcPr>
          <w:p w14:paraId="3EE2737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Soft drinks (excluding intensely sweetened)</w:t>
            </w:r>
          </w:p>
        </w:tc>
        <w:tc>
          <w:tcPr>
            <w:tcW w:w="2171" w:type="dxa"/>
            <w:vAlign w:val="center"/>
          </w:tcPr>
          <w:p w14:paraId="107484E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w:t>
            </w:r>
          </w:p>
        </w:tc>
        <w:tc>
          <w:tcPr>
            <w:tcW w:w="2171" w:type="dxa"/>
            <w:vAlign w:val="center"/>
          </w:tcPr>
          <w:p w14:paraId="611B889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7854715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69" w:type="dxa"/>
            <w:vAlign w:val="center"/>
          </w:tcPr>
          <w:p w14:paraId="5A8DA21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1,000</w:t>
            </w:r>
          </w:p>
        </w:tc>
      </w:tr>
      <w:tr w:rsidR="00785714" w:rsidRPr="00596752" w14:paraId="7254AFFC" w14:textId="77777777" w:rsidTr="008658C9">
        <w:trPr>
          <w:cantSplit/>
        </w:trPr>
        <w:tc>
          <w:tcPr>
            <w:tcW w:w="1665" w:type="dxa"/>
            <w:vAlign w:val="center"/>
          </w:tcPr>
          <w:p w14:paraId="713BFAE2"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14.1.3.1.1.1.2</w:t>
            </w:r>
          </w:p>
        </w:tc>
        <w:tc>
          <w:tcPr>
            <w:tcW w:w="3827" w:type="dxa"/>
            <w:vAlign w:val="center"/>
          </w:tcPr>
          <w:p w14:paraId="2514A25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Non-brewed soft drink, carbonated, kola, intensely sweetened</w:t>
            </w:r>
          </w:p>
        </w:tc>
        <w:tc>
          <w:tcPr>
            <w:tcW w:w="2171" w:type="dxa"/>
            <w:vAlign w:val="center"/>
          </w:tcPr>
          <w:p w14:paraId="23A5CA2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2A48805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3A6FC14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69" w:type="dxa"/>
            <w:vAlign w:val="center"/>
          </w:tcPr>
          <w:p w14:paraId="6C5775F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r>
      <w:tr w:rsidR="00785714" w:rsidRPr="00596752" w14:paraId="43358B81" w14:textId="77777777" w:rsidTr="008658C9">
        <w:trPr>
          <w:cantSplit/>
        </w:trPr>
        <w:tc>
          <w:tcPr>
            <w:tcW w:w="1665" w:type="dxa"/>
            <w:vAlign w:val="center"/>
          </w:tcPr>
          <w:p w14:paraId="35F0461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lastRenderedPageBreak/>
              <w:t>14.1.3.1.1.2.1</w:t>
            </w:r>
          </w:p>
        </w:tc>
        <w:tc>
          <w:tcPr>
            <w:tcW w:w="3827" w:type="dxa"/>
            <w:vAlign w:val="center"/>
          </w:tcPr>
          <w:p w14:paraId="5DBEB23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Non-brewed soft drink, carbonated, not kola type, intensely sweetened</w:t>
            </w:r>
          </w:p>
        </w:tc>
        <w:tc>
          <w:tcPr>
            <w:tcW w:w="2171" w:type="dxa"/>
            <w:vAlign w:val="center"/>
          </w:tcPr>
          <w:p w14:paraId="77C775C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39FDCA3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5843EDC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69" w:type="dxa"/>
            <w:vAlign w:val="center"/>
          </w:tcPr>
          <w:p w14:paraId="4106F6C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r>
      <w:tr w:rsidR="00785714" w:rsidRPr="00596752" w14:paraId="0EA4D2FD" w14:textId="77777777" w:rsidTr="008658C9">
        <w:trPr>
          <w:cantSplit/>
        </w:trPr>
        <w:tc>
          <w:tcPr>
            <w:tcW w:w="1665" w:type="dxa"/>
            <w:vAlign w:val="center"/>
          </w:tcPr>
          <w:p w14:paraId="7835A69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14.1.3.2.1</w:t>
            </w:r>
          </w:p>
        </w:tc>
        <w:tc>
          <w:tcPr>
            <w:tcW w:w="3827" w:type="dxa"/>
            <w:vAlign w:val="center"/>
          </w:tcPr>
          <w:p w14:paraId="3D44905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Brewed soft drinks, intensely sweetened</w:t>
            </w:r>
          </w:p>
        </w:tc>
        <w:tc>
          <w:tcPr>
            <w:tcW w:w="2171" w:type="dxa"/>
            <w:vAlign w:val="center"/>
          </w:tcPr>
          <w:p w14:paraId="0A6287A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00FB5CB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4621087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69" w:type="dxa"/>
            <w:vAlign w:val="center"/>
          </w:tcPr>
          <w:p w14:paraId="7C4F70B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r>
      <w:tr w:rsidR="00785714" w:rsidRPr="00596752" w14:paraId="70BDDA9D" w14:textId="77777777" w:rsidTr="008658C9">
        <w:trPr>
          <w:cantSplit/>
        </w:trPr>
        <w:tc>
          <w:tcPr>
            <w:tcW w:w="1665" w:type="dxa"/>
            <w:vAlign w:val="center"/>
          </w:tcPr>
          <w:p w14:paraId="643EDC9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14.1.3.1.1.3</w:t>
            </w:r>
          </w:p>
        </w:tc>
        <w:tc>
          <w:tcPr>
            <w:tcW w:w="3827" w:type="dxa"/>
            <w:vAlign w:val="center"/>
          </w:tcPr>
          <w:p w14:paraId="5AA1A542"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Energy drink</w:t>
            </w:r>
          </w:p>
        </w:tc>
        <w:tc>
          <w:tcPr>
            <w:tcW w:w="2171" w:type="dxa"/>
            <w:vAlign w:val="center"/>
          </w:tcPr>
          <w:p w14:paraId="064DC05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w:t>
            </w:r>
          </w:p>
        </w:tc>
        <w:tc>
          <w:tcPr>
            <w:tcW w:w="2171" w:type="dxa"/>
            <w:vAlign w:val="center"/>
          </w:tcPr>
          <w:p w14:paraId="6FD8FB5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722EE66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69" w:type="dxa"/>
            <w:vAlign w:val="center"/>
          </w:tcPr>
          <w:p w14:paraId="0C493D3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2,000</w:t>
            </w:r>
          </w:p>
        </w:tc>
      </w:tr>
      <w:tr w:rsidR="00785714" w:rsidRPr="00596752" w14:paraId="7BD37754" w14:textId="77777777" w:rsidTr="008658C9">
        <w:trPr>
          <w:cantSplit/>
        </w:trPr>
        <w:tc>
          <w:tcPr>
            <w:tcW w:w="1665" w:type="dxa"/>
            <w:vAlign w:val="center"/>
          </w:tcPr>
          <w:p w14:paraId="3E78BA5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14.1.5</w:t>
            </w:r>
          </w:p>
        </w:tc>
        <w:tc>
          <w:tcPr>
            <w:tcW w:w="3827" w:type="dxa"/>
            <w:vAlign w:val="center"/>
          </w:tcPr>
          <w:p w14:paraId="3892490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Coffee (or substitute), tea, herbal infusion &amp; similar (excluding caffeinated instant tea)</w:t>
            </w:r>
          </w:p>
        </w:tc>
        <w:tc>
          <w:tcPr>
            <w:tcW w:w="2171" w:type="dxa"/>
            <w:vAlign w:val="center"/>
          </w:tcPr>
          <w:p w14:paraId="5F08FAD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0.01</w:t>
            </w:r>
          </w:p>
        </w:tc>
        <w:tc>
          <w:tcPr>
            <w:tcW w:w="2171" w:type="dxa"/>
            <w:vAlign w:val="center"/>
          </w:tcPr>
          <w:p w14:paraId="768D089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0.01</w:t>
            </w:r>
          </w:p>
        </w:tc>
        <w:tc>
          <w:tcPr>
            <w:tcW w:w="2171" w:type="dxa"/>
            <w:vAlign w:val="center"/>
          </w:tcPr>
          <w:p w14:paraId="1B90537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0.01</w:t>
            </w:r>
          </w:p>
        </w:tc>
        <w:tc>
          <w:tcPr>
            <w:tcW w:w="2169" w:type="dxa"/>
            <w:vAlign w:val="center"/>
          </w:tcPr>
          <w:p w14:paraId="0ADDD8D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0.01</w:t>
            </w:r>
          </w:p>
        </w:tc>
      </w:tr>
      <w:tr w:rsidR="00785714" w:rsidRPr="00596752" w14:paraId="078DA35D" w14:textId="77777777" w:rsidTr="008658C9">
        <w:trPr>
          <w:cantSplit/>
        </w:trPr>
        <w:tc>
          <w:tcPr>
            <w:tcW w:w="1665" w:type="dxa"/>
            <w:vAlign w:val="center"/>
          </w:tcPr>
          <w:p w14:paraId="7A95D49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14.1.5.3.1.1</w:t>
            </w:r>
          </w:p>
        </w:tc>
        <w:tc>
          <w:tcPr>
            <w:tcW w:w="3827" w:type="dxa"/>
            <w:vAlign w:val="center"/>
          </w:tcPr>
          <w:p w14:paraId="61088CA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Tea, caffeinated, Instant</w:t>
            </w:r>
          </w:p>
        </w:tc>
        <w:tc>
          <w:tcPr>
            <w:tcW w:w="2171" w:type="dxa"/>
            <w:vAlign w:val="center"/>
          </w:tcPr>
          <w:p w14:paraId="2009A62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w:t>
            </w:r>
          </w:p>
        </w:tc>
        <w:tc>
          <w:tcPr>
            <w:tcW w:w="2171" w:type="dxa"/>
            <w:vAlign w:val="center"/>
          </w:tcPr>
          <w:p w14:paraId="2D3745A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3C78400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69" w:type="dxa"/>
            <w:vAlign w:val="center"/>
          </w:tcPr>
          <w:p w14:paraId="6C3D525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1,000</w:t>
            </w:r>
          </w:p>
        </w:tc>
      </w:tr>
      <w:tr w:rsidR="00785714" w:rsidRPr="00596752" w14:paraId="270F2369" w14:textId="77777777" w:rsidTr="008658C9">
        <w:trPr>
          <w:cantSplit/>
        </w:trPr>
        <w:tc>
          <w:tcPr>
            <w:tcW w:w="1665" w:type="dxa"/>
            <w:vAlign w:val="center"/>
          </w:tcPr>
          <w:p w14:paraId="5FC0D7B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14.1.6</w:t>
            </w:r>
          </w:p>
        </w:tc>
        <w:tc>
          <w:tcPr>
            <w:tcW w:w="3827" w:type="dxa"/>
            <w:vAlign w:val="center"/>
          </w:tcPr>
          <w:p w14:paraId="0420526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Beverage base</w:t>
            </w:r>
          </w:p>
        </w:tc>
        <w:tc>
          <w:tcPr>
            <w:tcW w:w="2171" w:type="dxa"/>
            <w:vAlign w:val="center"/>
          </w:tcPr>
          <w:p w14:paraId="6706523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788C300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351AD9D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6224564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74DB1A31" w14:textId="77777777" w:rsidTr="008658C9">
        <w:trPr>
          <w:cantSplit/>
        </w:trPr>
        <w:tc>
          <w:tcPr>
            <w:tcW w:w="1665" w:type="dxa"/>
            <w:vAlign w:val="center"/>
          </w:tcPr>
          <w:p w14:paraId="0ACE346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14.1.7</w:t>
            </w:r>
          </w:p>
        </w:tc>
        <w:tc>
          <w:tcPr>
            <w:tcW w:w="3827" w:type="dxa"/>
            <w:vAlign w:val="center"/>
          </w:tcPr>
          <w:p w14:paraId="23BD5BA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Soy beverage</w:t>
            </w:r>
          </w:p>
        </w:tc>
        <w:tc>
          <w:tcPr>
            <w:tcW w:w="2171" w:type="dxa"/>
            <w:vAlign w:val="center"/>
          </w:tcPr>
          <w:p w14:paraId="32715E9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2.5</w:t>
            </w:r>
          </w:p>
        </w:tc>
        <w:tc>
          <w:tcPr>
            <w:tcW w:w="2171" w:type="dxa"/>
            <w:vAlign w:val="center"/>
          </w:tcPr>
          <w:p w14:paraId="4246DA0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2.5</w:t>
            </w:r>
          </w:p>
        </w:tc>
        <w:tc>
          <w:tcPr>
            <w:tcW w:w="2171" w:type="dxa"/>
            <w:vAlign w:val="center"/>
          </w:tcPr>
          <w:p w14:paraId="33269B6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2.5</w:t>
            </w:r>
          </w:p>
        </w:tc>
        <w:tc>
          <w:tcPr>
            <w:tcW w:w="2169" w:type="dxa"/>
            <w:vAlign w:val="center"/>
          </w:tcPr>
          <w:p w14:paraId="6B2490F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1,000</w:t>
            </w:r>
          </w:p>
        </w:tc>
      </w:tr>
      <w:tr w:rsidR="00785714" w:rsidRPr="00596752" w14:paraId="25C026AE" w14:textId="77777777" w:rsidTr="008658C9">
        <w:trPr>
          <w:cantSplit/>
        </w:trPr>
        <w:tc>
          <w:tcPr>
            <w:tcW w:w="1665" w:type="dxa"/>
            <w:vAlign w:val="center"/>
          </w:tcPr>
          <w:p w14:paraId="1488B361"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14.1.8</w:t>
            </w:r>
          </w:p>
        </w:tc>
        <w:tc>
          <w:tcPr>
            <w:tcW w:w="3827" w:type="dxa"/>
            <w:vAlign w:val="center"/>
          </w:tcPr>
          <w:p w14:paraId="5B56412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Cereal beverages</w:t>
            </w:r>
          </w:p>
        </w:tc>
        <w:tc>
          <w:tcPr>
            <w:tcW w:w="2171" w:type="dxa"/>
            <w:vAlign w:val="center"/>
          </w:tcPr>
          <w:p w14:paraId="170ED98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0.14</w:t>
            </w:r>
          </w:p>
        </w:tc>
        <w:tc>
          <w:tcPr>
            <w:tcW w:w="2171" w:type="dxa"/>
            <w:vAlign w:val="center"/>
          </w:tcPr>
          <w:p w14:paraId="2FBCC24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0.14</w:t>
            </w:r>
          </w:p>
        </w:tc>
        <w:tc>
          <w:tcPr>
            <w:tcW w:w="2171" w:type="dxa"/>
            <w:vAlign w:val="center"/>
          </w:tcPr>
          <w:p w14:paraId="7775DF4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0.14</w:t>
            </w:r>
          </w:p>
        </w:tc>
        <w:tc>
          <w:tcPr>
            <w:tcW w:w="2169" w:type="dxa"/>
            <w:vAlign w:val="center"/>
          </w:tcPr>
          <w:p w14:paraId="00039D8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0.14</w:t>
            </w:r>
          </w:p>
        </w:tc>
      </w:tr>
      <w:tr w:rsidR="00785714" w:rsidRPr="00596752" w14:paraId="6C9E51BE" w14:textId="77777777" w:rsidTr="008658C9">
        <w:trPr>
          <w:cantSplit/>
        </w:trPr>
        <w:tc>
          <w:tcPr>
            <w:tcW w:w="1665" w:type="dxa"/>
            <w:vAlign w:val="center"/>
          </w:tcPr>
          <w:p w14:paraId="5798AFB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14.2</w:t>
            </w:r>
          </w:p>
        </w:tc>
        <w:tc>
          <w:tcPr>
            <w:tcW w:w="3827" w:type="dxa"/>
            <w:vAlign w:val="center"/>
          </w:tcPr>
          <w:p w14:paraId="179AB4C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Alcoholic beverages (including no &amp; low alcohol) (excluding beer &amp; related products wine, sparkling wine &amp; fortified wine)</w:t>
            </w:r>
          </w:p>
        </w:tc>
        <w:tc>
          <w:tcPr>
            <w:tcW w:w="2171" w:type="dxa"/>
            <w:vAlign w:val="center"/>
          </w:tcPr>
          <w:p w14:paraId="2514E5B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0.38</w:t>
            </w:r>
          </w:p>
        </w:tc>
        <w:tc>
          <w:tcPr>
            <w:tcW w:w="2171" w:type="dxa"/>
            <w:vAlign w:val="center"/>
          </w:tcPr>
          <w:p w14:paraId="2DBC9D2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0.38</w:t>
            </w:r>
          </w:p>
        </w:tc>
        <w:tc>
          <w:tcPr>
            <w:tcW w:w="2171" w:type="dxa"/>
            <w:vAlign w:val="center"/>
          </w:tcPr>
          <w:p w14:paraId="37E4CF0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0.38</w:t>
            </w:r>
          </w:p>
        </w:tc>
        <w:tc>
          <w:tcPr>
            <w:tcW w:w="2169" w:type="dxa"/>
            <w:vAlign w:val="center"/>
          </w:tcPr>
          <w:p w14:paraId="5FE844A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0.38</w:t>
            </w:r>
          </w:p>
        </w:tc>
      </w:tr>
      <w:tr w:rsidR="00785714" w:rsidRPr="00596752" w14:paraId="4E9DE27E" w14:textId="77777777" w:rsidTr="008658C9">
        <w:trPr>
          <w:cantSplit/>
        </w:trPr>
        <w:tc>
          <w:tcPr>
            <w:tcW w:w="1665" w:type="dxa"/>
            <w:vAlign w:val="center"/>
          </w:tcPr>
          <w:p w14:paraId="10B2E422"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14.2.1</w:t>
            </w:r>
          </w:p>
        </w:tc>
        <w:tc>
          <w:tcPr>
            <w:tcW w:w="3827" w:type="dxa"/>
            <w:vAlign w:val="center"/>
          </w:tcPr>
          <w:p w14:paraId="39E6947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Beer &amp; related products</w:t>
            </w:r>
          </w:p>
        </w:tc>
        <w:tc>
          <w:tcPr>
            <w:tcW w:w="2171" w:type="dxa"/>
            <w:vAlign w:val="center"/>
          </w:tcPr>
          <w:p w14:paraId="5DD96D5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0.6</w:t>
            </w:r>
          </w:p>
        </w:tc>
        <w:tc>
          <w:tcPr>
            <w:tcW w:w="2171" w:type="dxa"/>
            <w:vAlign w:val="center"/>
          </w:tcPr>
          <w:p w14:paraId="7944AEF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0.6</w:t>
            </w:r>
          </w:p>
        </w:tc>
        <w:tc>
          <w:tcPr>
            <w:tcW w:w="2171" w:type="dxa"/>
            <w:vAlign w:val="center"/>
          </w:tcPr>
          <w:p w14:paraId="5AF85BE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0.6</w:t>
            </w:r>
          </w:p>
        </w:tc>
        <w:tc>
          <w:tcPr>
            <w:tcW w:w="2169" w:type="dxa"/>
            <w:vAlign w:val="center"/>
          </w:tcPr>
          <w:p w14:paraId="04EB36B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0.6</w:t>
            </w:r>
          </w:p>
        </w:tc>
      </w:tr>
      <w:tr w:rsidR="00785714" w:rsidRPr="00596752" w14:paraId="32BAE1BC" w14:textId="77777777" w:rsidTr="008658C9">
        <w:trPr>
          <w:cantSplit/>
        </w:trPr>
        <w:tc>
          <w:tcPr>
            <w:tcW w:w="1665" w:type="dxa"/>
            <w:vAlign w:val="center"/>
          </w:tcPr>
          <w:p w14:paraId="1A06CC7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14.2.2</w:t>
            </w:r>
          </w:p>
        </w:tc>
        <w:tc>
          <w:tcPr>
            <w:tcW w:w="3827" w:type="dxa"/>
            <w:vAlign w:val="center"/>
          </w:tcPr>
          <w:p w14:paraId="11DF097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Wine, sparkling wine &amp; fortified wine</w:t>
            </w:r>
          </w:p>
        </w:tc>
        <w:tc>
          <w:tcPr>
            <w:tcW w:w="2171" w:type="dxa"/>
            <w:vAlign w:val="center"/>
          </w:tcPr>
          <w:p w14:paraId="347BB77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0.15</w:t>
            </w:r>
          </w:p>
        </w:tc>
        <w:tc>
          <w:tcPr>
            <w:tcW w:w="2171" w:type="dxa"/>
            <w:vAlign w:val="center"/>
          </w:tcPr>
          <w:p w14:paraId="093AD6E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0.15</w:t>
            </w:r>
          </w:p>
        </w:tc>
        <w:tc>
          <w:tcPr>
            <w:tcW w:w="2171" w:type="dxa"/>
            <w:vAlign w:val="center"/>
          </w:tcPr>
          <w:p w14:paraId="31543BD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0.15</w:t>
            </w:r>
          </w:p>
        </w:tc>
        <w:tc>
          <w:tcPr>
            <w:tcW w:w="2169" w:type="dxa"/>
            <w:vAlign w:val="center"/>
          </w:tcPr>
          <w:p w14:paraId="078920C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0.15</w:t>
            </w:r>
          </w:p>
        </w:tc>
      </w:tr>
      <w:tr w:rsidR="00785714" w:rsidRPr="00596752" w14:paraId="77D8BB63" w14:textId="77777777" w:rsidTr="008658C9">
        <w:trPr>
          <w:cantSplit/>
        </w:trPr>
        <w:tc>
          <w:tcPr>
            <w:tcW w:w="1665" w:type="dxa"/>
            <w:vAlign w:val="center"/>
          </w:tcPr>
          <w:p w14:paraId="4672BDA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14.3</w:t>
            </w:r>
          </w:p>
        </w:tc>
        <w:tc>
          <w:tcPr>
            <w:tcW w:w="3827" w:type="dxa"/>
            <w:vAlign w:val="center"/>
          </w:tcPr>
          <w:p w14:paraId="3AE310D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Alcoholic beverages not included in item 14.2</w:t>
            </w:r>
          </w:p>
        </w:tc>
        <w:tc>
          <w:tcPr>
            <w:tcW w:w="2171" w:type="dxa"/>
            <w:vAlign w:val="center"/>
          </w:tcPr>
          <w:p w14:paraId="3409685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0.38</w:t>
            </w:r>
          </w:p>
        </w:tc>
        <w:tc>
          <w:tcPr>
            <w:tcW w:w="2171" w:type="dxa"/>
            <w:vAlign w:val="center"/>
          </w:tcPr>
          <w:p w14:paraId="67F4847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0.38</w:t>
            </w:r>
          </w:p>
        </w:tc>
        <w:tc>
          <w:tcPr>
            <w:tcW w:w="2171" w:type="dxa"/>
            <w:vAlign w:val="center"/>
          </w:tcPr>
          <w:p w14:paraId="2A8B495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0.38</w:t>
            </w:r>
          </w:p>
        </w:tc>
        <w:tc>
          <w:tcPr>
            <w:tcW w:w="2169" w:type="dxa"/>
            <w:vAlign w:val="center"/>
          </w:tcPr>
          <w:p w14:paraId="3C893C3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0.38</w:t>
            </w:r>
          </w:p>
        </w:tc>
      </w:tr>
      <w:tr w:rsidR="00785714" w:rsidRPr="00596752" w14:paraId="30844A4F" w14:textId="77777777" w:rsidTr="008658C9">
        <w:trPr>
          <w:cantSplit/>
        </w:trPr>
        <w:tc>
          <w:tcPr>
            <w:tcW w:w="1665" w:type="dxa"/>
            <w:vAlign w:val="center"/>
          </w:tcPr>
          <w:p w14:paraId="5099ACE4" w14:textId="77777777" w:rsidR="00785714" w:rsidRPr="00596752" w:rsidRDefault="00785714" w:rsidP="00811A8E">
            <w:pPr>
              <w:keepNext/>
              <w:keepLines/>
              <w:pageBreakBefore/>
              <w:spacing w:before="40" w:after="40"/>
              <w:rPr>
                <w:rFonts w:cs="Arial"/>
                <w:color w:val="000000"/>
                <w:sz w:val="20"/>
                <w:szCs w:val="20"/>
              </w:rPr>
            </w:pPr>
            <w:r w:rsidRPr="00596752">
              <w:rPr>
                <w:rFonts w:cs="Arial"/>
                <w:color w:val="000000"/>
                <w:sz w:val="20"/>
                <w:szCs w:val="20"/>
              </w:rPr>
              <w:lastRenderedPageBreak/>
              <w:t>20.1.1.5</w:t>
            </w:r>
          </w:p>
        </w:tc>
        <w:tc>
          <w:tcPr>
            <w:tcW w:w="3827" w:type="dxa"/>
            <w:vAlign w:val="center"/>
          </w:tcPr>
          <w:p w14:paraId="328A7E45" w14:textId="77777777" w:rsidR="00785714" w:rsidRPr="00596752" w:rsidRDefault="00785714" w:rsidP="00811A8E">
            <w:pPr>
              <w:keepNext/>
              <w:keepLines/>
              <w:pageBreakBefore/>
              <w:spacing w:before="40" w:after="40"/>
              <w:rPr>
                <w:rFonts w:cs="Arial"/>
                <w:color w:val="000000"/>
                <w:sz w:val="20"/>
                <w:szCs w:val="20"/>
              </w:rPr>
            </w:pPr>
            <w:r w:rsidRPr="00596752">
              <w:rPr>
                <w:rFonts w:cs="Arial"/>
                <w:color w:val="000000"/>
                <w:sz w:val="20"/>
                <w:szCs w:val="20"/>
              </w:rPr>
              <w:t>Beverages, non-alcoholic, coffee, dry mix</w:t>
            </w:r>
          </w:p>
        </w:tc>
        <w:tc>
          <w:tcPr>
            <w:tcW w:w="2171" w:type="dxa"/>
            <w:vAlign w:val="center"/>
          </w:tcPr>
          <w:p w14:paraId="061AF5EF" w14:textId="77777777" w:rsidR="00785714" w:rsidRPr="00596752" w:rsidRDefault="00785714" w:rsidP="00811A8E">
            <w:pPr>
              <w:keepNext/>
              <w:keepLines/>
              <w:pageBreakBefore/>
              <w:tabs>
                <w:tab w:val="decimal" w:pos="1031"/>
              </w:tabs>
              <w:spacing w:before="40" w:after="40"/>
              <w:rPr>
                <w:rFonts w:cs="Arial"/>
                <w:sz w:val="20"/>
                <w:szCs w:val="20"/>
              </w:rPr>
            </w:pPr>
          </w:p>
        </w:tc>
        <w:tc>
          <w:tcPr>
            <w:tcW w:w="2171" w:type="dxa"/>
            <w:vAlign w:val="center"/>
          </w:tcPr>
          <w:p w14:paraId="535995A2" w14:textId="77777777" w:rsidR="00785714" w:rsidRPr="00596752" w:rsidRDefault="00785714" w:rsidP="00811A8E">
            <w:pPr>
              <w:keepNext/>
              <w:keepLines/>
              <w:pageBreakBefore/>
              <w:tabs>
                <w:tab w:val="decimal" w:pos="1031"/>
              </w:tabs>
              <w:spacing w:before="40" w:after="40"/>
              <w:rPr>
                <w:rFonts w:cs="Arial"/>
                <w:color w:val="000000"/>
                <w:sz w:val="20"/>
                <w:szCs w:val="20"/>
              </w:rPr>
            </w:pPr>
          </w:p>
        </w:tc>
        <w:tc>
          <w:tcPr>
            <w:tcW w:w="2171" w:type="dxa"/>
            <w:vAlign w:val="center"/>
          </w:tcPr>
          <w:p w14:paraId="2ECE5074" w14:textId="77777777" w:rsidR="00785714" w:rsidRPr="00596752" w:rsidRDefault="00785714" w:rsidP="00811A8E">
            <w:pPr>
              <w:keepNext/>
              <w:keepLines/>
              <w:pageBreakBefore/>
              <w:tabs>
                <w:tab w:val="decimal" w:pos="1031"/>
              </w:tabs>
              <w:spacing w:before="40" w:after="40"/>
              <w:rPr>
                <w:rFonts w:cs="Arial"/>
                <w:color w:val="000000"/>
                <w:sz w:val="20"/>
                <w:szCs w:val="20"/>
              </w:rPr>
            </w:pPr>
          </w:p>
        </w:tc>
        <w:tc>
          <w:tcPr>
            <w:tcW w:w="2169" w:type="dxa"/>
            <w:vAlign w:val="center"/>
          </w:tcPr>
          <w:p w14:paraId="3BF13B7F" w14:textId="77777777" w:rsidR="00785714" w:rsidRPr="00596752" w:rsidRDefault="00785714" w:rsidP="00811A8E">
            <w:pPr>
              <w:keepNext/>
              <w:keepLines/>
              <w:pageBreakBefore/>
              <w:tabs>
                <w:tab w:val="decimal" w:pos="1031"/>
              </w:tabs>
              <w:spacing w:before="40" w:after="40"/>
              <w:rPr>
                <w:rFonts w:cs="Arial"/>
                <w:sz w:val="20"/>
                <w:szCs w:val="20"/>
              </w:rPr>
            </w:pPr>
            <w:r w:rsidRPr="00596752">
              <w:rPr>
                <w:rFonts w:cs="Arial"/>
                <w:color w:val="000000"/>
                <w:sz w:val="20"/>
                <w:szCs w:val="20"/>
              </w:rPr>
              <w:t>12,300</w:t>
            </w:r>
          </w:p>
        </w:tc>
      </w:tr>
      <w:tr w:rsidR="00785714" w:rsidRPr="00596752" w14:paraId="74E1AD89" w14:textId="77777777" w:rsidTr="008658C9">
        <w:trPr>
          <w:cantSplit/>
        </w:trPr>
        <w:tc>
          <w:tcPr>
            <w:tcW w:w="1665" w:type="dxa"/>
            <w:vAlign w:val="center"/>
          </w:tcPr>
          <w:p w14:paraId="5E238400" w14:textId="77777777" w:rsidR="00785714" w:rsidRPr="00596752" w:rsidRDefault="00785714" w:rsidP="00811A8E">
            <w:pPr>
              <w:keepNext/>
              <w:keepLines/>
              <w:spacing w:before="40" w:after="40"/>
              <w:rPr>
                <w:rFonts w:cs="Arial"/>
                <w:color w:val="000000"/>
                <w:sz w:val="20"/>
                <w:szCs w:val="20"/>
              </w:rPr>
            </w:pPr>
            <w:r w:rsidRPr="00596752">
              <w:rPr>
                <w:rFonts w:cs="Arial"/>
                <w:color w:val="000000"/>
                <w:sz w:val="20"/>
                <w:szCs w:val="20"/>
              </w:rPr>
              <w:t>20.2.2.3</w:t>
            </w:r>
          </w:p>
        </w:tc>
        <w:tc>
          <w:tcPr>
            <w:tcW w:w="3827" w:type="dxa"/>
            <w:vAlign w:val="center"/>
          </w:tcPr>
          <w:p w14:paraId="138BE2E6" w14:textId="77777777" w:rsidR="00785714" w:rsidRPr="00596752" w:rsidRDefault="00785714" w:rsidP="00811A8E">
            <w:pPr>
              <w:keepNext/>
              <w:keepLines/>
              <w:spacing w:before="40" w:after="40"/>
              <w:rPr>
                <w:rFonts w:cs="Arial"/>
                <w:color w:val="000000"/>
                <w:sz w:val="20"/>
                <w:szCs w:val="20"/>
              </w:rPr>
            </w:pPr>
            <w:r w:rsidRPr="00596752">
              <w:rPr>
                <w:rFonts w:cs="Arial"/>
                <w:color w:val="000000"/>
                <w:sz w:val="20"/>
                <w:szCs w:val="20"/>
              </w:rPr>
              <w:t>Cereal products, bars</w:t>
            </w:r>
          </w:p>
        </w:tc>
        <w:tc>
          <w:tcPr>
            <w:tcW w:w="2171" w:type="dxa"/>
            <w:vAlign w:val="center"/>
          </w:tcPr>
          <w:p w14:paraId="788C3E6F" w14:textId="77777777" w:rsidR="00785714" w:rsidRPr="00596752" w:rsidRDefault="00785714" w:rsidP="00811A8E">
            <w:pPr>
              <w:keepNext/>
              <w:keepLines/>
              <w:tabs>
                <w:tab w:val="decimal" w:pos="1031"/>
              </w:tabs>
              <w:spacing w:before="40" w:after="40"/>
              <w:rPr>
                <w:rFonts w:cs="Arial"/>
                <w:sz w:val="20"/>
                <w:szCs w:val="20"/>
              </w:rPr>
            </w:pPr>
          </w:p>
        </w:tc>
        <w:tc>
          <w:tcPr>
            <w:tcW w:w="2171" w:type="dxa"/>
            <w:vAlign w:val="center"/>
          </w:tcPr>
          <w:p w14:paraId="374420F6" w14:textId="77777777" w:rsidR="00785714" w:rsidRPr="00596752" w:rsidRDefault="00785714" w:rsidP="00811A8E">
            <w:pPr>
              <w:keepNext/>
              <w:keepLines/>
              <w:tabs>
                <w:tab w:val="decimal" w:pos="1031"/>
              </w:tabs>
              <w:spacing w:before="40" w:after="40"/>
              <w:rPr>
                <w:rFonts w:cs="Arial"/>
                <w:color w:val="000000"/>
                <w:sz w:val="20"/>
                <w:szCs w:val="20"/>
              </w:rPr>
            </w:pPr>
          </w:p>
        </w:tc>
        <w:tc>
          <w:tcPr>
            <w:tcW w:w="2171" w:type="dxa"/>
            <w:vAlign w:val="center"/>
          </w:tcPr>
          <w:p w14:paraId="4BB141ED" w14:textId="77777777" w:rsidR="00785714" w:rsidRPr="00596752" w:rsidRDefault="00785714" w:rsidP="00811A8E">
            <w:pPr>
              <w:keepNext/>
              <w:keepLines/>
              <w:tabs>
                <w:tab w:val="decimal" w:pos="1031"/>
              </w:tabs>
              <w:spacing w:before="40" w:after="40"/>
              <w:rPr>
                <w:rFonts w:cs="Arial"/>
                <w:color w:val="000000"/>
                <w:sz w:val="20"/>
                <w:szCs w:val="20"/>
              </w:rPr>
            </w:pPr>
          </w:p>
        </w:tc>
        <w:tc>
          <w:tcPr>
            <w:tcW w:w="2169" w:type="dxa"/>
            <w:vAlign w:val="center"/>
          </w:tcPr>
          <w:p w14:paraId="6A3B02A7" w14:textId="77777777" w:rsidR="00785714" w:rsidRPr="00596752" w:rsidRDefault="00785714" w:rsidP="00811A8E">
            <w:pPr>
              <w:keepNext/>
              <w:keepLines/>
              <w:tabs>
                <w:tab w:val="decimal" w:pos="1031"/>
              </w:tabs>
              <w:spacing w:before="40" w:after="40"/>
              <w:rPr>
                <w:rFonts w:cs="Arial"/>
                <w:sz w:val="20"/>
                <w:szCs w:val="20"/>
              </w:rPr>
            </w:pPr>
            <w:r w:rsidRPr="00596752">
              <w:rPr>
                <w:rFonts w:cs="Arial"/>
                <w:color w:val="000000"/>
                <w:sz w:val="20"/>
                <w:szCs w:val="20"/>
              </w:rPr>
              <w:t>10,000</w:t>
            </w:r>
          </w:p>
        </w:tc>
      </w:tr>
      <w:tr w:rsidR="00785714" w:rsidRPr="00596752" w14:paraId="1BAD8A8A" w14:textId="77777777" w:rsidTr="008658C9">
        <w:trPr>
          <w:cantSplit/>
        </w:trPr>
        <w:tc>
          <w:tcPr>
            <w:tcW w:w="1665" w:type="dxa"/>
            <w:vAlign w:val="center"/>
          </w:tcPr>
          <w:p w14:paraId="10CB5E0E" w14:textId="77777777" w:rsidR="00785714" w:rsidRPr="00596752" w:rsidRDefault="00785714" w:rsidP="00811A8E">
            <w:pPr>
              <w:keepNext/>
              <w:keepLines/>
              <w:spacing w:before="40" w:after="40"/>
              <w:rPr>
                <w:rFonts w:cs="Arial"/>
                <w:color w:val="000000"/>
                <w:sz w:val="20"/>
                <w:szCs w:val="20"/>
              </w:rPr>
            </w:pPr>
            <w:r w:rsidRPr="00596752">
              <w:rPr>
                <w:rFonts w:cs="Arial"/>
                <w:color w:val="000000"/>
                <w:sz w:val="20"/>
                <w:szCs w:val="20"/>
              </w:rPr>
              <w:t>20.3.1</w:t>
            </w:r>
          </w:p>
        </w:tc>
        <w:tc>
          <w:tcPr>
            <w:tcW w:w="3827" w:type="dxa"/>
            <w:vAlign w:val="center"/>
          </w:tcPr>
          <w:p w14:paraId="64E3E72C" w14:textId="77777777" w:rsidR="00785714" w:rsidRPr="00596752" w:rsidRDefault="00785714" w:rsidP="00811A8E">
            <w:pPr>
              <w:keepNext/>
              <w:keepLines/>
              <w:spacing w:before="40" w:after="40"/>
              <w:rPr>
                <w:rFonts w:cs="Arial"/>
                <w:color w:val="000000"/>
                <w:sz w:val="20"/>
                <w:szCs w:val="20"/>
              </w:rPr>
            </w:pPr>
            <w:r w:rsidRPr="00596752">
              <w:rPr>
                <w:rFonts w:cs="Arial"/>
                <w:color w:val="000000"/>
                <w:sz w:val="20"/>
                <w:szCs w:val="20"/>
              </w:rPr>
              <w:t>Ready-to-eat mueslis</w:t>
            </w:r>
          </w:p>
        </w:tc>
        <w:tc>
          <w:tcPr>
            <w:tcW w:w="2171" w:type="dxa"/>
            <w:vAlign w:val="center"/>
          </w:tcPr>
          <w:p w14:paraId="162863A5" w14:textId="77777777" w:rsidR="00785714" w:rsidRPr="00596752" w:rsidRDefault="00785714" w:rsidP="00811A8E">
            <w:pPr>
              <w:keepNext/>
              <w:keepLines/>
              <w:tabs>
                <w:tab w:val="decimal" w:pos="1031"/>
              </w:tabs>
              <w:spacing w:before="40" w:after="40"/>
              <w:rPr>
                <w:rFonts w:cs="Arial"/>
                <w:sz w:val="20"/>
                <w:szCs w:val="20"/>
              </w:rPr>
            </w:pPr>
          </w:p>
        </w:tc>
        <w:tc>
          <w:tcPr>
            <w:tcW w:w="2171" w:type="dxa"/>
            <w:vAlign w:val="center"/>
          </w:tcPr>
          <w:p w14:paraId="2683708F" w14:textId="77777777" w:rsidR="00785714" w:rsidRPr="00596752" w:rsidRDefault="00785714" w:rsidP="00811A8E">
            <w:pPr>
              <w:keepNext/>
              <w:keepLines/>
              <w:tabs>
                <w:tab w:val="decimal" w:pos="1031"/>
              </w:tabs>
              <w:spacing w:before="40" w:after="40"/>
              <w:rPr>
                <w:rFonts w:cs="Arial"/>
                <w:sz w:val="20"/>
                <w:szCs w:val="20"/>
              </w:rPr>
            </w:pPr>
          </w:p>
        </w:tc>
        <w:tc>
          <w:tcPr>
            <w:tcW w:w="2171" w:type="dxa"/>
            <w:vAlign w:val="center"/>
          </w:tcPr>
          <w:p w14:paraId="1B81D998" w14:textId="77777777" w:rsidR="00785714" w:rsidRPr="00596752" w:rsidRDefault="00785714" w:rsidP="00811A8E">
            <w:pPr>
              <w:keepNext/>
              <w:keepLines/>
              <w:tabs>
                <w:tab w:val="decimal" w:pos="1031"/>
              </w:tabs>
              <w:spacing w:before="40" w:after="40"/>
              <w:rPr>
                <w:rFonts w:cs="Arial"/>
                <w:sz w:val="20"/>
                <w:szCs w:val="20"/>
              </w:rPr>
            </w:pPr>
          </w:p>
        </w:tc>
        <w:tc>
          <w:tcPr>
            <w:tcW w:w="2169" w:type="dxa"/>
            <w:vAlign w:val="center"/>
          </w:tcPr>
          <w:p w14:paraId="5F85662C" w14:textId="77777777" w:rsidR="00785714" w:rsidRPr="00596752" w:rsidRDefault="00785714" w:rsidP="00811A8E">
            <w:pPr>
              <w:keepNext/>
              <w:keepLines/>
              <w:tabs>
                <w:tab w:val="decimal" w:pos="1031"/>
              </w:tabs>
              <w:spacing w:before="40" w:after="40"/>
              <w:rPr>
                <w:rFonts w:cs="Arial"/>
                <w:sz w:val="20"/>
                <w:szCs w:val="20"/>
              </w:rPr>
            </w:pPr>
            <w:r w:rsidRPr="00596752">
              <w:rPr>
                <w:rFonts w:cs="Arial"/>
                <w:sz w:val="20"/>
                <w:szCs w:val="20"/>
              </w:rPr>
              <w:t>6,250</w:t>
            </w:r>
          </w:p>
        </w:tc>
      </w:tr>
      <w:tr w:rsidR="00785714" w:rsidRPr="00596752" w14:paraId="4F51D704" w14:textId="77777777" w:rsidTr="008658C9">
        <w:trPr>
          <w:cantSplit/>
        </w:trPr>
        <w:tc>
          <w:tcPr>
            <w:tcW w:w="1665" w:type="dxa"/>
            <w:vAlign w:val="center"/>
          </w:tcPr>
          <w:p w14:paraId="6BA8A0D4" w14:textId="77777777" w:rsidR="00785714" w:rsidRPr="00596752" w:rsidRDefault="00785714" w:rsidP="00811A8E">
            <w:pPr>
              <w:keepNext/>
              <w:keepLines/>
              <w:spacing w:before="40" w:after="40"/>
              <w:rPr>
                <w:rFonts w:cs="Arial"/>
                <w:color w:val="000000"/>
                <w:sz w:val="20"/>
                <w:szCs w:val="20"/>
              </w:rPr>
            </w:pPr>
            <w:r w:rsidRPr="00596752">
              <w:rPr>
                <w:rFonts w:cs="Arial"/>
                <w:color w:val="000000"/>
                <w:sz w:val="20"/>
                <w:szCs w:val="20"/>
              </w:rPr>
              <w:t>20.3.2</w:t>
            </w:r>
          </w:p>
        </w:tc>
        <w:tc>
          <w:tcPr>
            <w:tcW w:w="3827" w:type="dxa"/>
            <w:vAlign w:val="center"/>
          </w:tcPr>
          <w:p w14:paraId="3F2ED6E8" w14:textId="77777777" w:rsidR="00785714" w:rsidRPr="00596752" w:rsidRDefault="00785714" w:rsidP="00811A8E">
            <w:pPr>
              <w:keepNext/>
              <w:keepLines/>
              <w:spacing w:before="40" w:after="40"/>
              <w:rPr>
                <w:rFonts w:cs="Arial"/>
                <w:color w:val="000000"/>
                <w:sz w:val="20"/>
                <w:szCs w:val="20"/>
              </w:rPr>
            </w:pPr>
            <w:r w:rsidRPr="00596752">
              <w:rPr>
                <w:rFonts w:cs="Arial"/>
                <w:color w:val="000000"/>
                <w:sz w:val="20"/>
                <w:szCs w:val="20"/>
              </w:rPr>
              <w:t>Flavoured oat porridges, dry</w:t>
            </w:r>
          </w:p>
        </w:tc>
        <w:tc>
          <w:tcPr>
            <w:tcW w:w="2171" w:type="dxa"/>
            <w:vAlign w:val="center"/>
          </w:tcPr>
          <w:p w14:paraId="02F75FB9" w14:textId="77777777" w:rsidR="00785714" w:rsidRPr="00596752" w:rsidRDefault="00785714" w:rsidP="00811A8E">
            <w:pPr>
              <w:keepNext/>
              <w:keepLines/>
              <w:tabs>
                <w:tab w:val="decimal" w:pos="1031"/>
              </w:tabs>
              <w:spacing w:before="40" w:after="40"/>
              <w:rPr>
                <w:rFonts w:cs="Arial"/>
                <w:sz w:val="20"/>
                <w:szCs w:val="20"/>
              </w:rPr>
            </w:pPr>
          </w:p>
        </w:tc>
        <w:tc>
          <w:tcPr>
            <w:tcW w:w="2171" w:type="dxa"/>
            <w:vAlign w:val="center"/>
          </w:tcPr>
          <w:p w14:paraId="671FDCB9" w14:textId="77777777" w:rsidR="00785714" w:rsidRPr="00596752" w:rsidRDefault="00785714" w:rsidP="00811A8E">
            <w:pPr>
              <w:keepNext/>
              <w:keepLines/>
              <w:tabs>
                <w:tab w:val="decimal" w:pos="1031"/>
              </w:tabs>
              <w:spacing w:before="40" w:after="40"/>
              <w:rPr>
                <w:rFonts w:cs="Arial"/>
                <w:color w:val="000000"/>
                <w:sz w:val="20"/>
                <w:szCs w:val="20"/>
              </w:rPr>
            </w:pPr>
          </w:p>
        </w:tc>
        <w:tc>
          <w:tcPr>
            <w:tcW w:w="2171" w:type="dxa"/>
            <w:vAlign w:val="center"/>
          </w:tcPr>
          <w:p w14:paraId="4C639EF8" w14:textId="77777777" w:rsidR="00785714" w:rsidRPr="00596752" w:rsidRDefault="00785714" w:rsidP="00811A8E">
            <w:pPr>
              <w:keepNext/>
              <w:keepLines/>
              <w:tabs>
                <w:tab w:val="decimal" w:pos="1031"/>
              </w:tabs>
              <w:spacing w:before="40" w:after="40"/>
              <w:rPr>
                <w:rFonts w:cs="Arial"/>
                <w:color w:val="000000"/>
                <w:sz w:val="20"/>
                <w:szCs w:val="20"/>
              </w:rPr>
            </w:pPr>
          </w:p>
        </w:tc>
        <w:tc>
          <w:tcPr>
            <w:tcW w:w="2169" w:type="dxa"/>
            <w:vAlign w:val="center"/>
          </w:tcPr>
          <w:p w14:paraId="24D660F2" w14:textId="77777777" w:rsidR="00785714" w:rsidRPr="00596752" w:rsidRDefault="00785714" w:rsidP="00811A8E">
            <w:pPr>
              <w:keepNext/>
              <w:keepLines/>
              <w:tabs>
                <w:tab w:val="decimal" w:pos="1031"/>
              </w:tabs>
              <w:spacing w:before="40" w:after="40"/>
              <w:rPr>
                <w:rFonts w:cs="Arial"/>
                <w:sz w:val="20"/>
                <w:szCs w:val="20"/>
              </w:rPr>
            </w:pPr>
            <w:r w:rsidRPr="00596752">
              <w:rPr>
                <w:rFonts w:cs="Arial"/>
                <w:color w:val="000000"/>
                <w:sz w:val="20"/>
                <w:szCs w:val="20"/>
              </w:rPr>
              <w:t>5,000</w:t>
            </w:r>
          </w:p>
        </w:tc>
      </w:tr>
    </w:tbl>
    <w:p w14:paraId="11B289A6" w14:textId="512911E5" w:rsidR="00785714" w:rsidRPr="00311726" w:rsidRDefault="00785714" w:rsidP="00785714">
      <w:pPr>
        <w:keepNext/>
        <w:keepLines/>
        <w:rPr>
          <w:sz w:val="20"/>
          <w:szCs w:val="20"/>
        </w:rPr>
      </w:pPr>
      <w:r w:rsidRPr="00311726">
        <w:rPr>
          <w:rFonts w:cs="Arial"/>
          <w:sz w:val="20"/>
          <w:szCs w:val="20"/>
          <w:vertAlign w:val="superscript"/>
        </w:rPr>
        <w:t>Ω</w:t>
      </w:r>
      <w:r w:rsidRPr="00311726">
        <w:rPr>
          <w:sz w:val="20"/>
          <w:szCs w:val="20"/>
        </w:rPr>
        <w:t xml:space="preserve"> all concentrations for the</w:t>
      </w:r>
      <w:r>
        <w:rPr>
          <w:sz w:val="20"/>
          <w:szCs w:val="20"/>
        </w:rPr>
        <w:t xml:space="preserve"> </w:t>
      </w:r>
      <w:r w:rsidRPr="00311726">
        <w:rPr>
          <w:i/>
          <w:sz w:val="20"/>
          <w:szCs w:val="20"/>
        </w:rPr>
        <w:t>Recommended number of serves sports foods</w:t>
      </w:r>
      <w:r w:rsidRPr="00311726">
        <w:rPr>
          <w:sz w:val="20"/>
          <w:szCs w:val="20"/>
        </w:rPr>
        <w:t xml:space="preserve"> </w:t>
      </w:r>
      <w:r>
        <w:rPr>
          <w:sz w:val="20"/>
          <w:szCs w:val="20"/>
        </w:rPr>
        <w:t>s</w:t>
      </w:r>
      <w:r w:rsidRPr="00311726">
        <w:rPr>
          <w:sz w:val="20"/>
          <w:szCs w:val="20"/>
        </w:rPr>
        <w:t>cenario</w:t>
      </w:r>
      <w:r>
        <w:rPr>
          <w:sz w:val="20"/>
          <w:szCs w:val="20"/>
        </w:rPr>
        <w:t xml:space="preserve"> are the same as the </w:t>
      </w:r>
      <w:r w:rsidRPr="00311726">
        <w:rPr>
          <w:i/>
          <w:sz w:val="20"/>
          <w:szCs w:val="20"/>
        </w:rPr>
        <w:t>Baseline (excluding sports and weight management foods)</w:t>
      </w:r>
      <w:r>
        <w:rPr>
          <w:sz w:val="20"/>
          <w:szCs w:val="20"/>
        </w:rPr>
        <w:t xml:space="preserve"> scenario. In the </w:t>
      </w:r>
      <w:r w:rsidRPr="00311726">
        <w:rPr>
          <w:i/>
          <w:sz w:val="20"/>
          <w:szCs w:val="20"/>
        </w:rPr>
        <w:t>Recommended number of serves sports foods</w:t>
      </w:r>
      <w:r w:rsidRPr="00311726">
        <w:rPr>
          <w:sz w:val="20"/>
          <w:szCs w:val="20"/>
        </w:rPr>
        <w:t xml:space="preserve"> </w:t>
      </w:r>
      <w:r>
        <w:rPr>
          <w:sz w:val="20"/>
          <w:szCs w:val="20"/>
        </w:rPr>
        <w:t>s</w:t>
      </w:r>
      <w:r w:rsidRPr="00311726">
        <w:rPr>
          <w:sz w:val="20"/>
          <w:szCs w:val="20"/>
        </w:rPr>
        <w:t>cenario</w:t>
      </w:r>
      <w:r>
        <w:rPr>
          <w:sz w:val="20"/>
          <w:szCs w:val="20"/>
        </w:rPr>
        <w:t>,</w:t>
      </w:r>
      <w:r w:rsidR="008658C9">
        <w:rPr>
          <w:sz w:val="20"/>
          <w:szCs w:val="20"/>
        </w:rPr>
        <w:t xml:space="preserve"> </w:t>
      </w:r>
      <w:r>
        <w:rPr>
          <w:sz w:val="20"/>
          <w:szCs w:val="20"/>
        </w:rPr>
        <w:t>the</w:t>
      </w:r>
      <w:r w:rsidRPr="00311726">
        <w:rPr>
          <w:sz w:val="20"/>
          <w:szCs w:val="20"/>
        </w:rPr>
        <w:t xml:space="preserve"> L-carnitine intakes from the recommended number of serves of sports food / beverage per day as provided by Applicant (four serves per day to achieve a total intake of 2,000 mg L-carnitine per day from sports food/ beverages)</w:t>
      </w:r>
      <w:r>
        <w:rPr>
          <w:sz w:val="20"/>
          <w:szCs w:val="20"/>
        </w:rPr>
        <w:t xml:space="preserve"> are added manually to dietary intakes of L-carnitine</w:t>
      </w:r>
      <w:r w:rsidRPr="00311726">
        <w:rPr>
          <w:sz w:val="20"/>
          <w:szCs w:val="20"/>
        </w:rPr>
        <w:t>.</w:t>
      </w:r>
    </w:p>
    <w:p w14:paraId="09576CF1" w14:textId="77777777" w:rsidR="00785714" w:rsidRPr="00486D31" w:rsidRDefault="00785714" w:rsidP="00785714">
      <w:pPr>
        <w:rPr>
          <w:rFonts w:cs="Arial"/>
          <w:sz w:val="18"/>
          <w:szCs w:val="20"/>
          <w:highlight w:val="yellow"/>
        </w:rPr>
      </w:pPr>
    </w:p>
    <w:p w14:paraId="79FAFF89" w14:textId="77777777" w:rsidR="00785714" w:rsidRPr="00486D31" w:rsidRDefault="00785714" w:rsidP="00785714">
      <w:pPr>
        <w:widowControl/>
        <w:spacing w:after="200" w:line="276" w:lineRule="auto"/>
        <w:rPr>
          <w:rFonts w:cs="Arial"/>
          <w:b/>
          <w:highlight w:val="yellow"/>
        </w:rPr>
        <w:sectPr w:rsidR="00785714" w:rsidRPr="00486D31" w:rsidSect="00200FB1">
          <w:pgSz w:w="16838" w:h="11906" w:orient="landscape"/>
          <w:pgMar w:top="1440" w:right="1440" w:bottom="1440" w:left="1440" w:header="708" w:footer="708" w:gutter="0"/>
          <w:cols w:space="708"/>
          <w:docGrid w:linePitch="360"/>
        </w:sectPr>
      </w:pPr>
    </w:p>
    <w:p w14:paraId="2D2A2E7F" w14:textId="77777777" w:rsidR="00785714" w:rsidRPr="00B24DC9" w:rsidRDefault="00785714" w:rsidP="00785714">
      <w:pPr>
        <w:pStyle w:val="Heading4"/>
      </w:pPr>
      <w:bookmarkStart w:id="37" w:name="_Toc360028617"/>
      <w:bookmarkStart w:id="38" w:name="_Toc415041926"/>
      <w:bookmarkStart w:id="39" w:name="_Toc269201841"/>
      <w:bookmarkStart w:id="40" w:name="_Toc360028619"/>
      <w:bookmarkStart w:id="41" w:name="_Toc415041927"/>
      <w:r w:rsidRPr="00B24DC9">
        <w:lastRenderedPageBreak/>
        <w:t xml:space="preserve">Dietary modelling approach used for assessing </w:t>
      </w:r>
      <w:bookmarkEnd w:id="37"/>
      <w:r>
        <w:t>intake of L-carnitine</w:t>
      </w:r>
      <w:bookmarkEnd w:id="38"/>
    </w:p>
    <w:p w14:paraId="46467E33" w14:textId="18F5C46C" w:rsidR="00785714" w:rsidRDefault="00785714" w:rsidP="00785714">
      <w:pPr>
        <w:rPr>
          <w:rFonts w:cs="Arial"/>
        </w:rPr>
      </w:pPr>
      <w:r w:rsidRPr="00415B1D">
        <w:rPr>
          <w:rFonts w:cs="Arial"/>
        </w:rPr>
        <w:t>The dietary modelling approach used for this assessment is summarised in</w:t>
      </w:r>
      <w:r w:rsidR="00AC5EF1">
        <w:rPr>
          <w:rFonts w:cs="Arial"/>
        </w:rPr>
        <w:t xml:space="preserve"> Figure 4</w:t>
      </w:r>
      <w:r>
        <w:rPr>
          <w:rFonts w:cs="Arial"/>
        </w:rPr>
        <w:t>.</w:t>
      </w:r>
    </w:p>
    <w:p w14:paraId="19644FFC" w14:textId="77777777" w:rsidR="00785714" w:rsidRPr="00486D31" w:rsidRDefault="00785714" w:rsidP="00785714">
      <w:pPr>
        <w:rPr>
          <w:rFonts w:cs="Arial"/>
          <w:highlight w:val="yellow"/>
        </w:rPr>
      </w:pPr>
    </w:p>
    <w:p w14:paraId="385D27C7" w14:textId="77777777" w:rsidR="00785714" w:rsidRPr="00A83B3C" w:rsidRDefault="00785714" w:rsidP="00785714">
      <w:pPr>
        <w:pStyle w:val="Heading4"/>
      </w:pPr>
      <w:r w:rsidRPr="00A83B3C">
        <w:t xml:space="preserve">Assumptions and limitations of the </w:t>
      </w:r>
      <w:r>
        <w:t>d</w:t>
      </w:r>
      <w:r w:rsidRPr="00A83B3C">
        <w:t xml:space="preserve">ietary </w:t>
      </w:r>
      <w:r>
        <w:t>intake</w:t>
      </w:r>
      <w:r w:rsidRPr="00A83B3C">
        <w:t xml:space="preserve"> </w:t>
      </w:r>
      <w:r>
        <w:t>a</w:t>
      </w:r>
      <w:r w:rsidRPr="00A83B3C">
        <w:t>ssessment</w:t>
      </w:r>
      <w:bookmarkEnd w:id="39"/>
      <w:bookmarkEnd w:id="40"/>
      <w:bookmarkEnd w:id="41"/>
    </w:p>
    <w:p w14:paraId="68CBBDBB" w14:textId="77777777" w:rsidR="00785714" w:rsidRPr="00730981" w:rsidRDefault="00785714" w:rsidP="00785714">
      <w:r w:rsidRPr="00730981">
        <w:t xml:space="preserve">The aim of the </w:t>
      </w:r>
      <w:r>
        <w:t xml:space="preserve">dietary intake assessment </w:t>
      </w:r>
      <w:r w:rsidRPr="00730981">
        <w:t xml:space="preserve">was to make </w:t>
      </w:r>
      <w:r>
        <w:t xml:space="preserve">the most </w:t>
      </w:r>
      <w:r w:rsidRPr="00730981">
        <w:t xml:space="preserve">realistic </w:t>
      </w:r>
      <w:r>
        <w:t>estimat</w:t>
      </w:r>
      <w:r w:rsidRPr="00730981">
        <w:t xml:space="preserve">ion of dietary </w:t>
      </w:r>
      <w:r>
        <w:t>L-carnitine</w:t>
      </w:r>
      <w:r w:rsidRPr="006A68A6">
        <w:t xml:space="preserve"> </w:t>
      </w:r>
      <w:r>
        <w:t>intake</w:t>
      </w:r>
      <w:r w:rsidRPr="00730981">
        <w:t xml:space="preserve"> possible. However, where significant uncertainties in the data existed, conservative assumptions were generally used to ensure that the </w:t>
      </w:r>
      <w:r>
        <w:t>estimated</w:t>
      </w:r>
      <w:r w:rsidRPr="00730981">
        <w:t xml:space="preserve"> dietary </w:t>
      </w:r>
      <w:r>
        <w:t xml:space="preserve">intake </w:t>
      </w:r>
      <w:r w:rsidRPr="00730981">
        <w:t xml:space="preserve">was not an underestimate of </w:t>
      </w:r>
      <w:r>
        <w:t>intake</w:t>
      </w:r>
      <w:r w:rsidRPr="00730981">
        <w:t>.</w:t>
      </w:r>
    </w:p>
    <w:p w14:paraId="6B3A90DD" w14:textId="77777777" w:rsidR="00785714" w:rsidRPr="00730981" w:rsidRDefault="00785714" w:rsidP="00785714"/>
    <w:p w14:paraId="40D457A2" w14:textId="77777777" w:rsidR="00785714" w:rsidRPr="002102C2" w:rsidRDefault="00785714" w:rsidP="00785714">
      <w:r w:rsidRPr="002102C2">
        <w:t xml:space="preserve">Assumptions made in the dietary </w:t>
      </w:r>
      <w:r>
        <w:t>intake</w:t>
      </w:r>
      <w:r w:rsidRPr="002102C2">
        <w:t xml:space="preserve"> assessment included:</w:t>
      </w:r>
    </w:p>
    <w:p w14:paraId="2D32CAAD" w14:textId="77777777" w:rsidR="00785714" w:rsidRDefault="00785714" w:rsidP="00785714">
      <w:pPr>
        <w:pStyle w:val="FSBullet1"/>
        <w:spacing w:before="60" w:after="60"/>
        <w:ind w:left="567" w:hanging="567"/>
      </w:pPr>
      <w:r>
        <w:t>Those persons who do not eat any animal (including poultry and seafood) flesh or marine animal roe in any form or product, whether whole or as an ingredient, can be used as a proxy for ‘vegetarians’, irrespective of whether those respondents identified as a vegetarian in the short questions from the survey or not. In this report, these respondents are referred to by the term “people who don’t eat meat”</w:t>
      </w:r>
    </w:p>
    <w:p w14:paraId="10962D1C" w14:textId="17BF2161" w:rsidR="00785714" w:rsidRDefault="00785714" w:rsidP="00785714">
      <w:pPr>
        <w:pStyle w:val="FSBullet1"/>
        <w:spacing w:before="60" w:after="60"/>
        <w:ind w:left="567" w:hanging="567"/>
      </w:pPr>
      <w:r>
        <w:t>for the purposes of the L-carnitine dietary intake assessment, sports foods/beverages are considered to be those foods/ food types listed in</w:t>
      </w:r>
      <w:r w:rsidR="00AC5EF1">
        <w:t xml:space="preserve"> Table 7</w:t>
      </w:r>
    </w:p>
    <w:p w14:paraId="6C4D51FA" w14:textId="34D6F41D" w:rsidR="00785714" w:rsidRDefault="00785714" w:rsidP="00785714">
      <w:pPr>
        <w:pStyle w:val="FSBullet1"/>
        <w:spacing w:before="60" w:after="60"/>
        <w:ind w:left="567" w:hanging="567"/>
      </w:pPr>
      <w:r>
        <w:t xml:space="preserve">for the purposes of the L-carnitine dietary intake assessment, weight management and meal replacement products are considered to be those foods/ food types listed in </w:t>
      </w:r>
      <w:r w:rsidR="00AC5EF1">
        <w:t>Table 8</w:t>
      </w:r>
    </w:p>
    <w:p w14:paraId="6D4ED69C" w14:textId="7BD204DC" w:rsidR="00785714" w:rsidRPr="002102C2" w:rsidRDefault="00785714" w:rsidP="00785714">
      <w:pPr>
        <w:pStyle w:val="FSBullet1"/>
        <w:spacing w:before="60" w:after="60"/>
        <w:ind w:left="567" w:hanging="567"/>
      </w:pPr>
      <w:r w:rsidRPr="002102C2">
        <w:t>u</w:t>
      </w:r>
      <w:r>
        <w:t>nless otherwise specified, all foods within a</w:t>
      </w:r>
      <w:r w:rsidRPr="002102C2">
        <w:t xml:space="preserve"> category </w:t>
      </w:r>
      <w:r>
        <w:t xml:space="preserve">contain L-carnitine </w:t>
      </w:r>
      <w:r w:rsidRPr="002102C2">
        <w:t xml:space="preserve">at the </w:t>
      </w:r>
      <w:r>
        <w:t>concentration</w:t>
      </w:r>
      <w:r w:rsidRPr="00545DDF">
        <w:t>s</w:t>
      </w:r>
      <w:r w:rsidRPr="002102C2">
        <w:t xml:space="preserve"> specified in</w:t>
      </w:r>
      <w:r w:rsidR="00AC5EF1">
        <w:t xml:space="preserve"> Table 6</w:t>
      </w:r>
    </w:p>
    <w:p w14:paraId="048C0301" w14:textId="77777777" w:rsidR="00785714" w:rsidRDefault="00785714" w:rsidP="00785714">
      <w:pPr>
        <w:pStyle w:val="FSBullet1"/>
        <w:spacing w:before="60" w:after="60"/>
        <w:ind w:left="567" w:hanging="567"/>
      </w:pPr>
      <w:r w:rsidRPr="00545DDF">
        <w:t>where a food was not included in the intake assessment, it was assumed to contain a zero concentration of L-carnitine</w:t>
      </w:r>
    </w:p>
    <w:p w14:paraId="0A5BF93C" w14:textId="77777777" w:rsidR="00785714" w:rsidRPr="00E04886" w:rsidRDefault="00785714" w:rsidP="00785714">
      <w:pPr>
        <w:pStyle w:val="FSBullet1"/>
        <w:spacing w:before="60" w:after="60"/>
        <w:ind w:left="567" w:hanging="567"/>
      </w:pPr>
      <w:r>
        <w:t>if there were</w:t>
      </w:r>
      <w:r w:rsidRPr="00E04886">
        <w:t xml:space="preserve"> no total L-carnitine concentration data available for a food but there</w:t>
      </w:r>
      <w:r>
        <w:t xml:space="preserve"> </w:t>
      </w:r>
      <w:r w:rsidRPr="00E04886">
        <w:t>is a free L-carnitine concent</w:t>
      </w:r>
      <w:r>
        <w:t>r</w:t>
      </w:r>
      <w:r w:rsidRPr="00E04886">
        <w:t>ation, then free</w:t>
      </w:r>
      <w:r>
        <w:t xml:space="preserve"> L-carnitine</w:t>
      </w:r>
      <w:r w:rsidRPr="00E04886">
        <w:t xml:space="preserve"> = total</w:t>
      </w:r>
      <w:r>
        <w:t xml:space="preserve"> L-carnitine</w:t>
      </w:r>
    </w:p>
    <w:p w14:paraId="05752B4C" w14:textId="77777777" w:rsidR="00785714" w:rsidRDefault="00785714" w:rsidP="00785714">
      <w:pPr>
        <w:pStyle w:val="FSBullet1"/>
        <w:spacing w:before="60" w:after="60"/>
        <w:ind w:left="567" w:hanging="567"/>
      </w:pPr>
      <w:r w:rsidRPr="002102C2">
        <w:t xml:space="preserve">where a food was assigned a </w:t>
      </w:r>
      <w:r>
        <w:t>L-carnitine</w:t>
      </w:r>
      <w:r w:rsidRPr="002102C2">
        <w:t xml:space="preserve"> concentration, this concentration was carried over to mixed foods where the food had been used as an ingredient</w:t>
      </w:r>
      <w:r>
        <w:t xml:space="preserve"> (e.g. meat used in homemade casseroles; milk in homemade cakes etc.)</w:t>
      </w:r>
    </w:p>
    <w:p w14:paraId="7B0AB46F" w14:textId="77777777" w:rsidR="00785714" w:rsidRDefault="00785714" w:rsidP="00785714">
      <w:pPr>
        <w:pStyle w:val="FSBullet1"/>
        <w:spacing w:before="60" w:after="60"/>
        <w:ind w:left="567" w:hanging="567"/>
      </w:pPr>
      <w:r>
        <w:t>the request for L-carnitine permissions in yoghurt includes frozen yoghurts</w:t>
      </w:r>
    </w:p>
    <w:p w14:paraId="64B8FE82" w14:textId="77777777" w:rsidR="00785714" w:rsidRDefault="00785714" w:rsidP="00785714">
      <w:pPr>
        <w:pStyle w:val="FSBullet1"/>
        <w:spacing w:before="60" w:after="60"/>
        <w:ind w:left="567" w:hanging="567"/>
      </w:pPr>
      <w:r>
        <w:t>cultured dairy products and yoghurt beverages are “liquid yoghurts”</w:t>
      </w:r>
    </w:p>
    <w:p w14:paraId="2808A88E" w14:textId="77777777" w:rsidR="00785714" w:rsidRDefault="00785714" w:rsidP="00785714">
      <w:pPr>
        <w:pStyle w:val="FSBullet1"/>
        <w:spacing w:before="60" w:after="60"/>
        <w:ind w:left="567" w:hanging="567"/>
      </w:pPr>
      <w:r w:rsidRPr="00E04886">
        <w:t>the request for L-carnitine permissions in “6.3 Hot cereal” is oat porridges including flavoured and plain</w:t>
      </w:r>
    </w:p>
    <w:p w14:paraId="6F371591" w14:textId="77777777" w:rsidR="00785714" w:rsidRDefault="00785714" w:rsidP="00785714">
      <w:pPr>
        <w:pStyle w:val="FSBullet1"/>
        <w:spacing w:before="60" w:after="60"/>
        <w:ind w:left="567" w:hanging="567"/>
      </w:pPr>
      <w:r>
        <w:t xml:space="preserve">the request for L-carnitine permissions in </w:t>
      </w:r>
      <w:r w:rsidRPr="00E04886">
        <w:t>“6.3 Ready-to-eat (RTE), flaked, extruded muesli” includes heavy muesli (e.g. toasted muesli) and lighter-style muesli (e.g. sultanas and bran flakes cereal; mixed puffed/flaked grains and fruit muesli)</w:t>
      </w:r>
    </w:p>
    <w:p w14:paraId="2F434E8B" w14:textId="77777777" w:rsidR="00785714" w:rsidRDefault="00785714" w:rsidP="00785714">
      <w:pPr>
        <w:pStyle w:val="FSBullet1"/>
        <w:spacing w:before="60" w:after="60"/>
        <w:ind w:left="567" w:hanging="567"/>
      </w:pPr>
      <w:r>
        <w:t xml:space="preserve">intensely sweetened soft drinks are excluded from the requested L-carnitine permissions in </w:t>
      </w:r>
      <w:r w:rsidRPr="00E04886">
        <w:t>“14.1.3 Water-based flavoured drinks</w:t>
      </w:r>
      <w:r>
        <w:t>”</w:t>
      </w:r>
    </w:p>
    <w:p w14:paraId="4428EF81" w14:textId="77777777" w:rsidR="00785714" w:rsidRDefault="00785714" w:rsidP="00785714">
      <w:pPr>
        <w:pStyle w:val="FSBullet1"/>
        <w:spacing w:before="60" w:after="60"/>
        <w:ind w:left="567" w:hanging="567"/>
      </w:pPr>
      <w:r>
        <w:t>one serve of sports food beverages is 500 grams</w:t>
      </w:r>
    </w:p>
    <w:p w14:paraId="71790CDD" w14:textId="77777777" w:rsidR="00785714" w:rsidRPr="000A0362" w:rsidRDefault="00785714" w:rsidP="00785714">
      <w:pPr>
        <w:pStyle w:val="FSBullet1"/>
        <w:spacing w:before="60" w:after="60"/>
        <w:ind w:left="567" w:hanging="567"/>
      </w:pPr>
      <w:r>
        <w:t>one serve of solid sports foods is 45 grams</w:t>
      </w:r>
    </w:p>
    <w:p w14:paraId="4BEF74CB" w14:textId="77777777" w:rsidR="00785714" w:rsidRDefault="00785714" w:rsidP="00785714">
      <w:pPr>
        <w:pStyle w:val="FSBullet1"/>
        <w:spacing w:before="60" w:after="60"/>
        <w:ind w:left="567" w:hanging="567"/>
      </w:pPr>
      <w:r>
        <w:t xml:space="preserve">at </w:t>
      </w:r>
      <w:r w:rsidRPr="00294D5F">
        <w:rPr>
          <w:i/>
        </w:rPr>
        <w:t>Baseline</w:t>
      </w:r>
      <w:r>
        <w:t>, the 100 mg/day limit for L-carnitine in sports foods is in one serve of sports foods (i.e. this equates to 200 mg/kg sports beverages and 2,222 mg/kg in solid sports foods such as bars)</w:t>
      </w:r>
    </w:p>
    <w:p w14:paraId="3C6068FC" w14:textId="77777777" w:rsidR="00785714" w:rsidRDefault="00785714" w:rsidP="00785714">
      <w:pPr>
        <w:pStyle w:val="FSBullet1"/>
        <w:spacing w:before="60" w:after="60"/>
        <w:ind w:left="567" w:hanging="567"/>
      </w:pPr>
      <w:r>
        <w:t xml:space="preserve">under the </w:t>
      </w:r>
      <w:r>
        <w:rPr>
          <w:i/>
        </w:rPr>
        <w:t>Sports food increase</w:t>
      </w:r>
      <w:r>
        <w:t xml:space="preserve"> and </w:t>
      </w:r>
      <w:r w:rsidRPr="00E00975">
        <w:rPr>
          <w:i/>
        </w:rPr>
        <w:t>Consumer behaviour</w:t>
      </w:r>
      <w:r>
        <w:t xml:space="preserve"> scenarios, the 2,000 mg/day limit for L-carnitine in sports foods is in four serves of sports foods per day (i.e. this equates to 1,000 mg/kg sports beverages and 11,111 mg/kg in solid sports foods such as bars)</w:t>
      </w:r>
    </w:p>
    <w:p w14:paraId="59A87233" w14:textId="77777777" w:rsidR="00785714" w:rsidRDefault="00785714" w:rsidP="00785714">
      <w:pPr>
        <w:pStyle w:val="FSBullet1"/>
        <w:spacing w:before="60" w:after="60"/>
        <w:ind w:left="567" w:hanging="567"/>
      </w:pPr>
      <w:r w:rsidRPr="002102C2">
        <w:lastRenderedPageBreak/>
        <w:t xml:space="preserve">there was no contribution to </w:t>
      </w:r>
      <w:r>
        <w:t>L-carnitine</w:t>
      </w:r>
      <w:r w:rsidRPr="002102C2">
        <w:t xml:space="preserve"> </w:t>
      </w:r>
      <w:r>
        <w:t>intake</w:t>
      </w:r>
      <w:r w:rsidRPr="002102C2">
        <w:t xml:space="preserve"> through the use of complementary or other medicines.</w:t>
      </w:r>
    </w:p>
    <w:p w14:paraId="2E31E286" w14:textId="77777777" w:rsidR="00785714" w:rsidRPr="002102C2" w:rsidRDefault="00785714" w:rsidP="00785714">
      <w:pPr>
        <w:rPr>
          <w:rFonts w:cs="Arial"/>
        </w:rPr>
      </w:pPr>
    </w:p>
    <w:p w14:paraId="4ACBF9E8" w14:textId="77777777" w:rsidR="00785714" w:rsidRDefault="00785714" w:rsidP="00785714">
      <w:pPr>
        <w:rPr>
          <w:szCs w:val="22"/>
        </w:rPr>
      </w:pPr>
      <w:r w:rsidRPr="002102C2">
        <w:t>In addition</w:t>
      </w:r>
      <w:r w:rsidRPr="00730981">
        <w:t xml:space="preserve"> to the specific assumptions made in relation to this </w:t>
      </w:r>
      <w:r>
        <w:t>dietary intake assessment</w:t>
      </w:r>
      <w:r w:rsidRPr="00730981">
        <w:t xml:space="preserve">, there are a number of limitations associated with the nutrition surveys from which the food consumption data used for </w:t>
      </w:r>
      <w:r>
        <w:t>the assessment</w:t>
      </w:r>
      <w:r w:rsidRPr="00730981">
        <w:t xml:space="preserve"> are based. A discussion of these limitations is included in Section 6 of the </w:t>
      </w:r>
      <w:r w:rsidRPr="00730981">
        <w:rPr>
          <w:i/>
          <w:szCs w:val="22"/>
        </w:rPr>
        <w:t>Principles and Practices of Dietary Exposure Assessment for Food Regulatory Purposes</w:t>
      </w:r>
      <w:r w:rsidRPr="00730981">
        <w:rPr>
          <w:szCs w:val="22"/>
        </w:rPr>
        <w:t xml:space="preserve"> (FSANZ 2009).</w:t>
      </w:r>
    </w:p>
    <w:p w14:paraId="0E3F2136" w14:textId="77777777" w:rsidR="00785714" w:rsidRDefault="00785714" w:rsidP="00785714">
      <w:pPr>
        <w:rPr>
          <w:szCs w:val="22"/>
        </w:rPr>
      </w:pPr>
    </w:p>
    <w:p w14:paraId="26E9C59F" w14:textId="77777777" w:rsidR="00785714" w:rsidRDefault="00785714" w:rsidP="00785714">
      <w:pPr>
        <w:pStyle w:val="FSTableTitle"/>
        <w:keepNext/>
        <w:keepLines/>
        <w:rPr>
          <w:szCs w:val="22"/>
        </w:rPr>
      </w:pPr>
      <w:bookmarkStart w:id="42" w:name="_Ref494180435"/>
      <w:r>
        <w:t>Table 7</w:t>
      </w:r>
      <w:bookmarkEnd w:id="42"/>
      <w:r>
        <w:t>: Foods considered to be “sports foods/ beverages”, for the purposes of the L-carnitine dietary intake assessment</w:t>
      </w:r>
    </w:p>
    <w:tbl>
      <w:tblPr>
        <w:tblStyle w:val="MediumList1-Accent1"/>
        <w:tblW w:w="0" w:type="auto"/>
        <w:tblLook w:val="04A0" w:firstRow="1" w:lastRow="0" w:firstColumn="1" w:lastColumn="0" w:noHBand="0" w:noVBand="1"/>
        <w:tblDescription w:val="List of foods considered to be &quot;weight management and meal replacement&quot; products for the purpose of this L-carnitine dietary intake assessment."/>
      </w:tblPr>
      <w:tblGrid>
        <w:gridCol w:w="5778"/>
      </w:tblGrid>
      <w:tr w:rsidR="00785714" w:rsidRPr="00580E89" w14:paraId="06F0B954" w14:textId="77777777" w:rsidTr="006477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78" w:type="dxa"/>
            <w:tcBorders>
              <w:top w:val="single" w:sz="8" w:space="0" w:color="4F81BD" w:themeColor="accent1"/>
              <w:bottom w:val="nil"/>
            </w:tcBorders>
          </w:tcPr>
          <w:p w14:paraId="714F36A8" w14:textId="77777777" w:rsidR="00785714" w:rsidRPr="00580E89" w:rsidRDefault="00785714" w:rsidP="00811A8E">
            <w:pPr>
              <w:keepNext/>
              <w:keepLines/>
              <w:spacing w:before="60" w:after="60"/>
              <w:rPr>
                <w:b w:val="0"/>
                <w:szCs w:val="22"/>
              </w:rPr>
            </w:pPr>
            <w:r w:rsidRPr="00580E89">
              <w:rPr>
                <w:b w:val="0"/>
                <w:szCs w:val="22"/>
              </w:rPr>
              <w:t>Amino acid or creatine drinks</w:t>
            </w:r>
          </w:p>
        </w:tc>
      </w:tr>
      <w:tr w:rsidR="00785714" w:rsidRPr="00580E89" w14:paraId="68F68F1D"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nil"/>
            </w:tcBorders>
          </w:tcPr>
          <w:p w14:paraId="5C028D60" w14:textId="77777777" w:rsidR="00785714" w:rsidRPr="00580E89" w:rsidRDefault="00785714" w:rsidP="00811A8E">
            <w:pPr>
              <w:keepNext/>
              <w:keepLines/>
              <w:spacing w:before="60" w:after="60"/>
              <w:rPr>
                <w:b w:val="0"/>
                <w:szCs w:val="22"/>
              </w:rPr>
            </w:pPr>
            <w:r w:rsidRPr="00580E89">
              <w:rPr>
                <w:b w:val="0"/>
                <w:szCs w:val="22"/>
              </w:rPr>
              <w:t>High protein bars</w:t>
            </w:r>
          </w:p>
        </w:tc>
      </w:tr>
      <w:tr w:rsidR="00785714" w:rsidRPr="00580E89" w14:paraId="22064D7F" w14:textId="77777777" w:rsidTr="00811A8E">
        <w:tc>
          <w:tcPr>
            <w:cnfStyle w:val="001000000000" w:firstRow="0" w:lastRow="0" w:firstColumn="1" w:lastColumn="0" w:oddVBand="0" w:evenVBand="0" w:oddHBand="0" w:evenHBand="0" w:firstRowFirstColumn="0" w:firstRowLastColumn="0" w:lastRowFirstColumn="0" w:lastRowLastColumn="0"/>
            <w:tcW w:w="5778" w:type="dxa"/>
            <w:tcBorders>
              <w:bottom w:val="nil"/>
            </w:tcBorders>
          </w:tcPr>
          <w:p w14:paraId="55DD334F" w14:textId="77777777" w:rsidR="00785714" w:rsidRPr="00580E89" w:rsidRDefault="00785714" w:rsidP="00811A8E">
            <w:pPr>
              <w:keepNext/>
              <w:keepLines/>
              <w:spacing w:before="60" w:after="60"/>
              <w:rPr>
                <w:b w:val="0"/>
                <w:szCs w:val="22"/>
              </w:rPr>
            </w:pPr>
            <w:r w:rsidRPr="00580E89">
              <w:rPr>
                <w:b w:val="0"/>
                <w:szCs w:val="22"/>
              </w:rPr>
              <w:t>Protein drinks, including powders*</w:t>
            </w:r>
          </w:p>
        </w:tc>
      </w:tr>
      <w:tr w:rsidR="00785714" w:rsidRPr="00580E89" w14:paraId="7C443C30"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nil"/>
              <w:bottom w:val="nil"/>
            </w:tcBorders>
          </w:tcPr>
          <w:p w14:paraId="66D7B4E9" w14:textId="77777777" w:rsidR="00785714" w:rsidRPr="00580E89" w:rsidRDefault="00785714" w:rsidP="00811A8E">
            <w:pPr>
              <w:keepNext/>
              <w:keepLines/>
              <w:spacing w:before="60" w:after="60"/>
              <w:rPr>
                <w:b w:val="0"/>
                <w:szCs w:val="22"/>
              </w:rPr>
            </w:pPr>
            <w:r w:rsidRPr="00580E89">
              <w:rPr>
                <w:b w:val="0"/>
                <w:szCs w:val="22"/>
              </w:rPr>
              <w:t>Protein supplement bars</w:t>
            </w:r>
          </w:p>
        </w:tc>
      </w:tr>
      <w:tr w:rsidR="00785714" w:rsidRPr="00580E89" w14:paraId="2416AB8E" w14:textId="77777777" w:rsidTr="00811A8E">
        <w:tc>
          <w:tcPr>
            <w:cnfStyle w:val="001000000000" w:firstRow="0" w:lastRow="0" w:firstColumn="1" w:lastColumn="0" w:oddVBand="0" w:evenVBand="0" w:oddHBand="0" w:evenHBand="0" w:firstRowFirstColumn="0" w:firstRowLastColumn="0" w:lastRowFirstColumn="0" w:lastRowLastColumn="0"/>
            <w:tcW w:w="5778" w:type="dxa"/>
            <w:tcBorders>
              <w:top w:val="nil"/>
              <w:bottom w:val="nil"/>
            </w:tcBorders>
          </w:tcPr>
          <w:p w14:paraId="60C5ECB4" w14:textId="77777777" w:rsidR="00785714" w:rsidRPr="00580E89" w:rsidRDefault="00785714" w:rsidP="00811A8E">
            <w:pPr>
              <w:keepNext/>
              <w:keepLines/>
              <w:spacing w:before="60" w:after="60"/>
              <w:rPr>
                <w:b w:val="0"/>
                <w:szCs w:val="22"/>
              </w:rPr>
            </w:pPr>
            <w:r w:rsidRPr="00580E89">
              <w:rPr>
                <w:b w:val="0"/>
                <w:szCs w:val="22"/>
              </w:rPr>
              <w:t>Sports drink, ready to drink (including “sugar-free”)</w:t>
            </w:r>
          </w:p>
        </w:tc>
      </w:tr>
      <w:tr w:rsidR="00785714" w:rsidRPr="00580E89" w14:paraId="2B46EBDF"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nil"/>
            </w:tcBorders>
          </w:tcPr>
          <w:p w14:paraId="14C02B39" w14:textId="77777777" w:rsidR="00785714" w:rsidRPr="00580E89" w:rsidRDefault="00785714" w:rsidP="00811A8E">
            <w:pPr>
              <w:keepNext/>
              <w:keepLines/>
              <w:spacing w:before="60" w:after="60"/>
              <w:rPr>
                <w:b w:val="0"/>
                <w:szCs w:val="22"/>
              </w:rPr>
            </w:pPr>
            <w:r w:rsidRPr="00580E89">
              <w:rPr>
                <w:b w:val="0"/>
                <w:szCs w:val="22"/>
              </w:rPr>
              <w:t>Sports drink, concentrate*</w:t>
            </w:r>
          </w:p>
        </w:tc>
      </w:tr>
      <w:tr w:rsidR="00785714" w:rsidRPr="00580E89" w14:paraId="00BDFC5A" w14:textId="77777777" w:rsidTr="00811A8E">
        <w:tc>
          <w:tcPr>
            <w:cnfStyle w:val="001000000000" w:firstRow="0" w:lastRow="0" w:firstColumn="1" w:lastColumn="0" w:oddVBand="0" w:evenVBand="0" w:oddHBand="0" w:evenHBand="0" w:firstRowFirstColumn="0" w:firstRowLastColumn="0" w:lastRowFirstColumn="0" w:lastRowLastColumn="0"/>
            <w:tcW w:w="5778" w:type="dxa"/>
          </w:tcPr>
          <w:p w14:paraId="5AD38C66" w14:textId="77777777" w:rsidR="00785714" w:rsidRPr="00580E89" w:rsidRDefault="00785714" w:rsidP="00811A8E">
            <w:pPr>
              <w:keepNext/>
              <w:keepLines/>
              <w:spacing w:before="60" w:after="60"/>
              <w:rPr>
                <w:b w:val="0"/>
                <w:szCs w:val="22"/>
              </w:rPr>
            </w:pPr>
            <w:r w:rsidRPr="00580E89">
              <w:rPr>
                <w:b w:val="0"/>
                <w:szCs w:val="22"/>
              </w:rPr>
              <w:t>Sports drink, powder*</w:t>
            </w:r>
          </w:p>
        </w:tc>
      </w:tr>
    </w:tbl>
    <w:p w14:paraId="1386AD43" w14:textId="77777777" w:rsidR="00785714" w:rsidRPr="00580E89" w:rsidRDefault="00785714" w:rsidP="00785714">
      <w:pPr>
        <w:keepNext/>
        <w:keepLines/>
        <w:rPr>
          <w:sz w:val="18"/>
          <w:szCs w:val="22"/>
        </w:rPr>
      </w:pPr>
      <w:r w:rsidRPr="00580E89">
        <w:rPr>
          <w:sz w:val="18"/>
          <w:szCs w:val="22"/>
        </w:rPr>
        <w:t>* sports drink concentrates and powders were converted to their reconstituted form</w:t>
      </w:r>
    </w:p>
    <w:p w14:paraId="30B1AF65" w14:textId="77777777" w:rsidR="00785714" w:rsidRPr="00580E89" w:rsidRDefault="00785714" w:rsidP="00785714">
      <w:pPr>
        <w:rPr>
          <w:szCs w:val="22"/>
        </w:rPr>
      </w:pPr>
    </w:p>
    <w:p w14:paraId="2BA282AF" w14:textId="77777777" w:rsidR="00785714" w:rsidRPr="00580E89" w:rsidRDefault="00785714" w:rsidP="00785714">
      <w:pPr>
        <w:pStyle w:val="FSTableTitle"/>
        <w:keepNext/>
        <w:keepLines/>
        <w:rPr>
          <w:szCs w:val="22"/>
        </w:rPr>
      </w:pPr>
      <w:bookmarkStart w:id="43" w:name="_Ref494180388"/>
      <w:r w:rsidRPr="00580E89">
        <w:t xml:space="preserve">Table </w:t>
      </w:r>
      <w:r>
        <w:t>8</w:t>
      </w:r>
      <w:bookmarkEnd w:id="43"/>
      <w:r w:rsidRPr="00580E89">
        <w:t>: Foods considered to be weight management and meal replacement products, for the purposes of the L-carnitine dietary intake assessment</w:t>
      </w:r>
    </w:p>
    <w:tbl>
      <w:tblPr>
        <w:tblStyle w:val="MediumList1-Accent1"/>
        <w:tblW w:w="0" w:type="auto"/>
        <w:tblLook w:val="04A0" w:firstRow="1" w:lastRow="0" w:firstColumn="1" w:lastColumn="0" w:noHBand="0" w:noVBand="1"/>
        <w:tblDescription w:val="List of foods considered to be &quot;weight management and meal replacement&quot; products for the purpose of this L-carnitine dietary intake assessment."/>
      </w:tblPr>
      <w:tblGrid>
        <w:gridCol w:w="5778"/>
      </w:tblGrid>
      <w:tr w:rsidR="00785714" w:rsidRPr="00580E89" w14:paraId="7ABAB667" w14:textId="77777777" w:rsidTr="006477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78" w:type="dxa"/>
            <w:tcBorders>
              <w:top w:val="single" w:sz="8" w:space="0" w:color="4F81BD" w:themeColor="accent1"/>
              <w:bottom w:val="nil"/>
            </w:tcBorders>
          </w:tcPr>
          <w:p w14:paraId="147C2C43" w14:textId="77777777" w:rsidR="00785714" w:rsidRPr="00580E89" w:rsidRDefault="00785714" w:rsidP="00811A8E">
            <w:pPr>
              <w:keepNext/>
              <w:keepLines/>
              <w:spacing w:before="60" w:after="60"/>
              <w:rPr>
                <w:b w:val="0"/>
                <w:szCs w:val="22"/>
              </w:rPr>
            </w:pPr>
            <w:r w:rsidRPr="00580E89">
              <w:rPr>
                <w:b w:val="0"/>
                <w:szCs w:val="22"/>
              </w:rPr>
              <w:t>High protein bars</w:t>
            </w:r>
          </w:p>
        </w:tc>
      </w:tr>
      <w:tr w:rsidR="00785714" w:rsidRPr="00580E89" w14:paraId="2C0AED0F"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7F48E7B" w14:textId="77777777" w:rsidR="00785714" w:rsidRPr="00580E89" w:rsidRDefault="00785714" w:rsidP="00811A8E">
            <w:pPr>
              <w:keepNext/>
              <w:keepLines/>
              <w:spacing w:before="60" w:after="60"/>
              <w:rPr>
                <w:b w:val="0"/>
                <w:szCs w:val="22"/>
              </w:rPr>
            </w:pPr>
            <w:r w:rsidRPr="00580E89">
              <w:rPr>
                <w:b w:val="0"/>
                <w:szCs w:val="22"/>
              </w:rPr>
              <w:t>Meal replacement bars</w:t>
            </w:r>
          </w:p>
        </w:tc>
      </w:tr>
      <w:tr w:rsidR="00785714" w:rsidRPr="00580E89" w14:paraId="25FC70E0" w14:textId="77777777" w:rsidTr="00811A8E">
        <w:tc>
          <w:tcPr>
            <w:cnfStyle w:val="001000000000" w:firstRow="0" w:lastRow="0" w:firstColumn="1" w:lastColumn="0" w:oddVBand="0" w:evenVBand="0" w:oddHBand="0" w:evenHBand="0" w:firstRowFirstColumn="0" w:firstRowLastColumn="0" w:lastRowFirstColumn="0" w:lastRowLastColumn="0"/>
            <w:tcW w:w="5778" w:type="dxa"/>
          </w:tcPr>
          <w:p w14:paraId="3A353343" w14:textId="77777777" w:rsidR="00785714" w:rsidRPr="00580E89" w:rsidRDefault="00785714" w:rsidP="00811A8E">
            <w:pPr>
              <w:keepNext/>
              <w:keepLines/>
              <w:spacing w:before="60" w:after="60"/>
              <w:rPr>
                <w:b w:val="0"/>
                <w:szCs w:val="22"/>
              </w:rPr>
            </w:pPr>
            <w:r w:rsidRPr="00580E89">
              <w:rPr>
                <w:b w:val="0"/>
                <w:szCs w:val="22"/>
              </w:rPr>
              <w:t>Meal replacement drinks, including powders*</w:t>
            </w:r>
          </w:p>
        </w:tc>
      </w:tr>
      <w:tr w:rsidR="00785714" w:rsidRPr="00580E89" w14:paraId="1E5F19AF"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0830B8D" w14:textId="77777777" w:rsidR="00785714" w:rsidRPr="00580E89" w:rsidRDefault="00785714" w:rsidP="00811A8E">
            <w:pPr>
              <w:keepNext/>
              <w:keepLines/>
              <w:spacing w:before="60" w:after="60"/>
              <w:rPr>
                <w:b w:val="0"/>
                <w:szCs w:val="22"/>
              </w:rPr>
            </w:pPr>
            <w:r w:rsidRPr="00580E89">
              <w:rPr>
                <w:b w:val="0"/>
                <w:szCs w:val="22"/>
              </w:rPr>
              <w:t>Protein drinks, including powders*</w:t>
            </w:r>
          </w:p>
        </w:tc>
      </w:tr>
      <w:tr w:rsidR="00785714" w:rsidRPr="00580E89" w14:paraId="7707414B" w14:textId="77777777" w:rsidTr="00811A8E">
        <w:tc>
          <w:tcPr>
            <w:cnfStyle w:val="001000000000" w:firstRow="0" w:lastRow="0" w:firstColumn="1" w:lastColumn="0" w:oddVBand="0" w:evenVBand="0" w:oddHBand="0" w:evenHBand="0" w:firstRowFirstColumn="0" w:firstRowLastColumn="0" w:lastRowFirstColumn="0" w:lastRowLastColumn="0"/>
            <w:tcW w:w="5778" w:type="dxa"/>
          </w:tcPr>
          <w:p w14:paraId="416912E9" w14:textId="77777777" w:rsidR="00785714" w:rsidRPr="00580E89" w:rsidRDefault="00785714" w:rsidP="00811A8E">
            <w:pPr>
              <w:keepNext/>
              <w:keepLines/>
              <w:spacing w:before="60" w:after="60"/>
              <w:rPr>
                <w:b w:val="0"/>
                <w:szCs w:val="22"/>
              </w:rPr>
            </w:pPr>
            <w:r w:rsidRPr="00580E89">
              <w:rPr>
                <w:b w:val="0"/>
                <w:szCs w:val="22"/>
              </w:rPr>
              <w:t>Protein supplement bars</w:t>
            </w:r>
          </w:p>
        </w:tc>
      </w:tr>
      <w:tr w:rsidR="00785714" w:rsidRPr="00580E89" w14:paraId="599DEBA0"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C60D37A" w14:textId="77777777" w:rsidR="00785714" w:rsidRPr="00580E89" w:rsidRDefault="00785714" w:rsidP="00811A8E">
            <w:pPr>
              <w:keepNext/>
              <w:keepLines/>
              <w:spacing w:before="60" w:after="60"/>
              <w:rPr>
                <w:b w:val="0"/>
                <w:szCs w:val="22"/>
              </w:rPr>
            </w:pPr>
            <w:r w:rsidRPr="00580E89">
              <w:rPr>
                <w:b w:val="0"/>
                <w:szCs w:val="22"/>
              </w:rPr>
              <w:t>Very low energy diet soups, including powders*</w:t>
            </w:r>
          </w:p>
        </w:tc>
      </w:tr>
      <w:tr w:rsidR="00785714" w14:paraId="395AE8A4" w14:textId="77777777" w:rsidTr="00811A8E">
        <w:tc>
          <w:tcPr>
            <w:cnfStyle w:val="001000000000" w:firstRow="0" w:lastRow="0" w:firstColumn="1" w:lastColumn="0" w:oddVBand="0" w:evenVBand="0" w:oddHBand="0" w:evenHBand="0" w:firstRowFirstColumn="0" w:firstRowLastColumn="0" w:lastRowFirstColumn="0" w:lastRowLastColumn="0"/>
            <w:tcW w:w="5778" w:type="dxa"/>
          </w:tcPr>
          <w:p w14:paraId="1A654027" w14:textId="77777777" w:rsidR="00785714" w:rsidRPr="00BF0C99" w:rsidRDefault="00785714" w:rsidP="00811A8E">
            <w:pPr>
              <w:keepNext/>
              <w:keepLines/>
              <w:spacing w:before="60" w:after="60"/>
              <w:rPr>
                <w:b w:val="0"/>
                <w:szCs w:val="22"/>
              </w:rPr>
            </w:pPr>
            <w:r w:rsidRPr="00580E89">
              <w:rPr>
                <w:b w:val="0"/>
                <w:szCs w:val="22"/>
              </w:rPr>
              <w:t>Very low energy diet drinks, including powders*</w:t>
            </w:r>
          </w:p>
        </w:tc>
      </w:tr>
    </w:tbl>
    <w:p w14:paraId="6F9BB890" w14:textId="77777777" w:rsidR="00785714" w:rsidRPr="00DC323C" w:rsidRDefault="00785714" w:rsidP="00785714">
      <w:pPr>
        <w:keepNext/>
        <w:keepLines/>
        <w:rPr>
          <w:sz w:val="18"/>
          <w:szCs w:val="22"/>
        </w:rPr>
      </w:pPr>
      <w:r w:rsidRPr="00DC323C">
        <w:rPr>
          <w:sz w:val="18"/>
          <w:szCs w:val="22"/>
        </w:rPr>
        <w:t xml:space="preserve">* </w:t>
      </w:r>
      <w:r>
        <w:rPr>
          <w:sz w:val="18"/>
          <w:szCs w:val="22"/>
        </w:rPr>
        <w:t>meal replacement</w:t>
      </w:r>
      <w:r w:rsidRPr="00DC323C">
        <w:rPr>
          <w:sz w:val="18"/>
          <w:szCs w:val="22"/>
        </w:rPr>
        <w:t xml:space="preserve"> powders</w:t>
      </w:r>
      <w:r>
        <w:rPr>
          <w:sz w:val="18"/>
          <w:szCs w:val="22"/>
        </w:rPr>
        <w:t>, very low energy diet soup powders and very low energy diet drink powders</w:t>
      </w:r>
      <w:r w:rsidRPr="00DC323C">
        <w:rPr>
          <w:sz w:val="18"/>
          <w:szCs w:val="22"/>
        </w:rPr>
        <w:t xml:space="preserve"> were converted to their reconstituted form</w:t>
      </w:r>
    </w:p>
    <w:p w14:paraId="75685C4A" w14:textId="77777777" w:rsidR="00785714" w:rsidRPr="00A83B3C" w:rsidRDefault="00785714" w:rsidP="00785714">
      <w:pPr>
        <w:pStyle w:val="Heading3"/>
        <w:numPr>
          <w:ilvl w:val="2"/>
          <w:numId w:val="8"/>
        </w:numPr>
      </w:pPr>
      <w:bookmarkStart w:id="44" w:name="_Toc360028620"/>
      <w:bookmarkStart w:id="45" w:name="_Toc415041928"/>
      <w:bookmarkStart w:id="46" w:name="_Toc516587274"/>
      <w:bookmarkStart w:id="47" w:name="_Toc516654665"/>
      <w:bookmarkStart w:id="48" w:name="_Toc520888227"/>
      <w:bookmarkStart w:id="49" w:name="_Toc269201842"/>
      <w:r>
        <w:t>Estima</w:t>
      </w:r>
      <w:r w:rsidRPr="00A83B3C">
        <w:t xml:space="preserve">ted population dietary </w:t>
      </w:r>
      <w:bookmarkEnd w:id="44"/>
      <w:r>
        <w:t>intakes of L-carnitine</w:t>
      </w:r>
      <w:bookmarkEnd w:id="45"/>
      <w:bookmarkEnd w:id="46"/>
      <w:bookmarkEnd w:id="47"/>
      <w:bookmarkEnd w:id="48"/>
    </w:p>
    <w:bookmarkEnd w:id="49"/>
    <w:p w14:paraId="3FA98735" w14:textId="77777777" w:rsidR="00785714" w:rsidRDefault="00785714" w:rsidP="00785714">
      <w:pPr>
        <w:pStyle w:val="Heading4"/>
      </w:pPr>
      <w:r>
        <w:t>General population groups</w:t>
      </w:r>
    </w:p>
    <w:p w14:paraId="65B4CDB3" w14:textId="77777777" w:rsidR="00785714" w:rsidRPr="006C368F" w:rsidRDefault="00785714" w:rsidP="00785714">
      <w:pPr>
        <w:pStyle w:val="Heading5"/>
      </w:pPr>
      <w:r w:rsidRPr="006C368F">
        <w:t>Australia</w:t>
      </w:r>
    </w:p>
    <w:p w14:paraId="644436E0" w14:textId="1CBC5337" w:rsidR="00785714" w:rsidRPr="002C67FD" w:rsidRDefault="00785714" w:rsidP="00785714">
      <w:r w:rsidRPr="002C67FD">
        <w:t xml:space="preserve">At </w:t>
      </w:r>
      <w:r w:rsidRPr="002C67FD">
        <w:rPr>
          <w:i/>
        </w:rPr>
        <w:t>Baseline</w:t>
      </w:r>
      <w:r w:rsidRPr="002C67FD">
        <w:t xml:space="preserve">, estimated mean and P90 consumer </w:t>
      </w:r>
      <w:r w:rsidR="001B645D">
        <w:t xml:space="preserve">(Day 1 and 2) </w:t>
      </w:r>
      <w:r w:rsidRPr="002C67FD">
        <w:t xml:space="preserve">dietary intakes of </w:t>
      </w:r>
      <w:r w:rsidRPr="00061C3C">
        <w:t>L-carnitine for Australian general age groups assessed</w:t>
      </w:r>
      <w:r w:rsidRPr="0095321F">
        <w:t xml:space="preserve"> aged 2 years and above</w:t>
      </w:r>
      <w:r w:rsidRPr="008033EB">
        <w:t xml:space="preserve"> are </w:t>
      </w:r>
      <w:r w:rsidRPr="00E00975">
        <w:t>38</w:t>
      </w:r>
      <w:r w:rsidR="004D1902">
        <w:t>–</w:t>
      </w:r>
      <w:r w:rsidRPr="00E00975">
        <w:t>71</w:t>
      </w:r>
      <w:r w:rsidRPr="002C67FD">
        <w:t xml:space="preserve"> mg/day and </w:t>
      </w:r>
      <w:r w:rsidRPr="00E00975">
        <w:t>73</w:t>
      </w:r>
      <w:r w:rsidRPr="002C67FD">
        <w:t>–</w:t>
      </w:r>
      <w:r w:rsidRPr="00E00975">
        <w:t>138</w:t>
      </w:r>
      <w:r w:rsidRPr="002C67FD">
        <w:t> mg/day respectively. Adults aged 18-70 years have the highest mean and P90 dietary intakes on a mg/day basis.</w:t>
      </w:r>
    </w:p>
    <w:p w14:paraId="27FA09F7" w14:textId="77777777" w:rsidR="00785714" w:rsidRPr="00061C3C" w:rsidRDefault="00785714" w:rsidP="00785714"/>
    <w:p w14:paraId="280AFC9E" w14:textId="77777777" w:rsidR="004D1902" w:rsidRDefault="00785714" w:rsidP="00785714">
      <w:r w:rsidRPr="0095321F">
        <w:t xml:space="preserve">In the </w:t>
      </w:r>
      <w:r w:rsidRPr="008033EB">
        <w:rPr>
          <w:i/>
        </w:rPr>
        <w:t>Sport</w:t>
      </w:r>
      <w:r w:rsidRPr="00FD2D71">
        <w:rPr>
          <w:i/>
        </w:rPr>
        <w:t>s food increase</w:t>
      </w:r>
      <w:r w:rsidRPr="00077C33">
        <w:t xml:space="preserve"> scenario</w:t>
      </w:r>
      <w:r w:rsidRPr="00C86BD8">
        <w:t xml:space="preserve">, estimated mean and P90 consumer dietary </w:t>
      </w:r>
      <w:r w:rsidRPr="00B67959">
        <w:t>intakes of</w:t>
      </w:r>
      <w:r w:rsidRPr="0009360C">
        <w:t xml:space="preserve"> L-carnitine for Australian general age groups </w:t>
      </w:r>
      <w:r w:rsidRPr="004A0269">
        <w:t xml:space="preserve">assessed </w:t>
      </w:r>
      <w:r w:rsidRPr="00724C75">
        <w:t xml:space="preserve">aged 2 years and above are </w:t>
      </w:r>
    </w:p>
    <w:p w14:paraId="550F50BF" w14:textId="77777777" w:rsidR="004D1902" w:rsidRDefault="00785714" w:rsidP="00785714">
      <w:r w:rsidRPr="002C67FD">
        <w:t>3</w:t>
      </w:r>
      <w:r w:rsidRPr="00E00975">
        <w:t>8</w:t>
      </w:r>
      <w:r w:rsidRPr="002C67FD">
        <w:t>–</w:t>
      </w:r>
      <w:r w:rsidRPr="00E00975">
        <w:t>8</w:t>
      </w:r>
      <w:r w:rsidRPr="002C67FD">
        <w:t xml:space="preserve">7 mg/day and </w:t>
      </w:r>
      <w:r w:rsidRPr="00E00975">
        <w:t>73</w:t>
      </w:r>
      <w:r w:rsidRPr="002C67FD">
        <w:t>–</w:t>
      </w:r>
      <w:r w:rsidRPr="00E00975">
        <w:t>53</w:t>
      </w:r>
      <w:r w:rsidRPr="002C67FD">
        <w:t xml:space="preserve"> mg/day respectively. Adults aged 18-70 years have the highest </w:t>
      </w:r>
      <w:r w:rsidRPr="002C67FD">
        <w:lastRenderedPageBreak/>
        <w:t xml:space="preserve">mean and P90 dietary intakes on a mg/day basis. L-carnitine dietary intakes increase by </w:t>
      </w:r>
    </w:p>
    <w:p w14:paraId="3E5D135C" w14:textId="6FBA31A4" w:rsidR="00785714" w:rsidRPr="002C67FD" w:rsidRDefault="00785714" w:rsidP="00785714">
      <w:r w:rsidRPr="002C67FD">
        <w:t>0–</w:t>
      </w:r>
      <w:r w:rsidRPr="00E00975">
        <w:t>2</w:t>
      </w:r>
      <w:r w:rsidRPr="002C67FD">
        <w:t xml:space="preserve">3% from </w:t>
      </w:r>
      <w:r w:rsidRPr="002C67FD">
        <w:rPr>
          <w:i/>
        </w:rPr>
        <w:t>Baseline</w:t>
      </w:r>
      <w:r w:rsidRPr="002C67FD">
        <w:t>.</w:t>
      </w:r>
    </w:p>
    <w:p w14:paraId="13BC86F8" w14:textId="77777777" w:rsidR="00785714" w:rsidRPr="002C67FD" w:rsidRDefault="00785714" w:rsidP="00785714"/>
    <w:p w14:paraId="4B5DC3B5" w14:textId="77777777" w:rsidR="004D1902" w:rsidRDefault="00785714" w:rsidP="00785714">
      <w:r w:rsidRPr="002C67FD">
        <w:t xml:space="preserve">In the </w:t>
      </w:r>
      <w:r w:rsidRPr="002C67FD">
        <w:rPr>
          <w:i/>
        </w:rPr>
        <w:t>Consumer behaviour</w:t>
      </w:r>
      <w:r w:rsidRPr="002C67FD">
        <w:t xml:space="preserve"> scenario, estimated mean and P90 consumer dietary intakes of L-carnitine for Australian general age groups </w:t>
      </w:r>
      <w:r w:rsidRPr="00061C3C">
        <w:t xml:space="preserve">assessed </w:t>
      </w:r>
      <w:r w:rsidRPr="0095321F">
        <w:t xml:space="preserve">aged 2 years and above are </w:t>
      </w:r>
    </w:p>
    <w:p w14:paraId="429283B4" w14:textId="5A034AE9" w:rsidR="00785714" w:rsidRPr="002C67FD" w:rsidRDefault="00785714" w:rsidP="00785714">
      <w:pPr>
        <w:rPr>
          <w:lang w:val="en-AU"/>
        </w:rPr>
      </w:pPr>
      <w:r w:rsidRPr="0095321F">
        <w:t>28</w:t>
      </w:r>
      <w:r w:rsidRPr="008033EB">
        <w:t>8</w:t>
      </w:r>
      <w:r w:rsidRPr="00FD2D71">
        <w:t>–</w:t>
      </w:r>
      <w:r w:rsidRPr="00C86BD8">
        <w:t>4</w:t>
      </w:r>
      <w:r w:rsidRPr="00E00975">
        <w:t>49</w:t>
      </w:r>
      <w:r w:rsidRPr="002C67FD">
        <w:t> mg/day and 5</w:t>
      </w:r>
      <w:r w:rsidRPr="00E00975">
        <w:t>4</w:t>
      </w:r>
      <w:r w:rsidRPr="002C67FD">
        <w:t>6–9</w:t>
      </w:r>
      <w:r w:rsidRPr="00E00975">
        <w:t>52</w:t>
      </w:r>
      <w:r w:rsidRPr="002C67FD">
        <w:t xml:space="preserve"> mg/day respectively. Adults aged 18-70 years have the highest mean </w:t>
      </w:r>
      <w:r w:rsidRPr="00061C3C">
        <w:t xml:space="preserve">and P90 </w:t>
      </w:r>
      <w:r w:rsidRPr="0095321F">
        <w:t>dietary intakes</w:t>
      </w:r>
      <w:r w:rsidRPr="008033EB">
        <w:t xml:space="preserve"> on a mg/day basis</w:t>
      </w:r>
      <w:r w:rsidRPr="00FD2D71">
        <w:t xml:space="preserve">. L-carnitine dietary intakes increase by approximately </w:t>
      </w:r>
      <w:r w:rsidRPr="00E00975">
        <w:t>53</w:t>
      </w:r>
      <w:r w:rsidRPr="002C67FD">
        <w:t xml:space="preserve">0–690% from </w:t>
      </w:r>
      <w:r w:rsidRPr="002C67FD">
        <w:rPr>
          <w:i/>
        </w:rPr>
        <w:t>Baseline</w:t>
      </w:r>
      <w:r w:rsidRPr="002C67FD">
        <w:t>.</w:t>
      </w:r>
    </w:p>
    <w:p w14:paraId="09D35F4B" w14:textId="77777777" w:rsidR="00785714" w:rsidRPr="002C67FD" w:rsidRDefault="00785714" w:rsidP="00785714"/>
    <w:p w14:paraId="0CFB7DFE" w14:textId="77777777" w:rsidR="00785714" w:rsidRDefault="00785714" w:rsidP="00785714">
      <w:pPr>
        <w:widowControl/>
        <w:autoSpaceDE w:val="0"/>
        <w:autoSpaceDN w:val="0"/>
        <w:adjustRightInd w:val="0"/>
        <w:rPr>
          <w:rFonts w:cs="Arial"/>
          <w:sz w:val="21"/>
          <w:szCs w:val="21"/>
          <w:lang w:eastAsia="en-GB" w:bidi="ar-SA"/>
        </w:rPr>
      </w:pPr>
      <w:r w:rsidRPr="00061C3C">
        <w:t xml:space="preserve">The Applicant provided data on </w:t>
      </w:r>
      <w:r w:rsidRPr="0095321F">
        <w:t>the estimated mean and P90 “All User” intakes of L-carnitine for the total US population of 658 mg/person/day and 1,398 mg/person/day. This is higher than the mean and P90</w:t>
      </w:r>
      <w:r w:rsidRPr="008033EB">
        <w:rPr>
          <w:rFonts w:cs="Arial"/>
          <w:sz w:val="21"/>
          <w:szCs w:val="21"/>
          <w:lang w:eastAsia="en-GB" w:bidi="ar-SA"/>
        </w:rPr>
        <w:t xml:space="preserve"> </w:t>
      </w:r>
      <w:r w:rsidRPr="00FD2D71">
        <w:rPr>
          <w:rFonts w:cs="Arial"/>
          <w:i/>
          <w:sz w:val="21"/>
          <w:szCs w:val="21"/>
          <w:lang w:eastAsia="en-GB" w:bidi="ar-SA"/>
        </w:rPr>
        <w:t>Consumer behaviour</w:t>
      </w:r>
      <w:r w:rsidRPr="00FD2D71">
        <w:rPr>
          <w:rFonts w:cs="Arial"/>
          <w:sz w:val="21"/>
          <w:szCs w:val="21"/>
          <w:lang w:eastAsia="en-GB" w:bidi="ar-SA"/>
        </w:rPr>
        <w:t xml:space="preserve"> dietary intakes for Australians aged 2 years</w:t>
      </w:r>
      <w:r w:rsidRPr="00077C33">
        <w:rPr>
          <w:rFonts w:cs="Arial"/>
          <w:sz w:val="21"/>
          <w:szCs w:val="21"/>
          <w:lang w:eastAsia="en-GB" w:bidi="ar-SA"/>
        </w:rPr>
        <w:t xml:space="preserve"> and above of </w:t>
      </w:r>
      <w:r w:rsidRPr="00B67959">
        <w:rPr>
          <w:rFonts w:cs="Arial"/>
          <w:sz w:val="21"/>
          <w:szCs w:val="21"/>
          <w:lang w:eastAsia="en-GB" w:bidi="ar-SA"/>
        </w:rPr>
        <w:t>4</w:t>
      </w:r>
      <w:r w:rsidRPr="00E00975">
        <w:rPr>
          <w:rFonts w:cs="Arial"/>
          <w:sz w:val="21"/>
          <w:szCs w:val="21"/>
          <w:lang w:eastAsia="en-GB" w:bidi="ar-SA"/>
        </w:rPr>
        <w:t>26</w:t>
      </w:r>
      <w:r w:rsidRPr="002C67FD">
        <w:rPr>
          <w:rFonts w:cs="Arial"/>
          <w:sz w:val="21"/>
          <w:szCs w:val="21"/>
          <w:lang w:eastAsia="en-GB" w:bidi="ar-SA"/>
        </w:rPr>
        <w:t> mg/person/day and 8</w:t>
      </w:r>
      <w:r w:rsidRPr="00E00975">
        <w:rPr>
          <w:rFonts w:cs="Arial"/>
          <w:sz w:val="21"/>
          <w:szCs w:val="21"/>
          <w:lang w:eastAsia="en-GB" w:bidi="ar-SA"/>
        </w:rPr>
        <w:t>97</w:t>
      </w:r>
      <w:r w:rsidRPr="002C67FD">
        <w:rPr>
          <w:rFonts w:cs="Arial"/>
          <w:sz w:val="21"/>
          <w:szCs w:val="21"/>
          <w:lang w:eastAsia="en-GB" w:bidi="ar-SA"/>
        </w:rPr>
        <w:t> mg/person/day, respectively.</w:t>
      </w:r>
    </w:p>
    <w:p w14:paraId="271D202A" w14:textId="77777777" w:rsidR="00785714" w:rsidRPr="00CE6B9C" w:rsidRDefault="00785714" w:rsidP="00785714">
      <w:pPr>
        <w:widowControl/>
        <w:autoSpaceDE w:val="0"/>
        <w:autoSpaceDN w:val="0"/>
        <w:adjustRightInd w:val="0"/>
      </w:pPr>
    </w:p>
    <w:p w14:paraId="2367A927" w14:textId="38E99235" w:rsidR="00785714" w:rsidRDefault="00785714" w:rsidP="00785714">
      <w:r w:rsidRPr="00CE6B9C">
        <w:t xml:space="preserve">For further details, see </w:t>
      </w:r>
      <w:r w:rsidRPr="00CE6B9C">
        <w:fldChar w:fldCharType="begin"/>
      </w:r>
      <w:r w:rsidRPr="00CE6B9C">
        <w:instrText xml:space="preserve"> REF _Ref493169370 \h  \* MERGEFORMAT </w:instrText>
      </w:r>
      <w:r w:rsidRPr="00CE6B9C">
        <w:fldChar w:fldCharType="separate"/>
      </w:r>
      <w:r w:rsidR="00872715" w:rsidRPr="00BE70E1">
        <w:t xml:space="preserve">Figure </w:t>
      </w:r>
      <w:r w:rsidR="00872715">
        <w:t>5</w:t>
      </w:r>
      <w:r w:rsidRPr="00CE6B9C">
        <w:fldChar w:fldCharType="end"/>
      </w:r>
      <w:r>
        <w:t xml:space="preserve"> and </w:t>
      </w:r>
      <w:r>
        <w:fldChar w:fldCharType="begin"/>
      </w:r>
      <w:r>
        <w:instrText xml:space="preserve"> REF _Ref509588725 \h </w:instrText>
      </w:r>
      <w:r w:rsidR="00645604">
        <w:instrText xml:space="preserve"> \* MERGEFORMAT </w:instrText>
      </w:r>
      <w:r>
        <w:fldChar w:fldCharType="separate"/>
      </w:r>
      <w:r w:rsidR="00872715" w:rsidRPr="00B83846">
        <w:t>Table A</w:t>
      </w:r>
      <w:r w:rsidR="00872715">
        <w:t>3.</w:t>
      </w:r>
      <w:r w:rsidR="00872715">
        <w:rPr>
          <w:noProof/>
        </w:rPr>
        <w:t>1</w:t>
      </w:r>
      <w:r>
        <w:fldChar w:fldCharType="end"/>
      </w:r>
      <w:r>
        <w:t xml:space="preserve"> </w:t>
      </w:r>
      <w:r w:rsidRPr="00CE6B9C">
        <w:t>in</w:t>
      </w:r>
      <w:r w:rsidR="00AC5EF1">
        <w:t xml:space="preserve"> Appendix 3</w:t>
      </w:r>
      <w:r w:rsidRPr="00CE6B9C">
        <w:t>.</w:t>
      </w:r>
    </w:p>
    <w:p w14:paraId="5AD0F1FE" w14:textId="77777777" w:rsidR="00785714" w:rsidRPr="00CE1623" w:rsidRDefault="00785714" w:rsidP="00785714">
      <w:pPr>
        <w:pStyle w:val="Heading5"/>
      </w:pPr>
      <w:r w:rsidRPr="00CE1623">
        <w:t>New Zealand</w:t>
      </w:r>
    </w:p>
    <w:p w14:paraId="1CE0794A" w14:textId="3051B372" w:rsidR="00785714" w:rsidRPr="002C67FD" w:rsidRDefault="00785714" w:rsidP="00785714">
      <w:r w:rsidRPr="002C67FD">
        <w:t xml:space="preserve">At </w:t>
      </w:r>
      <w:r w:rsidRPr="002C67FD">
        <w:rPr>
          <w:i/>
        </w:rPr>
        <w:t>Baseline</w:t>
      </w:r>
      <w:r w:rsidRPr="002C67FD">
        <w:t xml:space="preserve">, estimated mean and P90 consumer </w:t>
      </w:r>
      <w:r w:rsidR="001B645D">
        <w:t xml:space="preserve">(Day 1) </w:t>
      </w:r>
      <w:r w:rsidRPr="002C67FD">
        <w:t xml:space="preserve">dietary intakes of L-carnitine for </w:t>
      </w:r>
      <w:r>
        <w:t xml:space="preserve">all </w:t>
      </w:r>
      <w:r w:rsidRPr="002C67FD">
        <w:t xml:space="preserve">New Zealand general age groups assessed </w:t>
      </w:r>
      <w:r>
        <w:t xml:space="preserve">aged </w:t>
      </w:r>
      <w:r w:rsidR="00011C4D">
        <w:t>1</w:t>
      </w:r>
      <w:r w:rsidRPr="002C67FD">
        <w:t xml:space="preserve">5 years and above are </w:t>
      </w:r>
      <w:r w:rsidRPr="00E00975">
        <w:t>60</w:t>
      </w:r>
      <w:r w:rsidRPr="002C67FD">
        <w:t>–</w:t>
      </w:r>
      <w:r w:rsidRPr="00E00975">
        <w:t>76</w:t>
      </w:r>
      <w:r w:rsidRPr="002C67FD">
        <w:t xml:space="preserve"> mg/day and </w:t>
      </w:r>
      <w:r w:rsidRPr="00E00975">
        <w:t>131</w:t>
      </w:r>
      <w:r w:rsidRPr="002C67FD">
        <w:t>–</w:t>
      </w:r>
      <w:r w:rsidRPr="00E00975">
        <w:t>162</w:t>
      </w:r>
      <w:r w:rsidRPr="002C67FD">
        <w:t> mg/day respectively. Adults aged 18-70 years have the highest mean and P90 dietary intake on a mg/day basis.</w:t>
      </w:r>
    </w:p>
    <w:p w14:paraId="6A99C174" w14:textId="77777777" w:rsidR="00785714" w:rsidRPr="002C67FD" w:rsidRDefault="00785714" w:rsidP="00785714"/>
    <w:p w14:paraId="249C45D8" w14:textId="77777777" w:rsidR="004D1902" w:rsidRDefault="00785714" w:rsidP="00785714">
      <w:r w:rsidRPr="002C67FD">
        <w:t xml:space="preserve">In the </w:t>
      </w:r>
      <w:r w:rsidRPr="002C67FD">
        <w:rPr>
          <w:i/>
        </w:rPr>
        <w:t>Sports food increase</w:t>
      </w:r>
      <w:r w:rsidRPr="002C67FD">
        <w:t xml:space="preserve"> scenario, estimated mean and P90 consumer dietary intakes of L-carnitine for New Zealand general age groups</w:t>
      </w:r>
      <w:r w:rsidRPr="00061C3C">
        <w:t xml:space="preserve"> assessed</w:t>
      </w:r>
      <w:r w:rsidRPr="0095321F">
        <w:t xml:space="preserve"> aged </w:t>
      </w:r>
      <w:r w:rsidRPr="008033EB">
        <w:t>15</w:t>
      </w:r>
      <w:r w:rsidRPr="00FD2D71">
        <w:t xml:space="preserve"> years and above are </w:t>
      </w:r>
    </w:p>
    <w:p w14:paraId="279F7A79" w14:textId="0A05C38F" w:rsidR="00785714" w:rsidRPr="002C67FD" w:rsidRDefault="00785714" w:rsidP="00785714">
      <w:r w:rsidRPr="00E00975">
        <w:t>60</w:t>
      </w:r>
      <w:r w:rsidRPr="002C67FD">
        <w:t>–</w:t>
      </w:r>
      <w:r w:rsidRPr="00E00975">
        <w:t>78</w:t>
      </w:r>
      <w:r w:rsidRPr="002C67FD">
        <w:t xml:space="preserve"> mg/day and </w:t>
      </w:r>
      <w:r w:rsidRPr="00E00975">
        <w:t>131</w:t>
      </w:r>
      <w:r w:rsidRPr="002C67FD">
        <w:t>–</w:t>
      </w:r>
      <w:r w:rsidRPr="00E00975">
        <w:t>167</w:t>
      </w:r>
      <w:r w:rsidRPr="002C67FD">
        <w:t xml:space="preserve"> mg/day respectively. Adults aged 18-70 years </w:t>
      </w:r>
      <w:r w:rsidRPr="00061C3C">
        <w:t>h</w:t>
      </w:r>
      <w:r w:rsidRPr="0095321F">
        <w:t>ave the highest mean and P90 dietary intakes</w:t>
      </w:r>
      <w:r w:rsidRPr="008033EB">
        <w:t xml:space="preserve"> on a mg/day basis. L-carnitine dietary intakes for New Zealanders increase by </w:t>
      </w:r>
      <w:r w:rsidRPr="00E00975">
        <w:t>0</w:t>
      </w:r>
      <w:r w:rsidRPr="002C67FD">
        <w:t>–</w:t>
      </w:r>
      <w:r w:rsidRPr="00E00975">
        <w:t>3</w:t>
      </w:r>
      <w:r w:rsidRPr="002C67FD">
        <w:t xml:space="preserve">% from </w:t>
      </w:r>
      <w:r w:rsidRPr="002C67FD">
        <w:rPr>
          <w:i/>
        </w:rPr>
        <w:t>Baseline</w:t>
      </w:r>
      <w:r w:rsidRPr="002C67FD">
        <w:t>.</w:t>
      </w:r>
    </w:p>
    <w:p w14:paraId="2C2A4D0C" w14:textId="77777777" w:rsidR="00785714" w:rsidRPr="002C67FD" w:rsidRDefault="00785714" w:rsidP="00785714"/>
    <w:p w14:paraId="6DDA9E12" w14:textId="40D99D70" w:rsidR="00785714" w:rsidRPr="0095321F" w:rsidRDefault="00785714" w:rsidP="00785714">
      <w:r w:rsidRPr="00061C3C">
        <w:t xml:space="preserve">In the </w:t>
      </w:r>
      <w:r w:rsidRPr="0095321F">
        <w:rPr>
          <w:i/>
        </w:rPr>
        <w:t>Consumer behaviour</w:t>
      </w:r>
      <w:r w:rsidRPr="0095321F">
        <w:t xml:space="preserve"> scenario, estimated mean and P90 consumer dietary </w:t>
      </w:r>
      <w:r w:rsidRPr="008033EB">
        <w:t>intakes of</w:t>
      </w:r>
      <w:r w:rsidRPr="00FD2D71">
        <w:t xml:space="preserve"> L-carnitine for New Zealand general age groups assessed</w:t>
      </w:r>
      <w:r w:rsidRPr="00077C33">
        <w:t xml:space="preserve"> aged 15 years and above are </w:t>
      </w:r>
      <w:r>
        <w:t>456</w:t>
      </w:r>
      <w:r w:rsidRPr="002C67FD">
        <w:t>–</w:t>
      </w:r>
      <w:r w:rsidRPr="00E00975">
        <w:t>515</w:t>
      </w:r>
      <w:r w:rsidRPr="002C67FD">
        <w:t xml:space="preserve"> mg/day and </w:t>
      </w:r>
      <w:r w:rsidRPr="00E00975">
        <w:t>917</w:t>
      </w:r>
      <w:r w:rsidRPr="002C67FD">
        <w:t>–1,1</w:t>
      </w:r>
      <w:r w:rsidRPr="00E00975">
        <w:t>54</w:t>
      </w:r>
      <w:r w:rsidRPr="002C67FD">
        <w:t xml:space="preserve"> mg/day respectively. Adults aged 18-70 years have the highest mean and P90 dietary </w:t>
      </w:r>
      <w:r w:rsidRPr="00061C3C">
        <w:t>intakes</w:t>
      </w:r>
      <w:r w:rsidRPr="0095321F">
        <w:t xml:space="preserve"> on a mg/day basis. L-carnitine dietary intakes for New Zealanders increase by approximately </w:t>
      </w:r>
      <w:r w:rsidRPr="00E00975">
        <w:t>570</w:t>
      </w:r>
      <w:r w:rsidRPr="002C67FD">
        <w:t>–6</w:t>
      </w:r>
      <w:r w:rsidRPr="00E00975">
        <w:t>6</w:t>
      </w:r>
      <w:r w:rsidRPr="002C67FD">
        <w:t xml:space="preserve">0% from </w:t>
      </w:r>
      <w:r w:rsidRPr="00061C3C">
        <w:rPr>
          <w:i/>
        </w:rPr>
        <w:t>Baseline</w:t>
      </w:r>
      <w:r w:rsidRPr="0095321F">
        <w:rPr>
          <w:i/>
        </w:rPr>
        <w:t>.</w:t>
      </w:r>
    </w:p>
    <w:p w14:paraId="76EF1B23" w14:textId="77777777" w:rsidR="00785714" w:rsidRPr="008033EB" w:rsidRDefault="00785714" w:rsidP="00785714"/>
    <w:p w14:paraId="4DF0FEA2" w14:textId="77777777" w:rsidR="00785714" w:rsidRPr="003D6FB0" w:rsidRDefault="00785714" w:rsidP="00785714">
      <w:pPr>
        <w:widowControl/>
        <w:autoSpaceDE w:val="0"/>
        <w:autoSpaceDN w:val="0"/>
        <w:adjustRightInd w:val="0"/>
      </w:pPr>
      <w:r w:rsidRPr="00FD2D71">
        <w:t xml:space="preserve">As discussed above, the Applicant provided data on the estimated mean and P90 “All User” intakes of L-carnitine for the total US population of 658 mg/person/day and 1,398 mg/person/day. This is higher than the mean and P90 </w:t>
      </w:r>
      <w:r w:rsidRPr="00077C33">
        <w:rPr>
          <w:i/>
        </w:rPr>
        <w:t>Consumer behaviour</w:t>
      </w:r>
      <w:r w:rsidRPr="00C86BD8">
        <w:t xml:space="preserve"> dietary intakes for New Zealanders aged 15 years and above of </w:t>
      </w:r>
      <w:r w:rsidRPr="00E00975">
        <w:t>501</w:t>
      </w:r>
      <w:r w:rsidRPr="002C67FD">
        <w:t> mg/person/day and 1,0</w:t>
      </w:r>
      <w:r w:rsidRPr="00E00975">
        <w:t>96</w:t>
      </w:r>
      <w:r w:rsidRPr="002C67FD">
        <w:t> mg/person/day, respectively.</w:t>
      </w:r>
    </w:p>
    <w:p w14:paraId="31655C80" w14:textId="77777777" w:rsidR="00785714" w:rsidRPr="00B969BB" w:rsidRDefault="00785714" w:rsidP="00785714"/>
    <w:p w14:paraId="189A7790" w14:textId="739ABFE3" w:rsidR="00785714" w:rsidRDefault="00785714" w:rsidP="00785714">
      <w:r w:rsidRPr="00B969BB">
        <w:t xml:space="preserve">For further details, refer to </w:t>
      </w:r>
      <w:r w:rsidRPr="00B969BB">
        <w:fldChar w:fldCharType="begin"/>
      </w:r>
      <w:r w:rsidRPr="00B969BB">
        <w:instrText xml:space="preserve"> REF _Ref493169696 \h  \* MERGEFORMAT </w:instrText>
      </w:r>
      <w:r w:rsidRPr="00B969BB">
        <w:fldChar w:fldCharType="separate"/>
      </w:r>
      <w:r w:rsidR="00872715" w:rsidRPr="000A407B">
        <w:t xml:space="preserve">Figure </w:t>
      </w:r>
      <w:r w:rsidR="00872715">
        <w:t>6</w:t>
      </w:r>
      <w:r w:rsidRPr="00B969BB">
        <w:fldChar w:fldCharType="end"/>
      </w:r>
      <w:r>
        <w:t xml:space="preserve"> and </w:t>
      </w:r>
      <w:r>
        <w:fldChar w:fldCharType="begin"/>
      </w:r>
      <w:r>
        <w:instrText xml:space="preserve"> REF _Ref509588725 \h </w:instrText>
      </w:r>
      <w:r w:rsidR="00645604">
        <w:instrText xml:space="preserve"> \* MERGEFORMAT </w:instrText>
      </w:r>
      <w:r>
        <w:fldChar w:fldCharType="separate"/>
      </w:r>
      <w:r w:rsidR="00872715" w:rsidRPr="00B83846">
        <w:t>Table A</w:t>
      </w:r>
      <w:r w:rsidR="00872715">
        <w:t>3.</w:t>
      </w:r>
      <w:r w:rsidR="00872715">
        <w:rPr>
          <w:noProof/>
        </w:rPr>
        <w:t>1</w:t>
      </w:r>
      <w:r>
        <w:fldChar w:fldCharType="end"/>
      </w:r>
      <w:r>
        <w:t xml:space="preserve"> </w:t>
      </w:r>
      <w:r w:rsidRPr="00B969BB">
        <w:t>in</w:t>
      </w:r>
      <w:r w:rsidR="00AC5EF1">
        <w:t xml:space="preserve"> Appendix 3</w:t>
      </w:r>
      <w:r w:rsidRPr="00B969BB">
        <w:t>.</w:t>
      </w:r>
    </w:p>
    <w:p w14:paraId="78E999B7" w14:textId="77777777" w:rsidR="00785714" w:rsidRPr="00B969BB" w:rsidRDefault="00785714" w:rsidP="00785714"/>
    <w:p w14:paraId="34BAE97B" w14:textId="77777777" w:rsidR="00785714" w:rsidRDefault="00785714" w:rsidP="00785714">
      <w:pPr>
        <w:keepNext/>
        <w:keepLines/>
        <w:sectPr w:rsidR="00785714" w:rsidSect="00200FB1">
          <w:footerReference w:type="default" r:id="rId29"/>
          <w:pgSz w:w="11906" w:h="16838"/>
          <w:pgMar w:top="1440" w:right="1440" w:bottom="1440" w:left="1440" w:header="709" w:footer="709" w:gutter="0"/>
          <w:cols w:space="708"/>
          <w:docGrid w:linePitch="360"/>
        </w:sectPr>
      </w:pPr>
    </w:p>
    <w:p w14:paraId="019BF206" w14:textId="77777777" w:rsidR="00785714" w:rsidRPr="00BE70E1" w:rsidRDefault="00785714" w:rsidP="00785714">
      <w:pPr>
        <w:keepNext/>
        <w:keepLines/>
      </w:pPr>
      <w:r>
        <w:rPr>
          <w:noProof/>
          <w:lang w:eastAsia="en-GB" w:bidi="ar-SA"/>
        </w:rPr>
        <w:lastRenderedPageBreak/>
        <w:drawing>
          <wp:inline distT="0" distB="0" distL="0" distR="0" wp14:anchorId="479A1B7D" wp14:editId="7E1D690B">
            <wp:extent cx="9000000" cy="4161600"/>
            <wp:effectExtent l="0" t="0" r="0" b="0"/>
            <wp:docPr id="5" name="Picture 5" descr="Graph showing the mean and P90 dietary L-carnitine intakes for Australian population groups for Baseline, Sports food increase and Consumer behaviour scen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00000" cy="4161600"/>
                    </a:xfrm>
                    <a:prstGeom prst="rect">
                      <a:avLst/>
                    </a:prstGeom>
                    <a:noFill/>
                  </pic:spPr>
                </pic:pic>
              </a:graphicData>
            </a:graphic>
          </wp:inline>
        </w:drawing>
      </w:r>
    </w:p>
    <w:p w14:paraId="56A07797" w14:textId="77777777" w:rsidR="00785714" w:rsidRPr="002C67FD" w:rsidRDefault="00785714" w:rsidP="00785714">
      <w:pPr>
        <w:pStyle w:val="FSFigureTitle"/>
        <w:keepNext/>
        <w:keepLines/>
      </w:pPr>
      <w:bookmarkStart w:id="50" w:name="_Ref493169370"/>
      <w:r w:rsidRPr="00BE70E1">
        <w:t xml:space="preserve">Figure </w:t>
      </w:r>
      <w:r>
        <w:t>5</w:t>
      </w:r>
      <w:bookmarkEnd w:id="50"/>
      <w:r w:rsidRPr="00BE70E1">
        <w:t>: Estimated mean and P90 dietary L-carnitine intakes for Australian population groups</w:t>
      </w:r>
    </w:p>
    <w:p w14:paraId="6518CA86" w14:textId="77777777" w:rsidR="00785714" w:rsidRPr="00E21C56" w:rsidRDefault="00785714" w:rsidP="00785714">
      <w:pPr>
        <w:keepNext/>
        <w:keepLines/>
      </w:pPr>
      <w:r>
        <w:rPr>
          <w:noProof/>
          <w:lang w:eastAsia="en-GB" w:bidi="ar-SA"/>
        </w:rPr>
        <w:lastRenderedPageBreak/>
        <w:drawing>
          <wp:inline distT="0" distB="0" distL="0" distR="0" wp14:anchorId="4953B4A5" wp14:editId="2B45FC47">
            <wp:extent cx="9000000" cy="4168800"/>
            <wp:effectExtent l="0" t="0" r="0" b="3175"/>
            <wp:docPr id="6" name="Picture 6" descr="Graph showing the mean and P90 dietary L-carnitine intakes for New Zealand population groups for Baseline, Sports food increase and Consumer behaviour scen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000000" cy="4168800"/>
                    </a:xfrm>
                    <a:prstGeom prst="rect">
                      <a:avLst/>
                    </a:prstGeom>
                    <a:noFill/>
                  </pic:spPr>
                </pic:pic>
              </a:graphicData>
            </a:graphic>
          </wp:inline>
        </w:drawing>
      </w:r>
    </w:p>
    <w:p w14:paraId="031E66DA" w14:textId="77777777" w:rsidR="00785714" w:rsidRDefault="00785714" w:rsidP="00785714">
      <w:pPr>
        <w:pStyle w:val="FSFigureTitle"/>
        <w:keepNext/>
        <w:keepLines/>
      </w:pPr>
      <w:bookmarkStart w:id="51" w:name="_Ref493169696"/>
      <w:r w:rsidRPr="000A407B">
        <w:t xml:space="preserve">Figure </w:t>
      </w:r>
      <w:r>
        <w:t>6</w:t>
      </w:r>
      <w:bookmarkEnd w:id="51"/>
      <w:r w:rsidRPr="000A407B">
        <w:t>: Estimated mean and P90 dietary L-carnitine intakes for New Zealand population groups</w:t>
      </w:r>
    </w:p>
    <w:p w14:paraId="405C6973" w14:textId="77777777" w:rsidR="00785714" w:rsidRDefault="00785714" w:rsidP="00785714"/>
    <w:p w14:paraId="344639B8" w14:textId="77777777" w:rsidR="00785714" w:rsidRDefault="00785714" w:rsidP="00785714">
      <w:pPr>
        <w:sectPr w:rsidR="00785714" w:rsidSect="00200FB1">
          <w:pgSz w:w="16838" w:h="11906" w:orient="landscape"/>
          <w:pgMar w:top="1440" w:right="1440" w:bottom="1440" w:left="1440" w:header="709" w:footer="709" w:gutter="0"/>
          <w:cols w:space="708"/>
          <w:docGrid w:linePitch="360"/>
        </w:sectPr>
      </w:pPr>
    </w:p>
    <w:p w14:paraId="052129A1" w14:textId="77777777" w:rsidR="00785714" w:rsidRPr="00B969BB" w:rsidRDefault="00785714" w:rsidP="00785714">
      <w:pPr>
        <w:pStyle w:val="Heading4"/>
      </w:pPr>
      <w:r w:rsidRPr="00B969BB">
        <w:rPr>
          <w:rFonts w:cs="Arial"/>
        </w:rPr>
        <w:lastRenderedPageBreak/>
        <w:t xml:space="preserve">Elderly </w:t>
      </w:r>
      <w:r w:rsidRPr="00B969BB">
        <w:t>aged 71 years and above</w:t>
      </w:r>
    </w:p>
    <w:p w14:paraId="6446BA89" w14:textId="77777777" w:rsidR="00785714" w:rsidRPr="008033EB" w:rsidRDefault="00785714" w:rsidP="00785714">
      <w:r w:rsidRPr="0095321F">
        <w:rPr>
          <w:i/>
        </w:rPr>
        <w:t>Baseline</w:t>
      </w:r>
      <w:r w:rsidRPr="0095321F">
        <w:t xml:space="preserve"> dietary L-carnitine intakes for the elderly aged 71 years and above are similar between Australia and New Zealand: Australian mean and P90 dietary intakes are </w:t>
      </w:r>
      <w:r w:rsidRPr="00E00975">
        <w:t>61</w:t>
      </w:r>
      <w:r w:rsidRPr="0095321F">
        <w:t xml:space="preserve"> mg/day and 115 mg/day respectively; New Zealand mean and P90 dietary intakes are 57 mg/day and </w:t>
      </w:r>
      <w:r w:rsidRPr="00E00975">
        <w:t>1</w:t>
      </w:r>
      <w:r w:rsidRPr="0095321F">
        <w:t xml:space="preserve">25 mg/day respectively. </w:t>
      </w:r>
      <w:r w:rsidRPr="0095321F">
        <w:rPr>
          <w:i/>
        </w:rPr>
        <w:t>Baseline</w:t>
      </w:r>
      <w:r w:rsidRPr="0095321F">
        <w:t xml:space="preserve"> intakes for the New Zealand elderly are lower than for the general New Zealand population aged 15 years and above whereas the </w:t>
      </w:r>
      <w:r w:rsidRPr="008033EB">
        <w:t>Australian elderly have a similar intake to the general Australian population aged 2 years and above.</w:t>
      </w:r>
    </w:p>
    <w:p w14:paraId="086F0AB1" w14:textId="77777777" w:rsidR="00785714" w:rsidRPr="00FD2D71" w:rsidRDefault="00785714" w:rsidP="00785714"/>
    <w:p w14:paraId="26F9D183" w14:textId="0227DA0F" w:rsidR="00785714" w:rsidRPr="0095321F" w:rsidRDefault="00785714" w:rsidP="00785714">
      <w:r w:rsidRPr="00FD2D71">
        <w:t xml:space="preserve">In the </w:t>
      </w:r>
      <w:r w:rsidRPr="00FD2D71">
        <w:rPr>
          <w:i/>
        </w:rPr>
        <w:t>Sports food increase</w:t>
      </w:r>
      <w:r w:rsidRPr="00077C33">
        <w:t xml:space="preserve"> scenario,</w:t>
      </w:r>
      <w:r w:rsidRPr="00C86BD8">
        <w:t xml:space="preserve"> estimated mean and P90 consumer dietary intakes of</w:t>
      </w:r>
      <w:r w:rsidRPr="00B67959">
        <w:t xml:space="preserve"> L-carnitine for the elderly are 6</w:t>
      </w:r>
      <w:r w:rsidRPr="0009360C">
        <w:t>6</w:t>
      </w:r>
      <w:r w:rsidRPr="004A0269">
        <w:t xml:space="preserve"> mg/day and </w:t>
      </w:r>
      <w:r w:rsidRPr="00E00975">
        <w:t>120</w:t>
      </w:r>
      <w:r w:rsidRPr="0095321F">
        <w:t xml:space="preserve"> mg/day for Australia and </w:t>
      </w:r>
      <w:r w:rsidRPr="00E00975">
        <w:t>57</w:t>
      </w:r>
      <w:r w:rsidRPr="0095321F">
        <w:t xml:space="preserve"> mg/day and </w:t>
      </w:r>
      <w:r w:rsidRPr="00E00975">
        <w:t>125</w:t>
      </w:r>
      <w:r w:rsidRPr="0095321F">
        <w:t xml:space="preserve"> mg/day for New Zealand. L-carnitine dietary intakes increase in the </w:t>
      </w:r>
      <w:r w:rsidRPr="0095321F">
        <w:rPr>
          <w:i/>
        </w:rPr>
        <w:t>Sports food increase</w:t>
      </w:r>
      <w:r w:rsidRPr="0095321F">
        <w:t xml:space="preserve"> scenario </w:t>
      </w:r>
      <w:r>
        <w:t xml:space="preserve">by </w:t>
      </w:r>
      <w:r w:rsidRPr="0095321F">
        <w:t>0–</w:t>
      </w:r>
      <w:r w:rsidRPr="00E00975">
        <w:t>8</w:t>
      </w:r>
      <w:r w:rsidRPr="0095321F">
        <w:t>%</w:t>
      </w:r>
      <w:r w:rsidRPr="00A53FC5">
        <w:t xml:space="preserve"> </w:t>
      </w:r>
      <w:r w:rsidRPr="002C67FD">
        <w:t xml:space="preserve">from </w:t>
      </w:r>
      <w:r w:rsidRPr="002C67FD">
        <w:rPr>
          <w:i/>
        </w:rPr>
        <w:t>Baseline</w:t>
      </w:r>
      <w:r w:rsidRPr="0095321F">
        <w:t>.</w:t>
      </w:r>
    </w:p>
    <w:p w14:paraId="58E764AE" w14:textId="77777777" w:rsidR="00785714" w:rsidRPr="0095321F" w:rsidRDefault="00785714" w:rsidP="00785714"/>
    <w:p w14:paraId="400E5C19" w14:textId="758DF164" w:rsidR="00785714" w:rsidRPr="00FF0732" w:rsidRDefault="00785714" w:rsidP="00785714">
      <w:r w:rsidRPr="0095321F">
        <w:t xml:space="preserve">In the </w:t>
      </w:r>
      <w:r w:rsidRPr="008033EB">
        <w:rPr>
          <w:i/>
        </w:rPr>
        <w:t>Consumer behaviour</w:t>
      </w:r>
      <w:r w:rsidRPr="008033EB">
        <w:t xml:space="preserve"> scenario, estimated mean and P90 consumer dietary intakes of L-carnitine for the elderly are </w:t>
      </w:r>
      <w:r w:rsidRPr="00E00975">
        <w:t>304</w:t>
      </w:r>
      <w:r w:rsidRPr="0095321F">
        <w:t xml:space="preserve"> mg/day and </w:t>
      </w:r>
      <w:r w:rsidRPr="00E00975">
        <w:t>603</w:t>
      </w:r>
      <w:r w:rsidRPr="0095321F">
        <w:t xml:space="preserve"> mg/day for Australia and </w:t>
      </w:r>
      <w:r w:rsidRPr="008033EB">
        <w:t xml:space="preserve">299 mg/day and </w:t>
      </w:r>
      <w:r w:rsidRPr="00E00975">
        <w:t>655</w:t>
      </w:r>
      <w:r w:rsidRPr="0095321F">
        <w:t> mg/day for New Zealand</w:t>
      </w:r>
      <w:r w:rsidRPr="008033EB">
        <w:t xml:space="preserve">. L-carnitine dietary intakes increase in the </w:t>
      </w:r>
      <w:r w:rsidRPr="008033EB">
        <w:rPr>
          <w:i/>
        </w:rPr>
        <w:t>Consumer behaviour</w:t>
      </w:r>
      <w:r w:rsidRPr="008033EB">
        <w:t xml:space="preserve"> scenario by </w:t>
      </w:r>
      <w:r w:rsidRPr="00E00975">
        <w:t>400</w:t>
      </w:r>
      <w:r w:rsidRPr="0095321F">
        <w:t>–</w:t>
      </w:r>
      <w:r w:rsidRPr="00E00975">
        <w:t>430</w:t>
      </w:r>
      <w:r w:rsidRPr="0095321F">
        <w:t xml:space="preserve">% from </w:t>
      </w:r>
      <w:r w:rsidRPr="0095321F">
        <w:rPr>
          <w:i/>
        </w:rPr>
        <w:t>Baseline</w:t>
      </w:r>
      <w:r w:rsidRPr="008033EB">
        <w:t>.</w:t>
      </w:r>
    </w:p>
    <w:p w14:paraId="01F012B6" w14:textId="77777777" w:rsidR="00785714" w:rsidRPr="00FF0732" w:rsidRDefault="00785714" w:rsidP="00785714"/>
    <w:p w14:paraId="720A8B9C" w14:textId="12C04FFE" w:rsidR="00785714" w:rsidRPr="00FF0732" w:rsidRDefault="00785714" w:rsidP="00785714">
      <w:r w:rsidRPr="00FF0732">
        <w:t xml:space="preserve">For further details, refer to </w:t>
      </w:r>
      <w:r w:rsidRPr="00FF0732">
        <w:fldChar w:fldCharType="begin"/>
      </w:r>
      <w:r w:rsidRPr="00FF0732">
        <w:instrText xml:space="preserve"> REF _Ref493169370 \h  \* MERGEFORMAT </w:instrText>
      </w:r>
      <w:r w:rsidRPr="00FF0732">
        <w:fldChar w:fldCharType="separate"/>
      </w:r>
      <w:r w:rsidR="00872715" w:rsidRPr="00BE70E1">
        <w:t xml:space="preserve">Figure </w:t>
      </w:r>
      <w:r w:rsidR="00872715">
        <w:t>5</w:t>
      </w:r>
      <w:r w:rsidRPr="00FF0732">
        <w:fldChar w:fldCharType="end"/>
      </w:r>
      <w:r w:rsidRPr="00FF0732">
        <w:t xml:space="preserve">, </w:t>
      </w:r>
      <w:r w:rsidRPr="00FF0732">
        <w:fldChar w:fldCharType="begin"/>
      </w:r>
      <w:r w:rsidRPr="00FF0732">
        <w:instrText xml:space="preserve"> REF _Ref493169696 \h  \* MERGEFORMAT </w:instrText>
      </w:r>
      <w:r w:rsidRPr="00FF0732">
        <w:fldChar w:fldCharType="separate"/>
      </w:r>
      <w:r w:rsidR="00872715" w:rsidRPr="000A407B">
        <w:t xml:space="preserve">Figure </w:t>
      </w:r>
      <w:r w:rsidR="00872715">
        <w:t>6</w:t>
      </w:r>
      <w:r w:rsidRPr="00FF0732">
        <w:fldChar w:fldCharType="end"/>
      </w:r>
      <w:r>
        <w:t xml:space="preserve"> and </w:t>
      </w:r>
      <w:r>
        <w:fldChar w:fldCharType="begin"/>
      </w:r>
      <w:r>
        <w:instrText xml:space="preserve"> REF _Ref509588725 \h </w:instrText>
      </w:r>
      <w:r w:rsidR="00645604">
        <w:instrText xml:space="preserve"> \* MERGEFORMAT </w:instrText>
      </w:r>
      <w:r>
        <w:fldChar w:fldCharType="separate"/>
      </w:r>
      <w:r w:rsidR="00872715" w:rsidRPr="00B83846">
        <w:t>Table A</w:t>
      </w:r>
      <w:r w:rsidR="00872715">
        <w:t>3.</w:t>
      </w:r>
      <w:r w:rsidR="00872715">
        <w:rPr>
          <w:noProof/>
        </w:rPr>
        <w:t>1</w:t>
      </w:r>
      <w:r>
        <w:fldChar w:fldCharType="end"/>
      </w:r>
      <w:r>
        <w:t xml:space="preserve"> </w:t>
      </w:r>
      <w:r w:rsidRPr="00FF0732">
        <w:t>in</w:t>
      </w:r>
      <w:r w:rsidR="00AC5EF1">
        <w:t xml:space="preserve"> Appendix 3</w:t>
      </w:r>
      <w:r w:rsidRPr="00FF0732">
        <w:t>.</w:t>
      </w:r>
    </w:p>
    <w:p w14:paraId="199AC20F" w14:textId="77777777" w:rsidR="00785714" w:rsidRPr="00FF0732" w:rsidRDefault="00785714" w:rsidP="00785714">
      <w:pPr>
        <w:pStyle w:val="Heading4"/>
      </w:pPr>
      <w:r w:rsidRPr="00FF0732">
        <w:t>People who consume sports foods/beverages</w:t>
      </w:r>
    </w:p>
    <w:p w14:paraId="61137085" w14:textId="60BA1E6F" w:rsidR="00785714" w:rsidRPr="00077C33" w:rsidRDefault="00785714" w:rsidP="00785714">
      <w:r w:rsidRPr="00510B28">
        <w:t xml:space="preserve">The foods considered to be sports foods/ beverages are listed in </w:t>
      </w:r>
      <w:r w:rsidRPr="00510B28">
        <w:fldChar w:fldCharType="begin"/>
      </w:r>
      <w:r w:rsidRPr="00510B28">
        <w:instrText xml:space="preserve"> REF _Ref494180435 \h  \* MERGEFORMAT </w:instrText>
      </w:r>
      <w:r w:rsidRPr="00510B28">
        <w:fldChar w:fldCharType="separate"/>
      </w:r>
      <w:r w:rsidR="00872715">
        <w:t>Table 7</w:t>
      </w:r>
      <w:r w:rsidRPr="00510B28">
        <w:fldChar w:fldCharType="end"/>
      </w:r>
      <w:r w:rsidRPr="00510B28">
        <w:t xml:space="preserve">. Australian mean and P90 </w:t>
      </w:r>
      <w:r w:rsidRPr="00510B28">
        <w:rPr>
          <w:i/>
        </w:rPr>
        <w:t>Baseline</w:t>
      </w:r>
      <w:r w:rsidRPr="00510B28">
        <w:t xml:space="preserve"> L-carnitine </w:t>
      </w:r>
      <w:r w:rsidRPr="00E00975">
        <w:t xml:space="preserve">dietary </w:t>
      </w:r>
      <w:r w:rsidRPr="00510B28">
        <w:t>intakes for sports food/ beverage consumers are</w:t>
      </w:r>
      <w:r w:rsidRPr="00E00975">
        <w:t xml:space="preserve"> 137</w:t>
      </w:r>
      <w:r w:rsidRPr="00510B28">
        <w:t xml:space="preserve"> mg/day and </w:t>
      </w:r>
      <w:r w:rsidRPr="00E00975">
        <w:t>249</w:t>
      </w:r>
      <w:r w:rsidRPr="00510B28">
        <w:t xml:space="preserve"> mg/day respectively. The New Zealand </w:t>
      </w:r>
      <w:r w:rsidRPr="00510B28">
        <w:rPr>
          <w:i/>
        </w:rPr>
        <w:t>Baseline</w:t>
      </w:r>
      <w:r w:rsidRPr="00510B28">
        <w:t xml:space="preserve"> mean</w:t>
      </w:r>
      <w:r w:rsidRPr="00E00975">
        <w:t xml:space="preserve"> and P90</w:t>
      </w:r>
      <w:r w:rsidRPr="00510B28">
        <w:t xml:space="preserve"> dietary L-carnitine intake</w:t>
      </w:r>
      <w:r w:rsidRPr="00E00975">
        <w:t>s</w:t>
      </w:r>
      <w:r w:rsidRPr="00510B28">
        <w:t xml:space="preserve"> for sports food/ beverage consumers </w:t>
      </w:r>
      <w:r w:rsidRPr="00E00975">
        <w:t>are</w:t>
      </w:r>
      <w:r w:rsidRPr="00510B28">
        <w:t xml:space="preserve"> </w:t>
      </w:r>
      <w:r w:rsidRPr="00E00975">
        <w:t>109</w:t>
      </w:r>
      <w:r w:rsidRPr="00510B28">
        <w:t> mg/day</w:t>
      </w:r>
      <w:r w:rsidRPr="00E00975">
        <w:t xml:space="preserve"> and 238 mg/day</w:t>
      </w:r>
      <w:r w:rsidRPr="00510B28">
        <w:t xml:space="preserve">. </w:t>
      </w:r>
      <w:r w:rsidRPr="00E00975">
        <w:t xml:space="preserve">These intakes are higher than for the general populations of Australians aged 2 years and above and </w:t>
      </w:r>
      <w:r w:rsidRPr="00FD2D71">
        <w:t>New Zealanders aged 15 years and above.</w:t>
      </w:r>
    </w:p>
    <w:p w14:paraId="41D08B90" w14:textId="77777777" w:rsidR="00785714" w:rsidRPr="00C86BD8" w:rsidRDefault="00785714" w:rsidP="00785714"/>
    <w:p w14:paraId="7886E6B4" w14:textId="133B2B22" w:rsidR="00785714" w:rsidRPr="00510B28" w:rsidRDefault="00785714" w:rsidP="00785714">
      <w:r w:rsidRPr="00E00975">
        <w:t xml:space="preserve">In the </w:t>
      </w:r>
      <w:r w:rsidRPr="00E00975">
        <w:rPr>
          <w:i/>
        </w:rPr>
        <w:t>Sports food increase</w:t>
      </w:r>
      <w:r w:rsidRPr="00E00975">
        <w:t xml:space="preserve"> scenario, estimated mean and P90 consumer dietary intakes of L-carnitine for sports food/beverage consumers are 378 mg/day and 801 mg/day for Australia. The mean and P90 dietary L-carnitine intakes for New Zealand sports food/ beverage consumers aged 15</w:t>
      </w:r>
      <w:r w:rsidRPr="00510B28">
        <w:t xml:space="preserve"> years and above </w:t>
      </w:r>
      <w:r w:rsidRPr="00E00975">
        <w:t>are</w:t>
      </w:r>
      <w:r w:rsidRPr="00510B28">
        <w:t xml:space="preserve"> </w:t>
      </w:r>
      <w:r w:rsidRPr="00E00975">
        <w:t>217</w:t>
      </w:r>
      <w:r w:rsidRPr="00510B28">
        <w:t> mg/day</w:t>
      </w:r>
      <w:r w:rsidRPr="00E00975">
        <w:t xml:space="preserve"> and 522 mg/day respectively</w:t>
      </w:r>
      <w:r w:rsidRPr="00510B28">
        <w:t xml:space="preserve">. L-carnitine dietary intakes increase in the </w:t>
      </w:r>
      <w:r w:rsidRPr="00510B28">
        <w:rPr>
          <w:i/>
        </w:rPr>
        <w:t>Sports food increase</w:t>
      </w:r>
      <w:r w:rsidRPr="00510B28">
        <w:t xml:space="preserve"> scenario by </w:t>
      </w:r>
      <w:r w:rsidRPr="00E00975">
        <w:t>100</w:t>
      </w:r>
      <w:r w:rsidRPr="00510B28">
        <w:t>–</w:t>
      </w:r>
      <w:r w:rsidRPr="00E00975">
        <w:t>220</w:t>
      </w:r>
      <w:r w:rsidRPr="00510B28">
        <w:t xml:space="preserve">% from </w:t>
      </w:r>
      <w:r w:rsidRPr="00510B28">
        <w:rPr>
          <w:i/>
        </w:rPr>
        <w:t>Baseline</w:t>
      </w:r>
      <w:r w:rsidRPr="00510B28">
        <w:t>.</w:t>
      </w:r>
    </w:p>
    <w:p w14:paraId="6A4D8DF6" w14:textId="77777777" w:rsidR="00785714" w:rsidRPr="00510B28" w:rsidRDefault="00785714" w:rsidP="00785714"/>
    <w:p w14:paraId="3C4BF8E6" w14:textId="749A3068" w:rsidR="00785714" w:rsidRPr="00844B32" w:rsidRDefault="00785714" w:rsidP="00785714">
      <w:r w:rsidRPr="00FD2D71">
        <w:t xml:space="preserve">In the </w:t>
      </w:r>
      <w:r w:rsidRPr="00FD2D71">
        <w:rPr>
          <w:i/>
        </w:rPr>
        <w:t>Consumer behaviour</w:t>
      </w:r>
      <w:r w:rsidRPr="00FD2D71">
        <w:t xml:space="preserve"> scenario, estimated mean and P90 consumer dietary intakes of L-carnitine for sports food/beverage consumers are </w:t>
      </w:r>
      <w:r w:rsidRPr="00E00975">
        <w:t>806</w:t>
      </w:r>
      <w:r w:rsidRPr="00510B28">
        <w:t> mg/day and 1,</w:t>
      </w:r>
      <w:r w:rsidRPr="00E00975">
        <w:t>567</w:t>
      </w:r>
      <w:r w:rsidRPr="00510B28">
        <w:t> </w:t>
      </w:r>
      <w:r w:rsidRPr="00FD2D71">
        <w:t>mg/day for Australia. The mean</w:t>
      </w:r>
      <w:r w:rsidRPr="00E00975">
        <w:t xml:space="preserve"> and P90</w:t>
      </w:r>
      <w:r w:rsidRPr="00510B28">
        <w:t xml:space="preserve"> dietary L-carnitine intakes for New Zealand sports food</w:t>
      </w:r>
      <w:r w:rsidRPr="00FD2D71">
        <w:t xml:space="preserve">/ beverage consumers aged 15 years and above </w:t>
      </w:r>
      <w:r w:rsidRPr="00E00975">
        <w:t>are</w:t>
      </w:r>
      <w:r w:rsidRPr="00510B28">
        <w:t xml:space="preserve"> </w:t>
      </w:r>
      <w:r w:rsidRPr="00E00975">
        <w:t>714</w:t>
      </w:r>
      <w:r w:rsidRPr="00510B28">
        <w:t> </w:t>
      </w:r>
      <w:r w:rsidRPr="00FD2D71">
        <w:t>mg/day</w:t>
      </w:r>
      <w:r w:rsidRPr="00E00975">
        <w:t xml:space="preserve"> and 1,384 mg/day respectively</w:t>
      </w:r>
      <w:r w:rsidRPr="00510B28">
        <w:t>.</w:t>
      </w:r>
      <w:r w:rsidRPr="00FD2D71">
        <w:t xml:space="preserve"> L-carnitine dietary intakes increase in the </w:t>
      </w:r>
      <w:r w:rsidRPr="00FD2D71">
        <w:rPr>
          <w:i/>
        </w:rPr>
        <w:t>Consumer behaviour</w:t>
      </w:r>
      <w:r w:rsidRPr="00FD2D71">
        <w:t xml:space="preserve"> scenario by </w:t>
      </w:r>
      <w:r w:rsidRPr="00E00975">
        <w:t>480</w:t>
      </w:r>
      <w:r w:rsidRPr="00510B28">
        <w:t>–</w:t>
      </w:r>
      <w:r w:rsidRPr="00E00975">
        <w:t>560</w:t>
      </w:r>
      <w:r w:rsidRPr="00510B28">
        <w:t xml:space="preserve">% from </w:t>
      </w:r>
      <w:r w:rsidRPr="00FD2D71">
        <w:rPr>
          <w:i/>
        </w:rPr>
        <w:t>Baseline</w:t>
      </w:r>
      <w:r w:rsidRPr="00FD2D71">
        <w:t>.</w:t>
      </w:r>
    </w:p>
    <w:p w14:paraId="499863EC" w14:textId="77777777" w:rsidR="00785714" w:rsidRPr="00844B32" w:rsidRDefault="00785714" w:rsidP="00785714"/>
    <w:p w14:paraId="763E42CD" w14:textId="1709B12F" w:rsidR="00785714" w:rsidRPr="00844B32" w:rsidRDefault="00785714" w:rsidP="00785714">
      <w:r w:rsidRPr="00844B32">
        <w:t xml:space="preserve">Refer to </w:t>
      </w:r>
      <w:r w:rsidRPr="00844B32">
        <w:fldChar w:fldCharType="begin"/>
      </w:r>
      <w:r w:rsidRPr="00BD7280">
        <w:instrText xml:space="preserve"> REF _Ref493169370 \h  \* MERGEFORMAT </w:instrText>
      </w:r>
      <w:r w:rsidRPr="00844B32">
        <w:fldChar w:fldCharType="separate"/>
      </w:r>
      <w:r w:rsidR="00872715" w:rsidRPr="00BE70E1">
        <w:t xml:space="preserve">Figure </w:t>
      </w:r>
      <w:r w:rsidR="00872715">
        <w:t>5</w:t>
      </w:r>
      <w:r w:rsidRPr="00844B32">
        <w:fldChar w:fldCharType="end"/>
      </w:r>
      <w:r w:rsidRPr="00844B32">
        <w:t xml:space="preserve">, </w:t>
      </w:r>
      <w:r w:rsidRPr="00844B32">
        <w:fldChar w:fldCharType="begin"/>
      </w:r>
      <w:r w:rsidRPr="00BD7280">
        <w:instrText xml:space="preserve"> REF _Ref493169696 \h  \* MERGEFORMAT </w:instrText>
      </w:r>
      <w:r w:rsidRPr="00844B32">
        <w:fldChar w:fldCharType="separate"/>
      </w:r>
      <w:r w:rsidR="00872715" w:rsidRPr="000A407B">
        <w:t xml:space="preserve">Figure </w:t>
      </w:r>
      <w:r w:rsidR="00872715">
        <w:t>6</w:t>
      </w:r>
      <w:r w:rsidRPr="00844B32">
        <w:fldChar w:fldCharType="end"/>
      </w:r>
      <w:r w:rsidRPr="00844B32">
        <w:t xml:space="preserve"> and </w:t>
      </w:r>
      <w:r w:rsidRPr="00844B32">
        <w:fldChar w:fldCharType="begin"/>
      </w:r>
      <w:r w:rsidRPr="00BD7280">
        <w:instrText xml:space="preserve"> REF _Ref509588725 \h </w:instrText>
      </w:r>
      <w:r w:rsidRPr="00D67A8C">
        <w:instrText xml:space="preserve"> \* MERGEFORMAT </w:instrText>
      </w:r>
      <w:r w:rsidRPr="00844B32">
        <w:fldChar w:fldCharType="separate"/>
      </w:r>
      <w:r w:rsidR="00872715" w:rsidRPr="00B83846">
        <w:t>Table A</w:t>
      </w:r>
      <w:r w:rsidR="00872715">
        <w:t>3.1</w:t>
      </w:r>
      <w:r w:rsidRPr="00844B32">
        <w:fldChar w:fldCharType="end"/>
      </w:r>
      <w:r w:rsidRPr="00844B32">
        <w:t xml:space="preserve"> in</w:t>
      </w:r>
      <w:r w:rsidR="00AC5EF1">
        <w:t xml:space="preserve"> Appendix 3</w:t>
      </w:r>
      <w:r w:rsidRPr="00844B32">
        <w:t xml:space="preserve"> for further details.</w:t>
      </w:r>
    </w:p>
    <w:p w14:paraId="4D95AC28" w14:textId="77777777" w:rsidR="00785714" w:rsidRPr="00844B32" w:rsidRDefault="00785714" w:rsidP="00785714">
      <w:pPr>
        <w:pStyle w:val="Heading4"/>
      </w:pPr>
      <w:r w:rsidRPr="00844B32">
        <w:t>People who consume weight management or meal replacement products</w:t>
      </w:r>
    </w:p>
    <w:p w14:paraId="01FA53C6" w14:textId="2527B9CD" w:rsidR="00785714" w:rsidRDefault="00785714" w:rsidP="00785714">
      <w:r w:rsidRPr="00FD2D71">
        <w:t xml:space="preserve">The foods considered to be weight management or meal replacement products are listed in </w:t>
      </w:r>
      <w:r w:rsidRPr="00FD2D71">
        <w:fldChar w:fldCharType="begin"/>
      </w:r>
      <w:r w:rsidRPr="00FD2D71">
        <w:instrText xml:space="preserve"> REF _Ref494180388 \h  \* MERGEFORMAT </w:instrText>
      </w:r>
      <w:r w:rsidRPr="00FD2D71">
        <w:fldChar w:fldCharType="separate"/>
      </w:r>
      <w:r w:rsidR="00872715" w:rsidRPr="00580E89">
        <w:t xml:space="preserve">Table </w:t>
      </w:r>
      <w:r w:rsidR="00872715">
        <w:t>8</w:t>
      </w:r>
      <w:r w:rsidRPr="00FD2D71">
        <w:fldChar w:fldCharType="end"/>
      </w:r>
      <w:r w:rsidRPr="00FD2D71">
        <w:t xml:space="preserve">. </w:t>
      </w:r>
      <w:r w:rsidRPr="00FD2D71">
        <w:rPr>
          <w:i/>
        </w:rPr>
        <w:t>Baseline</w:t>
      </w:r>
      <w:r w:rsidRPr="00FD2D71">
        <w:t xml:space="preserve"> dietary L-carnitine intakes for the Australian </w:t>
      </w:r>
      <w:r>
        <w:t xml:space="preserve">and New Zealand </w:t>
      </w:r>
      <w:r w:rsidRPr="00FD2D71">
        <w:t>population</w:t>
      </w:r>
      <w:r>
        <w:t>s</w:t>
      </w:r>
      <w:r w:rsidRPr="00FD2D71">
        <w:t xml:space="preserve"> that consume weight management or meal replacement products are </w:t>
      </w:r>
      <w:r w:rsidRPr="00E00975">
        <w:t>higher than those for</w:t>
      </w:r>
      <w:r w:rsidRPr="00FD2D71">
        <w:t xml:space="preserve"> the general population</w:t>
      </w:r>
      <w:r>
        <w:t>s</w:t>
      </w:r>
      <w:r w:rsidRPr="00FD2D71">
        <w:t xml:space="preserve">. Australian mean and P90 Baseline intakes are </w:t>
      </w:r>
      <w:r w:rsidRPr="00E00975">
        <w:t>104</w:t>
      </w:r>
      <w:r w:rsidRPr="00FD2D71">
        <w:t xml:space="preserve"> mg/day and </w:t>
      </w:r>
      <w:r w:rsidRPr="00E00975">
        <w:t>217</w:t>
      </w:r>
      <w:r w:rsidRPr="00FD2D71">
        <w:t> mg/day respectively. New Zealand mea</w:t>
      </w:r>
      <w:r w:rsidRPr="00E00975">
        <w:t>n and P90 Baseline intakes are simila</w:t>
      </w:r>
      <w:r w:rsidRPr="00FD2D71">
        <w:t>r t</w:t>
      </w:r>
      <w:r w:rsidRPr="00E00975">
        <w:t>o</w:t>
      </w:r>
      <w:r w:rsidRPr="00FD2D71">
        <w:t xml:space="preserve"> those </w:t>
      </w:r>
      <w:r w:rsidRPr="00FD2D71">
        <w:lastRenderedPageBreak/>
        <w:t xml:space="preserve">for Australian weight management or meal replacement product consumers with dietary intakes at </w:t>
      </w:r>
      <w:r w:rsidRPr="00E00975">
        <w:t>109 mg/day and 268</w:t>
      </w:r>
      <w:r w:rsidRPr="00FD2D71">
        <w:t> mg/day respectively.</w:t>
      </w:r>
    </w:p>
    <w:p w14:paraId="7B6C9337" w14:textId="77777777" w:rsidR="00785714" w:rsidRPr="00FD2D71" w:rsidRDefault="00785714" w:rsidP="00785714"/>
    <w:p w14:paraId="0F589F58" w14:textId="608BEF6C" w:rsidR="00785714" w:rsidRPr="00077C33" w:rsidRDefault="00785714" w:rsidP="00785714">
      <w:r w:rsidRPr="00077C33">
        <w:t xml:space="preserve">In the </w:t>
      </w:r>
      <w:r w:rsidRPr="00077C33">
        <w:rPr>
          <w:i/>
        </w:rPr>
        <w:t>Sports food increase</w:t>
      </w:r>
      <w:r w:rsidRPr="00077C33">
        <w:t xml:space="preserve"> scenario, estimated mean and P90 consumer dietary intakes of L-carnitine for Australian weight management or meal replacement product consumers are </w:t>
      </w:r>
      <w:r w:rsidRPr="00E00975">
        <w:t>249</w:t>
      </w:r>
      <w:r w:rsidRPr="00077C33">
        <w:t xml:space="preserve"> mg/day and </w:t>
      </w:r>
      <w:r w:rsidRPr="00E00975">
        <w:t>761</w:t>
      </w:r>
      <w:r w:rsidRPr="00077C33">
        <w:t xml:space="preserve"> mg/day. </w:t>
      </w:r>
      <w:r w:rsidRPr="00E00975">
        <w:t>For New Zealanders aged 15 years and above, t</w:t>
      </w:r>
      <w:r w:rsidRPr="00077C33">
        <w:t xml:space="preserve">he mean </w:t>
      </w:r>
      <w:r w:rsidRPr="00E00975">
        <w:t xml:space="preserve">and P90 </w:t>
      </w:r>
      <w:r w:rsidRPr="00077C33">
        <w:t xml:space="preserve">dietary L-carnitine intakes </w:t>
      </w:r>
      <w:r w:rsidRPr="00E00975">
        <w:t>are</w:t>
      </w:r>
      <w:r w:rsidRPr="00077C33">
        <w:t xml:space="preserve"> </w:t>
      </w:r>
      <w:r w:rsidRPr="00E00975">
        <w:t>191</w:t>
      </w:r>
      <w:r w:rsidRPr="00077C33">
        <w:t> mg/day</w:t>
      </w:r>
      <w:r w:rsidRPr="00E00975">
        <w:t xml:space="preserve"> and 421 mg/day</w:t>
      </w:r>
      <w:r w:rsidRPr="00077C33">
        <w:t xml:space="preserve">. L-carnitine dietary intakes increase in the </w:t>
      </w:r>
      <w:r w:rsidRPr="00077C33">
        <w:rPr>
          <w:i/>
        </w:rPr>
        <w:t>Sports food increase</w:t>
      </w:r>
      <w:r w:rsidRPr="00077C33">
        <w:t xml:space="preserve"> scenario by </w:t>
      </w:r>
      <w:r w:rsidRPr="00E00975">
        <w:t>55</w:t>
      </w:r>
      <w:r w:rsidRPr="00077C33">
        <w:t>–</w:t>
      </w:r>
      <w:r w:rsidRPr="00E00975">
        <w:t>250</w:t>
      </w:r>
      <w:r w:rsidRPr="00077C33">
        <w:t xml:space="preserve">% from </w:t>
      </w:r>
      <w:r w:rsidRPr="00077C33">
        <w:rPr>
          <w:i/>
        </w:rPr>
        <w:t>Baseline</w:t>
      </w:r>
      <w:r w:rsidRPr="00077C33">
        <w:t>.</w:t>
      </w:r>
    </w:p>
    <w:p w14:paraId="55E5AED6" w14:textId="77777777" w:rsidR="00785714" w:rsidRPr="00077C33" w:rsidRDefault="00785714" w:rsidP="00785714"/>
    <w:p w14:paraId="67712699" w14:textId="2ECC90D7" w:rsidR="00785714" w:rsidRPr="00077C33" w:rsidRDefault="00785714" w:rsidP="00785714">
      <w:r w:rsidRPr="00077C33">
        <w:t xml:space="preserve">In the </w:t>
      </w:r>
      <w:r w:rsidRPr="00E00975">
        <w:rPr>
          <w:i/>
        </w:rPr>
        <w:t>Consumer behaviour</w:t>
      </w:r>
      <w:r w:rsidRPr="00077C33">
        <w:t xml:space="preserve"> scenario, estimated mean and P90 consumer dietary intakes of L-carnitine for </w:t>
      </w:r>
      <w:r w:rsidRPr="00C94C00">
        <w:t>Australian weight management or meal replacement product consumers are 5</w:t>
      </w:r>
      <w:r w:rsidRPr="00E00975">
        <w:t>9</w:t>
      </w:r>
      <w:r w:rsidRPr="00077C33">
        <w:t>7 mg/day and 1,</w:t>
      </w:r>
      <w:r w:rsidRPr="00E00975">
        <w:t>227</w:t>
      </w:r>
      <w:r w:rsidRPr="00077C33">
        <w:t> mg/day, respectively. The mean</w:t>
      </w:r>
      <w:r w:rsidRPr="00E00975">
        <w:t xml:space="preserve"> and P90</w:t>
      </w:r>
      <w:r w:rsidRPr="00077C33">
        <w:t xml:space="preserve"> dietary L-carnitine intake</w:t>
      </w:r>
      <w:r w:rsidRPr="00E00975">
        <w:t>s</w:t>
      </w:r>
      <w:r w:rsidRPr="00077C33">
        <w:t xml:space="preserve"> for New Zealand weight management or meal replacement product consumers aged 15 years and above </w:t>
      </w:r>
      <w:r w:rsidRPr="00E00975">
        <w:t>are</w:t>
      </w:r>
      <w:r w:rsidRPr="00077C33">
        <w:t xml:space="preserve"> </w:t>
      </w:r>
      <w:r w:rsidRPr="00E00975">
        <w:t>736</w:t>
      </w:r>
      <w:r w:rsidRPr="00077C33">
        <w:t> mg/day</w:t>
      </w:r>
      <w:r w:rsidRPr="00E00975">
        <w:t xml:space="preserve"> and 1,384 mg/day respectively</w:t>
      </w:r>
      <w:r w:rsidRPr="00077C33">
        <w:t xml:space="preserve">. L-carnitine dietary intakes increase in the </w:t>
      </w:r>
      <w:r w:rsidRPr="00077C33">
        <w:rPr>
          <w:i/>
        </w:rPr>
        <w:t>Sports food increase</w:t>
      </w:r>
      <w:r w:rsidRPr="00077C33">
        <w:t xml:space="preserve"> scenario by </w:t>
      </w:r>
      <w:r w:rsidRPr="00C94C00">
        <w:t>420–</w:t>
      </w:r>
      <w:r w:rsidRPr="00E00975">
        <w:t>58</w:t>
      </w:r>
      <w:r w:rsidRPr="00077C33">
        <w:t xml:space="preserve">0% from </w:t>
      </w:r>
      <w:r w:rsidRPr="00077C33">
        <w:rPr>
          <w:i/>
        </w:rPr>
        <w:t>Baseline</w:t>
      </w:r>
      <w:r w:rsidRPr="00077C33">
        <w:t>.</w:t>
      </w:r>
    </w:p>
    <w:p w14:paraId="7AE2BA22" w14:textId="77777777" w:rsidR="00785714" w:rsidRPr="00C94C00" w:rsidRDefault="00785714" w:rsidP="00785714"/>
    <w:p w14:paraId="670BA289" w14:textId="2B016CE2" w:rsidR="00785714" w:rsidRPr="00844B32" w:rsidRDefault="00785714" w:rsidP="00785714">
      <w:r w:rsidRPr="00C94C00">
        <w:t xml:space="preserve">Refer to </w:t>
      </w:r>
      <w:r w:rsidRPr="00077C33">
        <w:fldChar w:fldCharType="begin"/>
      </w:r>
      <w:r w:rsidRPr="00077C33">
        <w:instrText xml:space="preserve"> REF _Ref493169370 \h  \* MERGEFORMAT </w:instrText>
      </w:r>
      <w:r w:rsidRPr="00077C33">
        <w:fldChar w:fldCharType="separate"/>
      </w:r>
      <w:r w:rsidR="00872715" w:rsidRPr="00BE70E1">
        <w:t xml:space="preserve">Figure </w:t>
      </w:r>
      <w:r w:rsidR="00872715">
        <w:t>5</w:t>
      </w:r>
      <w:r w:rsidRPr="00077C33">
        <w:fldChar w:fldCharType="end"/>
      </w:r>
      <w:r w:rsidRPr="00077C33">
        <w:t xml:space="preserve">, </w:t>
      </w:r>
      <w:r w:rsidRPr="00077C33">
        <w:fldChar w:fldCharType="begin"/>
      </w:r>
      <w:r w:rsidRPr="00077C33">
        <w:instrText xml:space="preserve"> REF _Ref493169696 \h  \* MERGEFORMAT </w:instrText>
      </w:r>
      <w:r w:rsidRPr="00077C33">
        <w:fldChar w:fldCharType="separate"/>
      </w:r>
      <w:r w:rsidR="00872715" w:rsidRPr="000A407B">
        <w:t xml:space="preserve">Figure </w:t>
      </w:r>
      <w:r w:rsidR="00872715">
        <w:t>6</w:t>
      </w:r>
      <w:r w:rsidRPr="00077C33">
        <w:fldChar w:fldCharType="end"/>
      </w:r>
      <w:r w:rsidRPr="00077C33">
        <w:t xml:space="preserve"> and </w:t>
      </w:r>
      <w:r w:rsidRPr="00077C33">
        <w:fldChar w:fldCharType="begin"/>
      </w:r>
      <w:r w:rsidRPr="00077C33">
        <w:instrText xml:space="preserve"> REF _Ref509588725 \h </w:instrText>
      </w:r>
      <w:r w:rsidRPr="00D67A8C">
        <w:instrText xml:space="preserve"> \* MERGEFORMAT </w:instrText>
      </w:r>
      <w:r w:rsidRPr="00077C33">
        <w:fldChar w:fldCharType="separate"/>
      </w:r>
      <w:r w:rsidR="00872715" w:rsidRPr="00B83846">
        <w:t>Table A</w:t>
      </w:r>
      <w:r w:rsidR="00872715">
        <w:t>3.1</w:t>
      </w:r>
      <w:r w:rsidRPr="00077C33">
        <w:fldChar w:fldCharType="end"/>
      </w:r>
      <w:r w:rsidRPr="00077C33">
        <w:t xml:space="preserve"> in</w:t>
      </w:r>
      <w:r w:rsidR="00AC5EF1">
        <w:t xml:space="preserve"> Appendix 3</w:t>
      </w:r>
      <w:r w:rsidRPr="00077C33">
        <w:t xml:space="preserve"> for further details.</w:t>
      </w:r>
    </w:p>
    <w:p w14:paraId="44674918" w14:textId="77777777" w:rsidR="00785714" w:rsidRPr="00844B32" w:rsidRDefault="00785714" w:rsidP="00785714">
      <w:pPr>
        <w:pStyle w:val="Heading4"/>
      </w:pPr>
      <w:r w:rsidRPr="00844B32">
        <w:rPr>
          <w:rFonts w:cs="Arial"/>
        </w:rPr>
        <w:t>People who don’t eat meat</w:t>
      </w:r>
    </w:p>
    <w:p w14:paraId="496C0A11" w14:textId="77777777" w:rsidR="00785714" w:rsidRPr="00C94C00" w:rsidRDefault="00785714" w:rsidP="00785714">
      <w:r w:rsidRPr="00C94C00">
        <w:t xml:space="preserve">Dietary L-carnitine intakes for the Australian and New Zealand populations that don’t eat meat are lower than in the general population. Australian mean and P90 </w:t>
      </w:r>
      <w:r w:rsidRPr="00C94C00">
        <w:rPr>
          <w:i/>
        </w:rPr>
        <w:t>Baseline</w:t>
      </w:r>
      <w:r w:rsidRPr="00C94C00">
        <w:t xml:space="preserve"> intakes for people who don’t eat meat are </w:t>
      </w:r>
      <w:r w:rsidRPr="00E00975">
        <w:t>28</w:t>
      </w:r>
      <w:r w:rsidRPr="00C94C00">
        <w:t xml:space="preserve"> mg/day and </w:t>
      </w:r>
      <w:r w:rsidRPr="00E00975">
        <w:t>50</w:t>
      </w:r>
      <w:r w:rsidRPr="00C94C00">
        <w:t xml:space="preserve"> mg/day respectively. New Zealand </w:t>
      </w:r>
      <w:r w:rsidRPr="00C94C00">
        <w:rPr>
          <w:i/>
        </w:rPr>
        <w:t xml:space="preserve">Baseline </w:t>
      </w:r>
      <w:r w:rsidRPr="00C94C00">
        <w:t>mean and P90 dietary intakes are 1</w:t>
      </w:r>
      <w:r w:rsidRPr="00E00975">
        <w:t>7</w:t>
      </w:r>
      <w:r w:rsidRPr="00C94C00">
        <w:t> mg/day and 3</w:t>
      </w:r>
      <w:r w:rsidRPr="00E00975">
        <w:t>3</w:t>
      </w:r>
      <w:r w:rsidRPr="00C94C00">
        <w:t> mg/day, respectively.</w:t>
      </w:r>
    </w:p>
    <w:p w14:paraId="50CAFAAD" w14:textId="77777777" w:rsidR="00785714" w:rsidRPr="00C94C00" w:rsidRDefault="00785714" w:rsidP="00785714"/>
    <w:p w14:paraId="15FFAA26" w14:textId="14100DF5" w:rsidR="00785714" w:rsidRPr="00C94C00" w:rsidRDefault="00785714" w:rsidP="00785714">
      <w:r w:rsidRPr="00C94C00">
        <w:t xml:space="preserve">In the </w:t>
      </w:r>
      <w:r w:rsidRPr="00C94C00">
        <w:rPr>
          <w:i/>
        </w:rPr>
        <w:t>Sports food increase</w:t>
      </w:r>
      <w:r w:rsidRPr="00C94C00">
        <w:t xml:space="preserve"> scenario, estimated mean and P90 consumer dietary intakes of L-carnitine for people who don’t eat meat are </w:t>
      </w:r>
      <w:r w:rsidRPr="00D67A8C">
        <w:t>42</w:t>
      </w:r>
      <w:r w:rsidRPr="00C94C00">
        <w:t xml:space="preserve"> mg/day and </w:t>
      </w:r>
      <w:r w:rsidRPr="00D67A8C">
        <w:t>52</w:t>
      </w:r>
      <w:r w:rsidRPr="00C94C00">
        <w:t> mg/day for Australia and 1</w:t>
      </w:r>
      <w:r w:rsidRPr="00D67A8C">
        <w:t>7</w:t>
      </w:r>
      <w:r w:rsidRPr="00C94C00">
        <w:t> mg/day and 3</w:t>
      </w:r>
      <w:r w:rsidRPr="00D67A8C">
        <w:t>3</w:t>
      </w:r>
      <w:r w:rsidRPr="00C94C00">
        <w:t xml:space="preserve"> mg/day for New Zealanders aged 15 years and above who don’t eat meat. L-carnitine dietary intakes increase in the </w:t>
      </w:r>
      <w:r w:rsidRPr="00C94C00">
        <w:rPr>
          <w:i/>
        </w:rPr>
        <w:t>Sports food increase</w:t>
      </w:r>
      <w:r w:rsidRPr="00C94C00">
        <w:t xml:space="preserve"> scenario by approximately 0–</w:t>
      </w:r>
      <w:r w:rsidRPr="00D67A8C">
        <w:t>50</w:t>
      </w:r>
      <w:r w:rsidRPr="00C94C00">
        <w:t xml:space="preserve">% from </w:t>
      </w:r>
      <w:r w:rsidRPr="00C94C00">
        <w:rPr>
          <w:i/>
        </w:rPr>
        <w:t>Baseline</w:t>
      </w:r>
      <w:r w:rsidRPr="00C94C00">
        <w:t>.</w:t>
      </w:r>
    </w:p>
    <w:p w14:paraId="0C2F2B7B" w14:textId="77777777" w:rsidR="00785714" w:rsidRPr="00C94C00" w:rsidRDefault="00785714" w:rsidP="00785714"/>
    <w:p w14:paraId="08A3BF97" w14:textId="00E15086" w:rsidR="00785714" w:rsidRPr="00FF0732" w:rsidRDefault="00785714" w:rsidP="00785714">
      <w:r w:rsidRPr="00C86BD8">
        <w:t xml:space="preserve">In the </w:t>
      </w:r>
      <w:r w:rsidRPr="00B67959">
        <w:rPr>
          <w:i/>
        </w:rPr>
        <w:t>Consumer b</w:t>
      </w:r>
      <w:r w:rsidRPr="0009360C">
        <w:rPr>
          <w:i/>
        </w:rPr>
        <w:t>ehaviour</w:t>
      </w:r>
      <w:r w:rsidRPr="004A0269">
        <w:t xml:space="preserve"> scenario, estimated mean and P90 consumer dietary exposures to L-carnitine for </w:t>
      </w:r>
      <w:r w:rsidRPr="00724C75">
        <w:t xml:space="preserve">people who don’t eat meat </w:t>
      </w:r>
      <w:r w:rsidRPr="00CA57A0">
        <w:t>are</w:t>
      </w:r>
      <w:r w:rsidRPr="00C94C00">
        <w:t xml:space="preserve"> 3</w:t>
      </w:r>
      <w:r w:rsidRPr="00D67A8C">
        <w:t>81</w:t>
      </w:r>
      <w:r w:rsidRPr="00C94C00">
        <w:t xml:space="preserve"> mg/day and </w:t>
      </w:r>
      <w:r w:rsidRPr="00C86BD8">
        <w:t>8</w:t>
      </w:r>
      <w:r w:rsidRPr="00B67959">
        <w:t>2</w:t>
      </w:r>
      <w:r w:rsidRPr="00D67A8C">
        <w:t>8</w:t>
      </w:r>
      <w:r w:rsidRPr="00C94C00">
        <w:t> mg/day for Australia</w:t>
      </w:r>
      <w:r w:rsidRPr="00C86BD8">
        <w:t xml:space="preserve"> and</w:t>
      </w:r>
      <w:r w:rsidRPr="00B67959">
        <w:t xml:space="preserve"> </w:t>
      </w:r>
      <w:r w:rsidRPr="0009360C">
        <w:t>5</w:t>
      </w:r>
      <w:r w:rsidRPr="00D67A8C">
        <w:t>13</w:t>
      </w:r>
      <w:r w:rsidRPr="00C94C00">
        <w:t> mg/day and 1,</w:t>
      </w:r>
      <w:r w:rsidRPr="00C86BD8">
        <w:t>248</w:t>
      </w:r>
      <w:r w:rsidRPr="00B67959">
        <w:t> mg/day</w:t>
      </w:r>
      <w:r w:rsidRPr="0009360C">
        <w:t xml:space="preserve"> for New Zealander</w:t>
      </w:r>
      <w:r w:rsidRPr="004A0269">
        <w:t>s aged 15 years and above who don’t eat meat</w:t>
      </w:r>
      <w:r w:rsidRPr="00724C75">
        <w:t>.</w:t>
      </w:r>
      <w:r w:rsidRPr="00CA57A0">
        <w:t xml:space="preserve"> L-carnitine dietary intakes increase in the </w:t>
      </w:r>
      <w:r w:rsidRPr="00D67A8C">
        <w:rPr>
          <w:i/>
        </w:rPr>
        <w:t>Consumer behaviour</w:t>
      </w:r>
      <w:r w:rsidRPr="00C94C00">
        <w:t xml:space="preserve"> scenario by approximately 1,</w:t>
      </w:r>
      <w:r w:rsidRPr="00D67A8C">
        <w:t>260</w:t>
      </w:r>
      <w:r w:rsidRPr="00C94C00">
        <w:t>–</w:t>
      </w:r>
      <w:r>
        <w:t>3,680</w:t>
      </w:r>
      <w:r w:rsidRPr="00C94C00">
        <w:t xml:space="preserve">% from </w:t>
      </w:r>
      <w:r w:rsidRPr="00C86BD8">
        <w:rPr>
          <w:i/>
        </w:rPr>
        <w:t>Baseline</w:t>
      </w:r>
      <w:r w:rsidRPr="00B67959">
        <w:t>.</w:t>
      </w:r>
    </w:p>
    <w:p w14:paraId="0CF9B649" w14:textId="77777777" w:rsidR="00785714" w:rsidRPr="00FF0732" w:rsidRDefault="00785714" w:rsidP="00785714"/>
    <w:p w14:paraId="62D2CB5C" w14:textId="76C985BB" w:rsidR="00785714" w:rsidRDefault="00785714" w:rsidP="00785714">
      <w:r w:rsidRPr="00B969BB">
        <w:t xml:space="preserve">Refer to </w:t>
      </w:r>
      <w:r w:rsidRPr="00B969BB">
        <w:fldChar w:fldCharType="begin"/>
      </w:r>
      <w:r w:rsidRPr="00B969BB">
        <w:instrText xml:space="preserve"> REF _Ref493169370 \h  \* MERGEFORMAT </w:instrText>
      </w:r>
      <w:r w:rsidRPr="00B969BB">
        <w:fldChar w:fldCharType="separate"/>
      </w:r>
      <w:r w:rsidR="00872715" w:rsidRPr="00BE70E1">
        <w:t xml:space="preserve">Figure </w:t>
      </w:r>
      <w:r w:rsidR="00872715">
        <w:t>5</w:t>
      </w:r>
      <w:r w:rsidRPr="00B969BB">
        <w:fldChar w:fldCharType="end"/>
      </w:r>
      <w:r w:rsidRPr="00B969BB">
        <w:t xml:space="preserve">, </w:t>
      </w:r>
      <w:r w:rsidRPr="00B969BB">
        <w:fldChar w:fldCharType="begin"/>
      </w:r>
      <w:r w:rsidRPr="00B969BB">
        <w:instrText xml:space="preserve"> REF _Ref493169696 \h  \* MERGEFORMAT </w:instrText>
      </w:r>
      <w:r w:rsidRPr="00B969BB">
        <w:fldChar w:fldCharType="separate"/>
      </w:r>
      <w:r w:rsidR="00872715" w:rsidRPr="000A407B">
        <w:t xml:space="preserve">Figure </w:t>
      </w:r>
      <w:r w:rsidR="00872715">
        <w:t>6</w:t>
      </w:r>
      <w:r w:rsidRPr="00B969BB">
        <w:fldChar w:fldCharType="end"/>
      </w:r>
      <w:r w:rsidRPr="00B969BB">
        <w:t xml:space="preserve"> and</w:t>
      </w:r>
      <w:r>
        <w:t xml:space="preserve"> </w:t>
      </w:r>
      <w:r>
        <w:fldChar w:fldCharType="begin"/>
      </w:r>
      <w:r>
        <w:instrText xml:space="preserve"> REF _Ref509588725 \h </w:instrText>
      </w:r>
      <w:r w:rsidR="00645604">
        <w:instrText xml:space="preserve"> \* MERGEFORMAT </w:instrText>
      </w:r>
      <w:r>
        <w:fldChar w:fldCharType="separate"/>
      </w:r>
      <w:r w:rsidR="00872715" w:rsidRPr="00B83846">
        <w:t>Table A</w:t>
      </w:r>
      <w:r w:rsidR="00872715">
        <w:t>3.</w:t>
      </w:r>
      <w:r w:rsidR="00872715">
        <w:rPr>
          <w:noProof/>
        </w:rPr>
        <w:t>1</w:t>
      </w:r>
      <w:r>
        <w:fldChar w:fldCharType="end"/>
      </w:r>
      <w:r>
        <w:t xml:space="preserve"> </w:t>
      </w:r>
      <w:r w:rsidRPr="00B969BB">
        <w:t>in</w:t>
      </w:r>
      <w:r w:rsidR="00AC5EF1">
        <w:t xml:space="preserve"> Appendix 3</w:t>
      </w:r>
      <w:r w:rsidRPr="00B969BB">
        <w:t xml:space="preserve"> for further details.</w:t>
      </w:r>
    </w:p>
    <w:p w14:paraId="4BD07524" w14:textId="77777777" w:rsidR="00785714" w:rsidRDefault="00785714" w:rsidP="00785714">
      <w:pPr>
        <w:pStyle w:val="Heading4"/>
      </w:pPr>
      <w:r>
        <w:t>Dietary supplements</w:t>
      </w:r>
    </w:p>
    <w:p w14:paraId="172AD56D" w14:textId="77777777" w:rsidR="00785714" w:rsidRDefault="00785714" w:rsidP="00785714">
      <w:pPr>
        <w:pStyle w:val="Heading5"/>
      </w:pPr>
      <w:r>
        <w:t>Consumption of L-carnitine containing supplements from nutrition survey data</w:t>
      </w:r>
    </w:p>
    <w:p w14:paraId="614A66ED" w14:textId="36DE7687" w:rsidR="00785714" w:rsidRDefault="00785714" w:rsidP="00785714">
      <w:pPr>
        <w:rPr>
          <w:lang w:bidi="ar-SA"/>
        </w:rPr>
      </w:pPr>
      <w:r>
        <w:rPr>
          <w:lang w:bidi="ar-SA"/>
        </w:rPr>
        <w:t xml:space="preserve">In the 2011-12 NNPAS, only 0.04% of the population with two days of food consumption data consumed an L-carnitine containing dietary supplement on either Day 1 or Day 2 of the survey or on both days. None of the consumption of L-carnitine supplements was by the elderly (71 years and above), people who consumed sports foods, people who consumed weight reduction or weight management products, or people who didn’t eat meat on the day of the </w:t>
      </w:r>
      <w:r w:rsidRPr="001972DF">
        <w:rPr>
          <w:lang w:bidi="ar-SA"/>
        </w:rPr>
        <w:t>survey. L-carnitine containing supplement consumers we</w:t>
      </w:r>
      <w:r>
        <w:rPr>
          <w:lang w:bidi="ar-SA"/>
        </w:rPr>
        <w:t>re aged 4</w:t>
      </w:r>
      <w:r w:rsidR="004D1902">
        <w:rPr>
          <w:lang w:bidi="ar-SA"/>
        </w:rPr>
        <w:t>-</w:t>
      </w:r>
      <w:r>
        <w:rPr>
          <w:lang w:bidi="ar-SA"/>
        </w:rPr>
        <w:t xml:space="preserve">62 years and had a </w:t>
      </w:r>
      <w:r w:rsidRPr="001972DF">
        <w:rPr>
          <w:lang w:bidi="ar-SA"/>
        </w:rPr>
        <w:t xml:space="preserve">dietary intake </w:t>
      </w:r>
      <w:r>
        <w:rPr>
          <w:lang w:bidi="ar-SA"/>
        </w:rPr>
        <w:t xml:space="preserve">over the two days of the NNPAS </w:t>
      </w:r>
      <w:r w:rsidRPr="001972DF">
        <w:rPr>
          <w:lang w:bidi="ar-SA"/>
        </w:rPr>
        <w:t>of 404– ,00</w:t>
      </w:r>
      <w:r>
        <w:rPr>
          <w:lang w:bidi="ar-SA"/>
        </w:rPr>
        <w:t>0</w:t>
      </w:r>
      <w:r w:rsidRPr="001972DF">
        <w:rPr>
          <w:lang w:bidi="ar-SA"/>
        </w:rPr>
        <w:t xml:space="preserve"> mg </w:t>
      </w:r>
      <w:r>
        <w:rPr>
          <w:lang w:bidi="ar-SA"/>
        </w:rPr>
        <w:t xml:space="preserve">L-carnitine </w:t>
      </w:r>
      <w:r w:rsidRPr="001972DF">
        <w:rPr>
          <w:lang w:bidi="ar-SA"/>
        </w:rPr>
        <w:t>per day from supplements</w:t>
      </w:r>
      <w:r>
        <w:rPr>
          <w:lang w:bidi="ar-SA"/>
        </w:rPr>
        <w:t xml:space="preserve"> </w:t>
      </w:r>
      <w:r w:rsidRPr="001972DF">
        <w:rPr>
          <w:lang w:bidi="ar-SA"/>
        </w:rPr>
        <w:t>(expressed as L-carnitine).</w:t>
      </w:r>
    </w:p>
    <w:p w14:paraId="7E5B7201" w14:textId="77777777" w:rsidR="00785714" w:rsidRDefault="00785714" w:rsidP="00785714">
      <w:pPr>
        <w:rPr>
          <w:lang w:bidi="ar-SA"/>
        </w:rPr>
      </w:pPr>
    </w:p>
    <w:p w14:paraId="15317D63" w14:textId="77777777" w:rsidR="00785714" w:rsidRDefault="00785714" w:rsidP="00785714">
      <w:pPr>
        <w:rPr>
          <w:lang w:bidi="ar-SA"/>
        </w:rPr>
      </w:pPr>
      <w:r>
        <w:rPr>
          <w:lang w:bidi="ar-SA"/>
        </w:rPr>
        <w:t xml:space="preserve">In the 2008 NZANS, only 0.01% of the population aged 15 years and above consumed an L-carnitine containing dietary supplement (i.e. a tablet or capsule containing L-carnitine). None of the consumption of L-carnitine supplements was by people in the survey who consumed </w:t>
      </w:r>
      <w:r>
        <w:rPr>
          <w:lang w:bidi="ar-SA"/>
        </w:rPr>
        <w:lastRenderedPageBreak/>
        <w:t xml:space="preserve">sports foods </w:t>
      </w:r>
      <w:r w:rsidRPr="001972DF">
        <w:rPr>
          <w:lang w:bidi="ar-SA"/>
        </w:rPr>
        <w:t>± protein supplements (e.g. bars /</w:t>
      </w:r>
      <w:r>
        <w:rPr>
          <w:lang w:bidi="ar-SA"/>
        </w:rPr>
        <w:t xml:space="preserve"> </w:t>
      </w:r>
      <w:r w:rsidRPr="001972DF">
        <w:rPr>
          <w:lang w:bidi="ar-SA"/>
        </w:rPr>
        <w:t>powders),</w:t>
      </w:r>
      <w:r>
        <w:rPr>
          <w:lang w:bidi="ar-SA"/>
        </w:rPr>
        <w:t xml:space="preserve"> people who consumed weight management or meal replacement products, or people who didn’t eat </w:t>
      </w:r>
      <w:r w:rsidRPr="001972DF">
        <w:rPr>
          <w:lang w:bidi="ar-SA"/>
        </w:rPr>
        <w:t xml:space="preserve">meat (incl. poultry, seafoods &amp; game) or meat products (e.g. fish sauce)) </w:t>
      </w:r>
      <w:r>
        <w:rPr>
          <w:lang w:bidi="ar-SA"/>
        </w:rPr>
        <w:t>on the day of the survey. There was an insufficient number of consumers to derive a reliable estimate of L-carnitine intake from dietary supplements for New Zealand.</w:t>
      </w:r>
    </w:p>
    <w:p w14:paraId="26A3FD88" w14:textId="77777777" w:rsidR="00785714" w:rsidRDefault="00785714" w:rsidP="00785714">
      <w:pPr>
        <w:pStyle w:val="Heading5"/>
      </w:pPr>
      <w:r>
        <w:t>Dosage instructions on L-carnitine containing supplements on the market</w:t>
      </w:r>
    </w:p>
    <w:p w14:paraId="7C421794" w14:textId="1D7F8622" w:rsidR="00785714" w:rsidRDefault="00785714" w:rsidP="00785714">
      <w:pPr>
        <w:rPr>
          <w:lang w:bidi="ar-SA"/>
        </w:rPr>
      </w:pPr>
      <w:r>
        <w:rPr>
          <w:lang w:bidi="ar-SA"/>
        </w:rPr>
        <w:t>There is a range of dosages for L-carnitine containing supplements in tablet or capsule form that are on the market in Australia and New Zealand. These supplements are in the form of L-carnitine, acetyl L-carnitine and acetyl L-carnitine HCl. If the dosage instructions on these supplements is followed, L-carnitine intakes (expressed as L-carnitine) would be in the range of 336–2,046 mg per day. If the mid-point of the dosage ranges is assumed, the intake of L-carnitine (expressed as L-carnitine) would be around 1,500 mg/day. This differs to the intake of L-carnitine from supplements in the 2011-12 NNPAS. The intakes from the NNPAS were lower, however they were based on the average reported intakes across two survey days as opposed to daily label directions.</w:t>
      </w:r>
    </w:p>
    <w:p w14:paraId="0E8F8C6B" w14:textId="77777777" w:rsidR="00785714" w:rsidRPr="00A83B3C" w:rsidRDefault="00785714" w:rsidP="001B645D">
      <w:pPr>
        <w:pStyle w:val="Heading4"/>
        <w:ind w:left="0" w:firstLine="0"/>
      </w:pPr>
      <w:r>
        <w:t>Estima</w:t>
      </w:r>
      <w:r w:rsidRPr="00A83B3C">
        <w:t xml:space="preserve">ted population dietary </w:t>
      </w:r>
      <w:r>
        <w:t>intakes of L-carnitine, considering consumption of four serves of sports food / beverages per day</w:t>
      </w:r>
    </w:p>
    <w:p w14:paraId="340A9DE5" w14:textId="5B1F3209" w:rsidR="00785714" w:rsidRDefault="00785714" w:rsidP="00785714">
      <w:pPr>
        <w:rPr>
          <w:lang w:bidi="ar-SA"/>
        </w:rPr>
      </w:pPr>
      <w:r>
        <w:rPr>
          <w:lang w:bidi="ar-SA"/>
        </w:rPr>
        <w:t>The consumption of 2,000 mg L-carnitine from sports food/beverages per day was recommended by the Applicant, spread over four serves per day. In order to assess the L-carnitine intakes of Australian and New Zealand sports food/beverage consumers when the recommended amount of L-carnitine is consumed per day, a Baseline intake was estimated excluding the current contribution of these foods and weight management products and meal replacement products to L-carnitine dietary intakes (</w:t>
      </w:r>
      <w:r w:rsidRPr="002D22FD">
        <w:rPr>
          <w:i/>
          <w:lang w:bidi="ar-SA"/>
        </w:rPr>
        <w:t>‘Baseline (excluding sports and weight management foods</w:t>
      </w:r>
      <w:r>
        <w:rPr>
          <w:i/>
          <w:lang w:bidi="ar-SA"/>
        </w:rPr>
        <w:t>)</w:t>
      </w:r>
      <w:r w:rsidRPr="002D22FD">
        <w:rPr>
          <w:i/>
          <w:lang w:bidi="ar-SA"/>
        </w:rPr>
        <w:t>’</w:t>
      </w:r>
      <w:r>
        <w:rPr>
          <w:lang w:bidi="ar-SA"/>
        </w:rPr>
        <w:t xml:space="preserve"> scenario</w:t>
      </w:r>
      <w:r w:rsidRPr="002D22FD">
        <w:rPr>
          <w:lang w:bidi="ar-SA"/>
        </w:rPr>
        <w:t>)</w:t>
      </w:r>
      <w:r>
        <w:rPr>
          <w:lang w:bidi="ar-SA"/>
        </w:rPr>
        <w:t>. The recommended amount of L-carnitine was added to this alternate Baseline (</w:t>
      </w:r>
      <w:r>
        <w:rPr>
          <w:i/>
          <w:lang w:bidi="ar-SA"/>
        </w:rPr>
        <w:t>‘Recommended number of serves sports foods’</w:t>
      </w:r>
      <w:r>
        <w:rPr>
          <w:lang w:bidi="ar-SA"/>
        </w:rPr>
        <w:t xml:space="preserve"> Scenario). </w:t>
      </w:r>
      <w:r>
        <w:t>New Zealand children were not included in this evaluation as there were no consumers of sports foods in the 2002 NZNNS</w:t>
      </w:r>
      <w:r>
        <w:rPr>
          <w:lang w:bidi="ar-SA"/>
        </w:rPr>
        <w:t>.</w:t>
      </w:r>
    </w:p>
    <w:p w14:paraId="16581670" w14:textId="77777777" w:rsidR="00785714" w:rsidRDefault="00785714" w:rsidP="00785714">
      <w:pPr>
        <w:rPr>
          <w:lang w:bidi="ar-SA"/>
        </w:rPr>
      </w:pPr>
    </w:p>
    <w:p w14:paraId="4C617BA9" w14:textId="0A26E148" w:rsidR="00785714" w:rsidRPr="00BE58BC" w:rsidRDefault="00785714" w:rsidP="00785714">
      <w:pPr>
        <w:rPr>
          <w:lang w:bidi="ar-SA"/>
        </w:rPr>
      </w:pPr>
      <w:r>
        <w:rPr>
          <w:lang w:bidi="ar-SA"/>
        </w:rPr>
        <w:t xml:space="preserve">The </w:t>
      </w:r>
      <w:r w:rsidRPr="00B15FCE">
        <w:rPr>
          <w:i/>
          <w:lang w:bidi="ar-SA"/>
        </w:rPr>
        <w:t>‘Baseline (excluding sports and weight management foods</w:t>
      </w:r>
      <w:r>
        <w:rPr>
          <w:i/>
          <w:lang w:bidi="ar-SA"/>
        </w:rPr>
        <w:t>)</w:t>
      </w:r>
      <w:r w:rsidRPr="00B15FCE">
        <w:rPr>
          <w:i/>
          <w:lang w:bidi="ar-SA"/>
        </w:rPr>
        <w:t>’</w:t>
      </w:r>
      <w:r>
        <w:rPr>
          <w:i/>
          <w:lang w:bidi="ar-SA"/>
        </w:rPr>
        <w:t xml:space="preserve"> </w:t>
      </w:r>
      <w:r>
        <w:rPr>
          <w:lang w:bidi="ar-SA"/>
        </w:rPr>
        <w:t xml:space="preserve">estimated mean and P90 dietary intakes of L-carnitine are 76 </w:t>
      </w:r>
      <w:r w:rsidR="00FA0779">
        <w:rPr>
          <w:lang w:bidi="ar-SA"/>
        </w:rPr>
        <w:t xml:space="preserve">and 152 </w:t>
      </w:r>
      <w:r>
        <w:rPr>
          <w:lang w:bidi="ar-SA"/>
        </w:rPr>
        <w:t xml:space="preserve">mg/day for </w:t>
      </w:r>
      <w:r w:rsidR="00FA0779">
        <w:rPr>
          <w:lang w:bidi="ar-SA"/>
        </w:rPr>
        <w:t>Australia and</w:t>
      </w:r>
      <w:r>
        <w:rPr>
          <w:lang w:bidi="ar-SA"/>
        </w:rPr>
        <w:t xml:space="preserve"> 81 and 218 mg/day for New Zealand sports food / beverage consumers, respectively (see </w:t>
      </w:r>
      <w:r>
        <w:rPr>
          <w:lang w:bidi="ar-SA"/>
        </w:rPr>
        <w:fldChar w:fldCharType="begin"/>
      </w:r>
      <w:r>
        <w:rPr>
          <w:lang w:bidi="ar-SA"/>
        </w:rPr>
        <w:instrText xml:space="preserve"> REF _Ref514753244 \h  \* MERGEFORMAT </w:instrText>
      </w:r>
      <w:r>
        <w:rPr>
          <w:lang w:bidi="ar-SA"/>
        </w:rPr>
      </w:r>
      <w:r>
        <w:rPr>
          <w:lang w:bidi="ar-SA"/>
        </w:rPr>
        <w:fldChar w:fldCharType="separate"/>
      </w:r>
      <w:r w:rsidR="00872715">
        <w:t>Table 9</w:t>
      </w:r>
      <w:r>
        <w:rPr>
          <w:lang w:bidi="ar-SA"/>
        </w:rPr>
        <w:fldChar w:fldCharType="end"/>
      </w:r>
      <w:r>
        <w:rPr>
          <w:lang w:bidi="ar-SA"/>
        </w:rPr>
        <w:t xml:space="preserve">) under the </w:t>
      </w:r>
      <w:r>
        <w:rPr>
          <w:i/>
          <w:lang w:bidi="ar-SA"/>
        </w:rPr>
        <w:t>‘Recommended number of serves sports foods’</w:t>
      </w:r>
      <w:r>
        <w:rPr>
          <w:lang w:bidi="ar-SA"/>
        </w:rPr>
        <w:t xml:space="preserve"> scenario.</w:t>
      </w:r>
    </w:p>
    <w:p w14:paraId="52D1EC58" w14:textId="77777777" w:rsidR="00785714" w:rsidRDefault="00785714" w:rsidP="00785714">
      <w:pPr>
        <w:rPr>
          <w:lang w:bidi="ar-SA"/>
        </w:rPr>
      </w:pPr>
    </w:p>
    <w:p w14:paraId="5A64BFAA" w14:textId="77777777" w:rsidR="00785714" w:rsidRPr="002A0D47" w:rsidRDefault="00785714" w:rsidP="00785714">
      <w:pPr>
        <w:pStyle w:val="FSTableTitle"/>
        <w:keepNext/>
        <w:keepLines/>
        <w:widowControl/>
      </w:pPr>
      <w:bookmarkStart w:id="52" w:name="_Ref514753244"/>
      <w:r>
        <w:t>Table 9</w:t>
      </w:r>
      <w:bookmarkEnd w:id="52"/>
      <w:r>
        <w:t xml:space="preserve">: Estimated dietary intake of L-carnitine for Australian and New Zealand sports food / beverage consumers for the </w:t>
      </w:r>
      <w:r>
        <w:rPr>
          <w:i/>
        </w:rPr>
        <w:t xml:space="preserve">Baseline </w:t>
      </w:r>
      <w:r w:rsidRPr="003A65E1">
        <w:rPr>
          <w:i/>
        </w:rPr>
        <w:t>(excluding sports and weight management foods)</w:t>
      </w:r>
      <w:r>
        <w:rPr>
          <w:i/>
        </w:rPr>
        <w:t xml:space="preserve"> </w:t>
      </w:r>
      <w:r>
        <w:t xml:space="preserve">and </w:t>
      </w:r>
      <w:r w:rsidRPr="00D67A8C">
        <w:rPr>
          <w:i/>
        </w:rPr>
        <w:t>Recommended number of serves sports foods</w:t>
      </w:r>
      <w:r>
        <w:t xml:space="preserve"> scenarios</w:t>
      </w:r>
    </w:p>
    <w:tbl>
      <w:tblPr>
        <w:tblW w:w="9606" w:type="dxa"/>
        <w:tblLayout w:type="fixed"/>
        <w:tblLook w:val="04A0" w:firstRow="1" w:lastRow="0" w:firstColumn="1" w:lastColumn="0" w:noHBand="0" w:noVBand="1"/>
        <w:tblDescription w:val="Table of estimated mean and P90 dietary intakes of L-carnitine for Australian and New Z3aland population groups for the Baseline, Sport food increase and Consumer behaviour scenarios. The number of consumers in each population group is also listed."/>
      </w:tblPr>
      <w:tblGrid>
        <w:gridCol w:w="1318"/>
        <w:gridCol w:w="1319"/>
        <w:gridCol w:w="1157"/>
        <w:gridCol w:w="1688"/>
        <w:gridCol w:w="1430"/>
        <w:gridCol w:w="1560"/>
        <w:gridCol w:w="1134"/>
      </w:tblGrid>
      <w:tr w:rsidR="00785714" w:rsidRPr="00B83846" w14:paraId="5EDBC24E" w14:textId="77777777" w:rsidTr="00811A8E">
        <w:trPr>
          <w:cantSplit/>
          <w:trHeight w:val="334"/>
          <w:tblHeader/>
        </w:trPr>
        <w:tc>
          <w:tcPr>
            <w:tcW w:w="1318" w:type="dxa"/>
            <w:vMerge w:val="restart"/>
            <w:tcBorders>
              <w:top w:val="single" w:sz="4" w:space="0" w:color="auto"/>
              <w:left w:val="single" w:sz="4" w:space="0" w:color="auto"/>
              <w:right w:val="single" w:sz="4" w:space="0" w:color="auto"/>
            </w:tcBorders>
            <w:shd w:val="clear" w:color="auto" w:fill="auto"/>
            <w:vAlign w:val="center"/>
          </w:tcPr>
          <w:p w14:paraId="6619B279" w14:textId="77777777" w:rsidR="00785714" w:rsidRPr="0067672F" w:rsidRDefault="00785714" w:rsidP="00811A8E">
            <w:pPr>
              <w:keepNext/>
              <w:keepLines/>
              <w:widowControl/>
              <w:spacing w:before="40" w:after="40"/>
              <w:rPr>
                <w:rFonts w:cs="Arial"/>
                <w:b/>
                <w:bCs/>
                <w:color w:val="000000"/>
                <w:sz w:val="18"/>
                <w:szCs w:val="18"/>
                <w:lang w:eastAsia="en-GB" w:bidi="ar-SA"/>
              </w:rPr>
            </w:pPr>
            <w:r w:rsidRPr="0067672F">
              <w:rPr>
                <w:rFonts w:cs="Arial"/>
                <w:b/>
                <w:bCs/>
                <w:color w:val="000000"/>
                <w:sz w:val="18"/>
                <w:szCs w:val="18"/>
                <w:lang w:eastAsia="en-GB" w:bidi="ar-SA"/>
              </w:rPr>
              <w:t>Country</w:t>
            </w:r>
          </w:p>
        </w:tc>
        <w:tc>
          <w:tcPr>
            <w:tcW w:w="1319" w:type="dxa"/>
            <w:vMerge w:val="restart"/>
            <w:tcBorders>
              <w:top w:val="single" w:sz="4" w:space="0" w:color="auto"/>
              <w:left w:val="nil"/>
              <w:right w:val="single" w:sz="4" w:space="0" w:color="auto"/>
            </w:tcBorders>
            <w:shd w:val="clear" w:color="auto" w:fill="auto"/>
            <w:vAlign w:val="center"/>
          </w:tcPr>
          <w:p w14:paraId="02E0C45F" w14:textId="77777777" w:rsidR="00785714" w:rsidRPr="0067672F" w:rsidRDefault="00785714" w:rsidP="00811A8E">
            <w:pPr>
              <w:keepNext/>
              <w:keepLines/>
              <w:widowControl/>
              <w:spacing w:before="40" w:after="40"/>
              <w:rPr>
                <w:rFonts w:cs="Arial"/>
                <w:b/>
                <w:bCs/>
                <w:color w:val="000000"/>
                <w:sz w:val="18"/>
                <w:szCs w:val="18"/>
                <w:lang w:eastAsia="en-GB" w:bidi="ar-SA"/>
              </w:rPr>
            </w:pPr>
            <w:r w:rsidRPr="0067672F">
              <w:rPr>
                <w:rFonts w:cs="Arial"/>
                <w:b/>
                <w:bCs/>
                <w:color w:val="000000"/>
                <w:sz w:val="18"/>
                <w:szCs w:val="18"/>
                <w:lang w:eastAsia="en-GB" w:bidi="ar-SA"/>
              </w:rPr>
              <w:t>Age Group</w:t>
            </w:r>
          </w:p>
        </w:tc>
        <w:tc>
          <w:tcPr>
            <w:tcW w:w="1157" w:type="dxa"/>
            <w:vMerge w:val="restart"/>
            <w:tcBorders>
              <w:top w:val="single" w:sz="4" w:space="0" w:color="auto"/>
              <w:left w:val="nil"/>
              <w:right w:val="single" w:sz="4" w:space="0" w:color="auto"/>
            </w:tcBorders>
            <w:vAlign w:val="center"/>
          </w:tcPr>
          <w:p w14:paraId="03DA2005" w14:textId="77777777" w:rsidR="00785714" w:rsidRPr="0067672F" w:rsidRDefault="00785714" w:rsidP="00811A8E">
            <w:pPr>
              <w:keepNext/>
              <w:keepLines/>
              <w:widowControl/>
              <w:spacing w:before="40" w:after="40"/>
              <w:jc w:val="center"/>
              <w:rPr>
                <w:rFonts w:cs="Arial"/>
                <w:b/>
                <w:bCs/>
                <w:color w:val="000000"/>
                <w:sz w:val="18"/>
                <w:szCs w:val="18"/>
                <w:lang w:eastAsia="en-GB" w:bidi="ar-SA"/>
              </w:rPr>
            </w:pPr>
            <w:r w:rsidRPr="0067672F">
              <w:rPr>
                <w:rFonts w:cs="Arial"/>
                <w:b/>
                <w:bCs/>
                <w:color w:val="000000"/>
                <w:sz w:val="18"/>
                <w:szCs w:val="18"/>
                <w:lang w:eastAsia="en-GB" w:bidi="ar-SA"/>
              </w:rPr>
              <w:t>No. of Sports Food / Beverage Consumer</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B1970" w14:textId="77777777" w:rsidR="00785714" w:rsidRPr="0067672F" w:rsidRDefault="00785714" w:rsidP="00811A8E">
            <w:pPr>
              <w:keepNext/>
              <w:keepLines/>
              <w:widowControl/>
              <w:spacing w:before="40" w:after="40"/>
              <w:jc w:val="center"/>
              <w:rPr>
                <w:rFonts w:cs="Arial"/>
                <w:b/>
                <w:bCs/>
                <w:color w:val="000000"/>
                <w:sz w:val="18"/>
                <w:szCs w:val="18"/>
                <w:lang w:eastAsia="en-GB" w:bidi="ar-SA"/>
              </w:rPr>
            </w:pPr>
            <w:r w:rsidRPr="0067672F">
              <w:rPr>
                <w:rFonts w:cs="Arial"/>
                <w:b/>
                <w:bCs/>
                <w:color w:val="000000"/>
                <w:sz w:val="18"/>
                <w:szCs w:val="18"/>
                <w:lang w:eastAsia="en-GB" w:bidi="ar-SA"/>
              </w:rPr>
              <w:t>Estimated dietary intake of L-Carnitine (mg/day)</w:t>
            </w:r>
          </w:p>
        </w:tc>
      </w:tr>
      <w:tr w:rsidR="00785714" w:rsidRPr="00B83846" w14:paraId="52ABC990" w14:textId="77777777" w:rsidTr="00811A8E">
        <w:trPr>
          <w:cantSplit/>
          <w:tblHeader/>
        </w:trPr>
        <w:tc>
          <w:tcPr>
            <w:tcW w:w="1318" w:type="dxa"/>
            <w:vMerge/>
            <w:tcBorders>
              <w:left w:val="single" w:sz="4" w:space="0" w:color="auto"/>
              <w:right w:val="single" w:sz="4" w:space="0" w:color="auto"/>
            </w:tcBorders>
            <w:shd w:val="clear" w:color="auto" w:fill="auto"/>
            <w:vAlign w:val="center"/>
            <w:hideMark/>
          </w:tcPr>
          <w:p w14:paraId="2FBA1915" w14:textId="77777777" w:rsidR="00785714" w:rsidRPr="0067672F" w:rsidRDefault="00785714" w:rsidP="00811A8E">
            <w:pPr>
              <w:keepNext/>
              <w:keepLines/>
              <w:widowControl/>
              <w:spacing w:before="40" w:after="40"/>
              <w:rPr>
                <w:rFonts w:cs="Arial"/>
                <w:b/>
                <w:bCs/>
                <w:color w:val="000000"/>
                <w:sz w:val="18"/>
                <w:szCs w:val="18"/>
                <w:lang w:eastAsia="en-GB" w:bidi="ar-SA"/>
              </w:rPr>
            </w:pPr>
          </w:p>
        </w:tc>
        <w:tc>
          <w:tcPr>
            <w:tcW w:w="1319" w:type="dxa"/>
            <w:vMerge/>
            <w:tcBorders>
              <w:left w:val="nil"/>
              <w:right w:val="single" w:sz="4" w:space="0" w:color="auto"/>
            </w:tcBorders>
            <w:shd w:val="clear" w:color="auto" w:fill="auto"/>
            <w:vAlign w:val="center"/>
            <w:hideMark/>
          </w:tcPr>
          <w:p w14:paraId="1160FFF1" w14:textId="77777777" w:rsidR="00785714" w:rsidRPr="0067672F" w:rsidRDefault="00785714" w:rsidP="00811A8E">
            <w:pPr>
              <w:keepNext/>
              <w:keepLines/>
              <w:widowControl/>
              <w:spacing w:before="40" w:after="40"/>
              <w:rPr>
                <w:rFonts w:cs="Arial"/>
                <w:b/>
                <w:bCs/>
                <w:color w:val="000000"/>
                <w:sz w:val="18"/>
                <w:szCs w:val="18"/>
                <w:lang w:eastAsia="en-GB" w:bidi="ar-SA"/>
              </w:rPr>
            </w:pPr>
          </w:p>
        </w:tc>
        <w:tc>
          <w:tcPr>
            <w:tcW w:w="1157" w:type="dxa"/>
            <w:vMerge/>
            <w:tcBorders>
              <w:left w:val="nil"/>
              <w:right w:val="single" w:sz="4" w:space="0" w:color="auto"/>
            </w:tcBorders>
            <w:shd w:val="clear" w:color="auto" w:fill="auto"/>
            <w:noWrap/>
            <w:vAlign w:val="center"/>
            <w:hideMark/>
          </w:tcPr>
          <w:p w14:paraId="514774B3" w14:textId="77777777" w:rsidR="00785714" w:rsidRPr="0067672F" w:rsidRDefault="00785714" w:rsidP="00811A8E">
            <w:pPr>
              <w:keepNext/>
              <w:keepLines/>
              <w:widowControl/>
              <w:spacing w:before="40" w:after="40"/>
              <w:rPr>
                <w:rFonts w:cs="Arial"/>
                <w:b/>
                <w:bCs/>
                <w:color w:val="000000"/>
                <w:sz w:val="18"/>
                <w:szCs w:val="18"/>
                <w:lang w:eastAsia="en-GB" w:bidi="ar-SA"/>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4E10D" w14:textId="77777777" w:rsidR="00785714" w:rsidRPr="0067672F" w:rsidRDefault="00785714" w:rsidP="00811A8E">
            <w:pPr>
              <w:keepNext/>
              <w:keepLines/>
              <w:widowControl/>
              <w:spacing w:before="40" w:after="40"/>
              <w:jc w:val="center"/>
              <w:rPr>
                <w:rFonts w:cs="Arial"/>
                <w:b/>
                <w:bCs/>
                <w:color w:val="000000"/>
                <w:sz w:val="18"/>
                <w:szCs w:val="18"/>
                <w:lang w:eastAsia="en-GB" w:bidi="ar-SA"/>
              </w:rPr>
            </w:pPr>
            <w:r w:rsidRPr="0067672F">
              <w:rPr>
                <w:rFonts w:cs="Arial"/>
                <w:b/>
                <w:bCs/>
                <w:color w:val="000000"/>
                <w:sz w:val="18"/>
                <w:szCs w:val="18"/>
                <w:lang w:eastAsia="en-GB" w:bidi="ar-SA"/>
              </w:rPr>
              <w:t>Mean</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A8A62" w14:textId="77777777" w:rsidR="00785714" w:rsidRPr="0067672F" w:rsidRDefault="00785714" w:rsidP="00811A8E">
            <w:pPr>
              <w:keepNext/>
              <w:keepLines/>
              <w:widowControl/>
              <w:spacing w:before="40" w:after="40"/>
              <w:jc w:val="center"/>
              <w:rPr>
                <w:rFonts w:cs="Arial"/>
                <w:b/>
                <w:bCs/>
                <w:color w:val="000000"/>
                <w:sz w:val="18"/>
                <w:szCs w:val="18"/>
                <w:lang w:eastAsia="en-GB" w:bidi="ar-SA"/>
              </w:rPr>
            </w:pPr>
            <w:r w:rsidRPr="0067672F">
              <w:rPr>
                <w:rFonts w:cs="Arial"/>
                <w:b/>
                <w:bCs/>
                <w:color w:val="000000"/>
                <w:sz w:val="18"/>
                <w:szCs w:val="18"/>
                <w:lang w:eastAsia="en-GB" w:bidi="ar-SA"/>
              </w:rPr>
              <w:t>P90</w:t>
            </w:r>
          </w:p>
        </w:tc>
      </w:tr>
      <w:tr w:rsidR="00785714" w:rsidRPr="00B83846" w14:paraId="1AE27625" w14:textId="77777777" w:rsidTr="00811A8E">
        <w:trPr>
          <w:cantSplit/>
          <w:tblHeader/>
        </w:trPr>
        <w:tc>
          <w:tcPr>
            <w:tcW w:w="1318" w:type="dxa"/>
            <w:vMerge/>
            <w:tcBorders>
              <w:left w:val="single" w:sz="4" w:space="0" w:color="auto"/>
              <w:bottom w:val="single" w:sz="4" w:space="0" w:color="auto"/>
              <w:right w:val="single" w:sz="4" w:space="0" w:color="auto"/>
            </w:tcBorders>
            <w:shd w:val="clear" w:color="auto" w:fill="auto"/>
            <w:vAlign w:val="center"/>
          </w:tcPr>
          <w:p w14:paraId="23606BD0" w14:textId="77777777" w:rsidR="00785714" w:rsidRPr="0067672F" w:rsidRDefault="00785714" w:rsidP="00811A8E">
            <w:pPr>
              <w:keepNext/>
              <w:keepLines/>
              <w:widowControl/>
              <w:spacing w:before="40" w:after="40"/>
              <w:rPr>
                <w:rFonts w:cs="Arial"/>
                <w:b/>
                <w:bCs/>
                <w:color w:val="000000"/>
                <w:sz w:val="18"/>
                <w:szCs w:val="18"/>
                <w:lang w:eastAsia="en-GB" w:bidi="ar-SA"/>
              </w:rPr>
            </w:pPr>
          </w:p>
        </w:tc>
        <w:tc>
          <w:tcPr>
            <w:tcW w:w="1319" w:type="dxa"/>
            <w:vMerge/>
            <w:tcBorders>
              <w:left w:val="nil"/>
              <w:bottom w:val="single" w:sz="4" w:space="0" w:color="auto"/>
              <w:right w:val="single" w:sz="4" w:space="0" w:color="auto"/>
            </w:tcBorders>
            <w:shd w:val="clear" w:color="auto" w:fill="auto"/>
            <w:vAlign w:val="center"/>
          </w:tcPr>
          <w:p w14:paraId="4514BD84" w14:textId="77777777" w:rsidR="00785714" w:rsidRPr="0067672F" w:rsidRDefault="00785714" w:rsidP="00811A8E">
            <w:pPr>
              <w:keepNext/>
              <w:keepLines/>
              <w:widowControl/>
              <w:spacing w:before="40" w:after="40"/>
              <w:rPr>
                <w:rFonts w:cs="Arial"/>
                <w:b/>
                <w:bCs/>
                <w:color w:val="000000"/>
                <w:sz w:val="18"/>
                <w:szCs w:val="18"/>
                <w:lang w:eastAsia="en-GB" w:bidi="ar-SA"/>
              </w:rPr>
            </w:pPr>
          </w:p>
        </w:tc>
        <w:tc>
          <w:tcPr>
            <w:tcW w:w="1157" w:type="dxa"/>
            <w:vMerge/>
            <w:tcBorders>
              <w:left w:val="nil"/>
              <w:bottom w:val="single" w:sz="4" w:space="0" w:color="auto"/>
              <w:right w:val="single" w:sz="4" w:space="0" w:color="auto"/>
            </w:tcBorders>
            <w:shd w:val="clear" w:color="auto" w:fill="auto"/>
            <w:noWrap/>
            <w:vAlign w:val="center"/>
            <w:hideMark/>
          </w:tcPr>
          <w:p w14:paraId="47B73836" w14:textId="77777777" w:rsidR="00785714" w:rsidRPr="0067672F" w:rsidRDefault="00785714" w:rsidP="00811A8E">
            <w:pPr>
              <w:keepNext/>
              <w:keepLines/>
              <w:widowControl/>
              <w:spacing w:before="40" w:after="40"/>
              <w:jc w:val="center"/>
              <w:rPr>
                <w:rFonts w:cs="Arial"/>
                <w:b/>
                <w:bCs/>
                <w:color w:val="000000"/>
                <w:sz w:val="18"/>
                <w:szCs w:val="18"/>
                <w:lang w:eastAsia="en-GB" w:bidi="ar-SA"/>
              </w:rPr>
            </w:pPr>
          </w:p>
        </w:tc>
        <w:tc>
          <w:tcPr>
            <w:tcW w:w="1688" w:type="dxa"/>
            <w:tcBorders>
              <w:top w:val="nil"/>
              <w:left w:val="nil"/>
              <w:bottom w:val="single" w:sz="4" w:space="0" w:color="auto"/>
              <w:right w:val="single" w:sz="4" w:space="0" w:color="auto"/>
            </w:tcBorders>
            <w:shd w:val="clear" w:color="auto" w:fill="auto"/>
            <w:vAlign w:val="center"/>
            <w:hideMark/>
          </w:tcPr>
          <w:p w14:paraId="5AF43F7D" w14:textId="77777777" w:rsidR="00785714" w:rsidRPr="00BE58BC" w:rsidRDefault="00785714" w:rsidP="00811A8E">
            <w:pPr>
              <w:keepNext/>
              <w:keepLines/>
              <w:widowControl/>
              <w:spacing w:before="40" w:after="40"/>
              <w:jc w:val="center"/>
              <w:rPr>
                <w:rFonts w:cs="Arial"/>
                <w:b/>
                <w:bCs/>
                <w:i/>
                <w:color w:val="000000"/>
                <w:sz w:val="18"/>
                <w:szCs w:val="18"/>
                <w:lang w:eastAsia="en-GB" w:bidi="ar-SA"/>
              </w:rPr>
            </w:pPr>
            <w:r w:rsidRPr="00BE58BC">
              <w:rPr>
                <w:rFonts w:cs="Arial"/>
                <w:b/>
                <w:bCs/>
                <w:i/>
                <w:color w:val="000000"/>
                <w:sz w:val="18"/>
                <w:szCs w:val="18"/>
                <w:lang w:eastAsia="en-GB" w:bidi="ar-SA"/>
              </w:rPr>
              <w:t>Baseline (excluding sports and weight management foods)</w:t>
            </w:r>
          </w:p>
        </w:tc>
        <w:tc>
          <w:tcPr>
            <w:tcW w:w="1430" w:type="dxa"/>
            <w:tcBorders>
              <w:top w:val="single" w:sz="4" w:space="0" w:color="auto"/>
              <w:left w:val="nil"/>
              <w:bottom w:val="single" w:sz="4" w:space="0" w:color="auto"/>
              <w:right w:val="single" w:sz="4" w:space="0" w:color="auto"/>
            </w:tcBorders>
            <w:vAlign w:val="center"/>
          </w:tcPr>
          <w:p w14:paraId="67349060" w14:textId="762D4C26" w:rsidR="00785714" w:rsidRPr="00D67A8C" w:rsidRDefault="00785714" w:rsidP="00811A8E">
            <w:pPr>
              <w:keepNext/>
              <w:keepLines/>
              <w:widowControl/>
              <w:spacing w:before="40" w:after="40"/>
              <w:jc w:val="center"/>
              <w:rPr>
                <w:rFonts w:cs="Arial"/>
                <w:b/>
                <w:bCs/>
                <w:i/>
                <w:color w:val="000000"/>
                <w:sz w:val="18"/>
                <w:szCs w:val="18"/>
                <w:lang w:eastAsia="en-GB" w:bidi="ar-SA"/>
              </w:rPr>
            </w:pPr>
            <w:r w:rsidRPr="00D67A8C">
              <w:rPr>
                <w:rFonts w:cs="Arial"/>
                <w:b/>
                <w:bCs/>
                <w:i/>
                <w:color w:val="000000"/>
                <w:sz w:val="18"/>
                <w:szCs w:val="18"/>
                <w:lang w:eastAsia="en-GB" w:bidi="ar-SA"/>
              </w:rPr>
              <w:t>Recomm</w:t>
            </w:r>
            <w:r w:rsidRPr="0067672F">
              <w:rPr>
                <w:rFonts w:cs="Arial"/>
                <w:b/>
                <w:bCs/>
                <w:i/>
                <w:color w:val="000000"/>
                <w:sz w:val="18"/>
                <w:szCs w:val="18"/>
                <w:lang w:eastAsia="en-GB" w:bidi="ar-SA"/>
              </w:rPr>
              <w:t>. no. of</w:t>
            </w:r>
            <w:r w:rsidRPr="00D67A8C">
              <w:rPr>
                <w:rFonts w:cs="Arial"/>
                <w:b/>
                <w:bCs/>
                <w:i/>
                <w:color w:val="000000"/>
                <w:sz w:val="18"/>
                <w:szCs w:val="18"/>
                <w:lang w:eastAsia="en-GB" w:bidi="ar-SA"/>
              </w:rPr>
              <w:t xml:space="preserve"> serves sports foods</w:t>
            </w:r>
            <w:r w:rsidR="00750EFD">
              <w:rPr>
                <w:rFonts w:cs="Arial"/>
                <w:b/>
                <w:bCs/>
                <w:i/>
                <w:color w:val="000000"/>
                <w:sz w:val="18"/>
                <w:szCs w:val="18"/>
                <w:lang w:eastAsia="en-GB" w:bidi="ar-SA"/>
              </w:rPr>
              <w:t xml:space="preserve"> = 2g/day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39747" w14:textId="77777777" w:rsidR="00785714" w:rsidRPr="00D67A8C" w:rsidRDefault="00785714" w:rsidP="00811A8E">
            <w:pPr>
              <w:keepNext/>
              <w:keepLines/>
              <w:widowControl/>
              <w:spacing w:before="40" w:after="40"/>
              <w:jc w:val="center"/>
              <w:rPr>
                <w:rFonts w:cs="Arial"/>
                <w:b/>
                <w:bCs/>
                <w:i/>
                <w:color w:val="000000"/>
                <w:sz w:val="18"/>
                <w:szCs w:val="18"/>
                <w:lang w:eastAsia="en-GB" w:bidi="ar-SA"/>
              </w:rPr>
            </w:pPr>
            <w:r w:rsidRPr="00D67A8C">
              <w:rPr>
                <w:rFonts w:cs="Arial"/>
                <w:b/>
                <w:bCs/>
                <w:i/>
                <w:color w:val="000000"/>
                <w:sz w:val="18"/>
                <w:szCs w:val="18"/>
                <w:lang w:eastAsia="en-GB" w:bidi="ar-SA"/>
              </w:rPr>
              <w:t>Baseline (excluding sports and weight management foods)</w:t>
            </w:r>
          </w:p>
        </w:tc>
        <w:tc>
          <w:tcPr>
            <w:tcW w:w="1134" w:type="dxa"/>
            <w:tcBorders>
              <w:top w:val="single" w:sz="4" w:space="0" w:color="auto"/>
              <w:left w:val="single" w:sz="4" w:space="0" w:color="auto"/>
              <w:bottom w:val="single" w:sz="4" w:space="0" w:color="auto"/>
              <w:right w:val="single" w:sz="4" w:space="0" w:color="auto"/>
            </w:tcBorders>
            <w:vAlign w:val="center"/>
          </w:tcPr>
          <w:p w14:paraId="471F67EB" w14:textId="2E8A1E00" w:rsidR="00785714" w:rsidRPr="00BE58BC" w:rsidRDefault="00785714" w:rsidP="00811A8E">
            <w:pPr>
              <w:keepNext/>
              <w:keepLines/>
              <w:widowControl/>
              <w:spacing w:before="40" w:after="40"/>
              <w:jc w:val="center"/>
              <w:rPr>
                <w:rFonts w:cs="Arial"/>
                <w:b/>
                <w:bCs/>
                <w:i/>
                <w:color w:val="000000"/>
                <w:sz w:val="18"/>
                <w:szCs w:val="18"/>
                <w:lang w:eastAsia="en-GB" w:bidi="ar-SA"/>
              </w:rPr>
            </w:pPr>
            <w:r w:rsidRPr="0067672F">
              <w:rPr>
                <w:rFonts w:cs="Arial"/>
                <w:b/>
                <w:bCs/>
                <w:i/>
                <w:color w:val="000000"/>
                <w:sz w:val="18"/>
                <w:szCs w:val="18"/>
                <w:lang w:eastAsia="en-GB" w:bidi="ar-SA"/>
              </w:rPr>
              <w:t>Recomm. no. of serves sports foods</w:t>
            </w:r>
            <w:r w:rsidR="00750EFD">
              <w:rPr>
                <w:rFonts w:cs="Arial"/>
                <w:b/>
                <w:bCs/>
                <w:i/>
                <w:color w:val="000000"/>
                <w:sz w:val="18"/>
                <w:szCs w:val="18"/>
                <w:lang w:eastAsia="en-GB" w:bidi="ar-SA"/>
              </w:rPr>
              <w:t xml:space="preserve"> = 2g/day</w:t>
            </w:r>
          </w:p>
        </w:tc>
      </w:tr>
      <w:tr w:rsidR="00785714" w:rsidRPr="00B83846" w14:paraId="794A9420" w14:textId="77777777" w:rsidTr="00811A8E">
        <w:trPr>
          <w:cantSplit/>
        </w:trPr>
        <w:tc>
          <w:tcPr>
            <w:tcW w:w="1318" w:type="dxa"/>
            <w:tcBorders>
              <w:top w:val="single" w:sz="4" w:space="0" w:color="auto"/>
              <w:left w:val="single" w:sz="4" w:space="0" w:color="auto"/>
              <w:right w:val="single" w:sz="4" w:space="0" w:color="auto"/>
            </w:tcBorders>
            <w:shd w:val="clear" w:color="auto" w:fill="auto"/>
            <w:vAlign w:val="center"/>
            <w:hideMark/>
          </w:tcPr>
          <w:p w14:paraId="7CDB1FC3" w14:textId="77777777" w:rsidR="00785714" w:rsidRPr="0067672F" w:rsidRDefault="00785714" w:rsidP="00811A8E">
            <w:pPr>
              <w:keepNext/>
              <w:keepLines/>
              <w:widowControl/>
              <w:spacing w:before="40" w:after="40"/>
              <w:rPr>
                <w:rFonts w:cs="Arial"/>
                <w:color w:val="000000"/>
                <w:sz w:val="18"/>
                <w:szCs w:val="18"/>
                <w:lang w:eastAsia="en-GB" w:bidi="ar-SA"/>
              </w:rPr>
            </w:pPr>
            <w:r w:rsidRPr="0067672F">
              <w:rPr>
                <w:rFonts w:cs="Arial"/>
                <w:color w:val="000000"/>
                <w:sz w:val="18"/>
                <w:szCs w:val="18"/>
                <w:lang w:eastAsia="en-GB" w:bidi="ar-SA"/>
              </w:rPr>
              <w:t>Australia</w:t>
            </w:r>
            <w:r w:rsidRPr="0067672F">
              <w:rPr>
                <w:rFonts w:cs="Arial"/>
                <w:sz w:val="18"/>
                <w:szCs w:val="18"/>
                <w:vertAlign w:val="superscript"/>
              </w:rPr>
              <w:sym w:font="Wingdings" w:char="F076"/>
            </w:r>
          </w:p>
        </w:tc>
        <w:tc>
          <w:tcPr>
            <w:tcW w:w="1319" w:type="dxa"/>
            <w:tcBorders>
              <w:top w:val="nil"/>
              <w:left w:val="nil"/>
              <w:bottom w:val="single" w:sz="4" w:space="0" w:color="auto"/>
              <w:right w:val="single" w:sz="4" w:space="0" w:color="auto"/>
            </w:tcBorders>
            <w:shd w:val="clear" w:color="auto" w:fill="auto"/>
            <w:vAlign w:val="center"/>
            <w:hideMark/>
          </w:tcPr>
          <w:p w14:paraId="7D5E7020" w14:textId="77777777" w:rsidR="00785714" w:rsidRPr="0067672F" w:rsidRDefault="00785714" w:rsidP="00811A8E">
            <w:pPr>
              <w:keepNext/>
              <w:keepLines/>
              <w:widowControl/>
              <w:spacing w:before="40" w:after="40"/>
              <w:rPr>
                <w:rFonts w:cs="Arial"/>
                <w:color w:val="000000"/>
                <w:sz w:val="18"/>
                <w:szCs w:val="18"/>
                <w:lang w:eastAsia="en-GB" w:bidi="ar-SA"/>
              </w:rPr>
            </w:pPr>
            <w:r w:rsidRPr="0067672F">
              <w:rPr>
                <w:rFonts w:cs="Arial"/>
                <w:color w:val="000000"/>
                <w:sz w:val="18"/>
                <w:szCs w:val="18"/>
                <w:lang w:eastAsia="en-GB" w:bidi="ar-SA"/>
              </w:rPr>
              <w:t>2 years and above</w:t>
            </w:r>
          </w:p>
        </w:tc>
        <w:tc>
          <w:tcPr>
            <w:tcW w:w="1157" w:type="dxa"/>
            <w:tcBorders>
              <w:top w:val="nil"/>
              <w:left w:val="nil"/>
              <w:bottom w:val="single" w:sz="4" w:space="0" w:color="auto"/>
              <w:right w:val="single" w:sz="4" w:space="0" w:color="auto"/>
            </w:tcBorders>
            <w:shd w:val="clear" w:color="auto" w:fill="auto"/>
            <w:noWrap/>
            <w:vAlign w:val="center"/>
          </w:tcPr>
          <w:p w14:paraId="2B00783B" w14:textId="77777777" w:rsidR="00785714" w:rsidRPr="0067672F" w:rsidRDefault="00785714" w:rsidP="00811A8E">
            <w:pPr>
              <w:keepNext/>
              <w:keepLines/>
              <w:widowControl/>
              <w:tabs>
                <w:tab w:val="decimal" w:pos="622"/>
              </w:tabs>
              <w:spacing w:before="40" w:after="40"/>
              <w:rPr>
                <w:rFonts w:cs="Arial"/>
                <w:color w:val="000000"/>
                <w:sz w:val="18"/>
                <w:szCs w:val="18"/>
                <w:lang w:eastAsia="en-GB" w:bidi="ar-SA"/>
              </w:rPr>
            </w:pPr>
            <w:r w:rsidRPr="0067672F">
              <w:rPr>
                <w:rFonts w:cs="Arial"/>
                <w:color w:val="000000"/>
                <w:sz w:val="18"/>
                <w:szCs w:val="18"/>
              </w:rPr>
              <w:t>419</w:t>
            </w:r>
          </w:p>
        </w:tc>
        <w:tc>
          <w:tcPr>
            <w:tcW w:w="1688" w:type="dxa"/>
            <w:tcBorders>
              <w:top w:val="nil"/>
              <w:left w:val="nil"/>
              <w:bottom w:val="single" w:sz="4" w:space="0" w:color="auto"/>
              <w:right w:val="single" w:sz="4" w:space="0" w:color="auto"/>
            </w:tcBorders>
            <w:shd w:val="clear" w:color="auto" w:fill="auto"/>
            <w:noWrap/>
            <w:vAlign w:val="center"/>
          </w:tcPr>
          <w:p w14:paraId="4C114BF8" w14:textId="77777777" w:rsidR="00785714" w:rsidRPr="002A0D47" w:rsidRDefault="00785714" w:rsidP="00811A8E">
            <w:pPr>
              <w:keepNext/>
              <w:keepLines/>
              <w:widowControl/>
              <w:tabs>
                <w:tab w:val="decimal" w:pos="794"/>
              </w:tabs>
              <w:spacing w:before="40" w:after="40"/>
              <w:rPr>
                <w:rFonts w:cs="Arial"/>
                <w:color w:val="000000"/>
                <w:sz w:val="18"/>
                <w:szCs w:val="18"/>
                <w:lang w:eastAsia="en-GB" w:bidi="ar-SA"/>
              </w:rPr>
            </w:pPr>
            <w:r w:rsidRPr="002A0D47">
              <w:rPr>
                <w:rFonts w:cs="Arial"/>
                <w:color w:val="000000"/>
                <w:sz w:val="18"/>
                <w:szCs w:val="18"/>
                <w:lang w:eastAsia="en-GB" w:bidi="ar-SA"/>
              </w:rPr>
              <w:t>76</w:t>
            </w:r>
          </w:p>
        </w:tc>
        <w:tc>
          <w:tcPr>
            <w:tcW w:w="1430" w:type="dxa"/>
            <w:tcBorders>
              <w:top w:val="single" w:sz="4" w:space="0" w:color="auto"/>
              <w:left w:val="nil"/>
              <w:bottom w:val="single" w:sz="4" w:space="0" w:color="auto"/>
              <w:right w:val="single" w:sz="4" w:space="0" w:color="auto"/>
            </w:tcBorders>
            <w:vAlign w:val="center"/>
          </w:tcPr>
          <w:p w14:paraId="4E9C4F72" w14:textId="77777777" w:rsidR="00785714" w:rsidRPr="002A0D47" w:rsidRDefault="00785714" w:rsidP="00811A8E">
            <w:pPr>
              <w:keepNext/>
              <w:keepLines/>
              <w:widowControl/>
              <w:tabs>
                <w:tab w:val="decimal" w:pos="794"/>
              </w:tabs>
              <w:rPr>
                <w:rFonts w:cs="Arial"/>
                <w:color w:val="000000"/>
                <w:sz w:val="18"/>
                <w:szCs w:val="18"/>
              </w:rPr>
            </w:pPr>
            <w:r w:rsidRPr="002A0D47">
              <w:rPr>
                <w:rFonts w:cs="Arial"/>
                <w:color w:val="000000"/>
                <w:sz w:val="18"/>
                <w:szCs w:val="18"/>
              </w:rPr>
              <w:t>2,076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0A6E6" w14:textId="77777777" w:rsidR="00785714" w:rsidRPr="002A0D47" w:rsidRDefault="00785714" w:rsidP="00811A8E">
            <w:pPr>
              <w:keepNext/>
              <w:keepLines/>
              <w:widowControl/>
              <w:tabs>
                <w:tab w:val="decimal" w:pos="794"/>
              </w:tabs>
              <w:rPr>
                <w:rFonts w:cs="Arial"/>
                <w:color w:val="000000"/>
                <w:sz w:val="18"/>
                <w:szCs w:val="18"/>
                <w:lang w:eastAsia="en-GB" w:bidi="ar-SA"/>
              </w:rPr>
            </w:pPr>
            <w:r>
              <w:rPr>
                <w:rFonts w:cs="Arial"/>
                <w:color w:val="000000"/>
                <w:sz w:val="18"/>
                <w:szCs w:val="18"/>
                <w:lang w:eastAsia="en-GB" w:bidi="ar-SA"/>
              </w:rPr>
              <w:t>152</w:t>
            </w:r>
          </w:p>
        </w:tc>
        <w:tc>
          <w:tcPr>
            <w:tcW w:w="1134" w:type="dxa"/>
            <w:tcBorders>
              <w:top w:val="single" w:sz="4" w:space="0" w:color="auto"/>
              <w:left w:val="single" w:sz="4" w:space="0" w:color="auto"/>
              <w:bottom w:val="single" w:sz="4" w:space="0" w:color="auto"/>
              <w:right w:val="single" w:sz="4" w:space="0" w:color="auto"/>
            </w:tcBorders>
            <w:vAlign w:val="center"/>
          </w:tcPr>
          <w:p w14:paraId="772FA144" w14:textId="77777777" w:rsidR="00785714" w:rsidRPr="0067672F" w:rsidRDefault="00785714" w:rsidP="00811A8E">
            <w:pPr>
              <w:keepNext/>
              <w:keepLines/>
              <w:widowControl/>
              <w:tabs>
                <w:tab w:val="decimal" w:pos="794"/>
              </w:tabs>
              <w:rPr>
                <w:rFonts w:cs="Arial"/>
                <w:color w:val="000000"/>
                <w:sz w:val="18"/>
                <w:szCs w:val="18"/>
              </w:rPr>
            </w:pPr>
            <w:r w:rsidRPr="0067672F">
              <w:rPr>
                <w:rFonts w:cs="Arial"/>
                <w:color w:val="000000"/>
                <w:sz w:val="18"/>
                <w:szCs w:val="18"/>
              </w:rPr>
              <w:t>2,</w:t>
            </w:r>
            <w:r>
              <w:rPr>
                <w:rFonts w:cs="Arial"/>
                <w:color w:val="000000"/>
                <w:sz w:val="18"/>
                <w:szCs w:val="18"/>
              </w:rPr>
              <w:t>152</w:t>
            </w:r>
          </w:p>
        </w:tc>
      </w:tr>
      <w:tr w:rsidR="00785714" w:rsidRPr="00B83846" w14:paraId="4FB585F4" w14:textId="77777777" w:rsidTr="00811A8E">
        <w:trPr>
          <w:cantSplit/>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19B84" w14:textId="77777777" w:rsidR="00785714" w:rsidRPr="0067672F" w:rsidRDefault="00785714" w:rsidP="00811A8E">
            <w:pPr>
              <w:keepNext/>
              <w:keepLines/>
              <w:widowControl/>
              <w:spacing w:before="40" w:after="40"/>
              <w:rPr>
                <w:rFonts w:cs="Arial"/>
                <w:color w:val="000000"/>
                <w:sz w:val="18"/>
                <w:szCs w:val="18"/>
                <w:lang w:eastAsia="en-GB" w:bidi="ar-SA"/>
              </w:rPr>
            </w:pPr>
            <w:r w:rsidRPr="0067672F">
              <w:rPr>
                <w:rFonts w:cs="Arial"/>
                <w:color w:val="000000"/>
                <w:sz w:val="18"/>
                <w:szCs w:val="18"/>
                <w:lang w:eastAsia="en-GB" w:bidi="ar-SA"/>
              </w:rPr>
              <w:t>New Zealand</w:t>
            </w:r>
            <w:r w:rsidRPr="0067672F">
              <w:rPr>
                <w:rFonts w:cs="Arial"/>
                <w:sz w:val="18"/>
                <w:szCs w:val="18"/>
                <w:vertAlign w:val="superscript"/>
              </w:rPr>
              <w:sym w:font="Wingdings 3" w:char="F073"/>
            </w:r>
          </w:p>
        </w:tc>
        <w:tc>
          <w:tcPr>
            <w:tcW w:w="1319" w:type="dxa"/>
            <w:tcBorders>
              <w:top w:val="nil"/>
              <w:left w:val="nil"/>
              <w:bottom w:val="single" w:sz="4" w:space="0" w:color="auto"/>
              <w:right w:val="single" w:sz="4" w:space="0" w:color="auto"/>
            </w:tcBorders>
            <w:shd w:val="clear" w:color="auto" w:fill="auto"/>
            <w:vAlign w:val="center"/>
            <w:hideMark/>
          </w:tcPr>
          <w:p w14:paraId="4D57F596" w14:textId="77777777" w:rsidR="00785714" w:rsidRPr="0067672F" w:rsidRDefault="00785714" w:rsidP="00811A8E">
            <w:pPr>
              <w:keepNext/>
              <w:keepLines/>
              <w:widowControl/>
              <w:spacing w:before="40" w:after="40"/>
              <w:rPr>
                <w:rFonts w:cs="Arial"/>
                <w:color w:val="000000"/>
                <w:sz w:val="18"/>
                <w:szCs w:val="18"/>
                <w:lang w:eastAsia="en-GB" w:bidi="ar-SA"/>
              </w:rPr>
            </w:pPr>
            <w:r w:rsidRPr="0067672F">
              <w:rPr>
                <w:rFonts w:cs="Arial"/>
                <w:color w:val="000000"/>
                <w:sz w:val="18"/>
                <w:szCs w:val="18"/>
                <w:lang w:eastAsia="en-GB" w:bidi="ar-SA"/>
              </w:rPr>
              <w:t>15 years and above</w:t>
            </w:r>
          </w:p>
        </w:tc>
        <w:tc>
          <w:tcPr>
            <w:tcW w:w="1157" w:type="dxa"/>
            <w:tcBorders>
              <w:top w:val="nil"/>
              <w:left w:val="nil"/>
              <w:bottom w:val="single" w:sz="4" w:space="0" w:color="auto"/>
              <w:right w:val="single" w:sz="4" w:space="0" w:color="auto"/>
            </w:tcBorders>
            <w:shd w:val="clear" w:color="auto" w:fill="auto"/>
            <w:noWrap/>
            <w:vAlign w:val="center"/>
            <w:hideMark/>
          </w:tcPr>
          <w:p w14:paraId="42756524" w14:textId="77777777" w:rsidR="00785714" w:rsidRPr="0067672F" w:rsidRDefault="00785714" w:rsidP="00811A8E">
            <w:pPr>
              <w:keepNext/>
              <w:keepLines/>
              <w:widowControl/>
              <w:tabs>
                <w:tab w:val="decimal" w:pos="622"/>
              </w:tabs>
              <w:spacing w:before="40" w:after="40"/>
              <w:rPr>
                <w:rFonts w:cs="Arial"/>
                <w:color w:val="000000"/>
                <w:sz w:val="18"/>
                <w:szCs w:val="18"/>
                <w:lang w:eastAsia="en-GB" w:bidi="ar-SA"/>
              </w:rPr>
            </w:pPr>
            <w:r w:rsidRPr="0067672F">
              <w:rPr>
                <w:rFonts w:cs="Arial"/>
                <w:sz w:val="18"/>
                <w:szCs w:val="18"/>
                <w:lang w:eastAsia="en-GB" w:bidi="ar-SA"/>
              </w:rPr>
              <w:t>61</w:t>
            </w:r>
          </w:p>
        </w:tc>
        <w:tc>
          <w:tcPr>
            <w:tcW w:w="1688" w:type="dxa"/>
            <w:tcBorders>
              <w:top w:val="nil"/>
              <w:left w:val="nil"/>
              <w:bottom w:val="single" w:sz="4" w:space="0" w:color="auto"/>
              <w:right w:val="single" w:sz="4" w:space="0" w:color="auto"/>
            </w:tcBorders>
            <w:shd w:val="clear" w:color="auto" w:fill="auto"/>
            <w:noWrap/>
            <w:vAlign w:val="center"/>
          </w:tcPr>
          <w:p w14:paraId="2CB5F444" w14:textId="77777777" w:rsidR="00785714" w:rsidRPr="0067672F" w:rsidRDefault="00785714" w:rsidP="00811A8E">
            <w:pPr>
              <w:keepNext/>
              <w:keepLines/>
              <w:widowControl/>
              <w:tabs>
                <w:tab w:val="decimal" w:pos="794"/>
              </w:tabs>
              <w:spacing w:before="40" w:after="40"/>
              <w:rPr>
                <w:rFonts w:cs="Arial"/>
                <w:sz w:val="18"/>
                <w:szCs w:val="18"/>
                <w:lang w:eastAsia="en-GB" w:bidi="ar-SA"/>
              </w:rPr>
            </w:pPr>
            <w:r w:rsidRPr="0067672F">
              <w:rPr>
                <w:rFonts w:cs="Arial"/>
                <w:sz w:val="18"/>
                <w:szCs w:val="18"/>
                <w:lang w:eastAsia="en-GB" w:bidi="ar-SA"/>
              </w:rPr>
              <w:t>81</w:t>
            </w:r>
          </w:p>
        </w:tc>
        <w:tc>
          <w:tcPr>
            <w:tcW w:w="1430" w:type="dxa"/>
            <w:tcBorders>
              <w:top w:val="single" w:sz="4" w:space="0" w:color="auto"/>
              <w:left w:val="nil"/>
              <w:bottom w:val="single" w:sz="4" w:space="0" w:color="auto"/>
              <w:right w:val="single" w:sz="4" w:space="0" w:color="auto"/>
            </w:tcBorders>
            <w:vAlign w:val="center"/>
          </w:tcPr>
          <w:p w14:paraId="5B68948A" w14:textId="77777777" w:rsidR="00785714" w:rsidRPr="0067672F" w:rsidRDefault="00785714" w:rsidP="00811A8E">
            <w:pPr>
              <w:keepNext/>
              <w:keepLines/>
              <w:widowControl/>
              <w:tabs>
                <w:tab w:val="decimal" w:pos="794"/>
              </w:tabs>
              <w:spacing w:before="40" w:after="40"/>
              <w:rPr>
                <w:rFonts w:cs="Arial"/>
                <w:sz w:val="18"/>
                <w:szCs w:val="18"/>
              </w:rPr>
            </w:pPr>
            <w:r w:rsidRPr="0067672F">
              <w:rPr>
                <w:rFonts w:cs="Arial"/>
                <w:sz w:val="18"/>
                <w:szCs w:val="18"/>
              </w:rPr>
              <w:t>2,081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7690B" w14:textId="77777777" w:rsidR="00785714" w:rsidRPr="0067672F" w:rsidRDefault="00785714" w:rsidP="00811A8E">
            <w:pPr>
              <w:keepNext/>
              <w:keepLines/>
              <w:widowControl/>
              <w:tabs>
                <w:tab w:val="decimal" w:pos="794"/>
              </w:tabs>
              <w:spacing w:before="40" w:after="40"/>
              <w:rPr>
                <w:rFonts w:cs="Arial"/>
                <w:sz w:val="18"/>
                <w:szCs w:val="18"/>
                <w:lang w:eastAsia="en-GB" w:bidi="ar-SA"/>
              </w:rPr>
            </w:pPr>
            <w:r w:rsidRPr="0067672F">
              <w:rPr>
                <w:rFonts w:cs="Arial"/>
                <w:sz w:val="18"/>
                <w:szCs w:val="18"/>
                <w:lang w:eastAsia="en-GB" w:bidi="ar-SA"/>
              </w:rPr>
              <w:t>218</w:t>
            </w:r>
          </w:p>
        </w:tc>
        <w:tc>
          <w:tcPr>
            <w:tcW w:w="1134" w:type="dxa"/>
            <w:tcBorders>
              <w:top w:val="single" w:sz="4" w:space="0" w:color="auto"/>
              <w:left w:val="single" w:sz="4" w:space="0" w:color="auto"/>
              <w:bottom w:val="single" w:sz="4" w:space="0" w:color="auto"/>
              <w:right w:val="single" w:sz="4" w:space="0" w:color="auto"/>
            </w:tcBorders>
            <w:vAlign w:val="center"/>
          </w:tcPr>
          <w:p w14:paraId="5B25AEF3" w14:textId="77777777" w:rsidR="00785714" w:rsidRPr="0067672F" w:rsidRDefault="00785714" w:rsidP="00811A8E">
            <w:pPr>
              <w:keepNext/>
              <w:keepLines/>
              <w:widowControl/>
              <w:tabs>
                <w:tab w:val="decimal" w:pos="794"/>
              </w:tabs>
              <w:spacing w:before="40" w:after="40"/>
              <w:rPr>
                <w:rFonts w:cs="Arial"/>
                <w:sz w:val="18"/>
                <w:szCs w:val="18"/>
              </w:rPr>
            </w:pPr>
            <w:r w:rsidRPr="0067672F">
              <w:rPr>
                <w:rFonts w:cs="Arial"/>
                <w:sz w:val="18"/>
                <w:szCs w:val="18"/>
              </w:rPr>
              <w:t>2,218</w:t>
            </w:r>
          </w:p>
        </w:tc>
      </w:tr>
    </w:tbl>
    <w:p w14:paraId="01E0CE24" w14:textId="77777777" w:rsidR="00785714" w:rsidRPr="00B83846" w:rsidRDefault="00785714" w:rsidP="00785714">
      <w:pPr>
        <w:rPr>
          <w:sz w:val="16"/>
          <w:szCs w:val="16"/>
        </w:rPr>
      </w:pPr>
      <w:r w:rsidRPr="00B83846">
        <w:rPr>
          <w:sz w:val="16"/>
          <w:szCs w:val="16"/>
        </w:rPr>
        <w:sym w:font="Wingdings" w:char="F076"/>
      </w:r>
      <w:r w:rsidRPr="00B83846">
        <w:rPr>
          <w:sz w:val="16"/>
          <w:szCs w:val="16"/>
        </w:rPr>
        <w:tab/>
        <w:t xml:space="preserve">Based on </w:t>
      </w:r>
      <w:r>
        <w:rPr>
          <w:sz w:val="16"/>
          <w:szCs w:val="16"/>
        </w:rPr>
        <w:t xml:space="preserve">consumption data from </w:t>
      </w:r>
      <w:r w:rsidRPr="00B83846">
        <w:rPr>
          <w:sz w:val="16"/>
          <w:szCs w:val="16"/>
        </w:rPr>
        <w:t xml:space="preserve">Day 1 </w:t>
      </w:r>
      <w:r>
        <w:rPr>
          <w:sz w:val="16"/>
          <w:szCs w:val="16"/>
        </w:rPr>
        <w:t xml:space="preserve">and </w:t>
      </w:r>
      <w:r w:rsidRPr="00B83846">
        <w:rPr>
          <w:sz w:val="16"/>
          <w:szCs w:val="16"/>
        </w:rPr>
        <w:t>2</w:t>
      </w:r>
    </w:p>
    <w:p w14:paraId="2850EF28" w14:textId="77777777" w:rsidR="00785714" w:rsidRPr="00B83846" w:rsidRDefault="00785714" w:rsidP="00785714">
      <w:pPr>
        <w:rPr>
          <w:sz w:val="16"/>
          <w:szCs w:val="16"/>
        </w:rPr>
      </w:pPr>
      <w:r w:rsidRPr="00B83846">
        <w:rPr>
          <w:sz w:val="16"/>
          <w:szCs w:val="16"/>
        </w:rPr>
        <w:sym w:font="Wingdings 3" w:char="F073"/>
      </w:r>
      <w:r w:rsidRPr="00B83846">
        <w:rPr>
          <w:sz w:val="16"/>
          <w:szCs w:val="16"/>
        </w:rPr>
        <w:tab/>
        <w:t xml:space="preserve">Based on </w:t>
      </w:r>
      <w:r>
        <w:rPr>
          <w:sz w:val="16"/>
          <w:szCs w:val="16"/>
        </w:rPr>
        <w:t xml:space="preserve">consumption data from </w:t>
      </w:r>
      <w:r w:rsidRPr="00B83846">
        <w:rPr>
          <w:sz w:val="16"/>
          <w:szCs w:val="16"/>
        </w:rPr>
        <w:t>Day 1 only</w:t>
      </w:r>
    </w:p>
    <w:p w14:paraId="71A4167E" w14:textId="77777777" w:rsidR="00785714" w:rsidRPr="00B969BB" w:rsidRDefault="00785714" w:rsidP="00785714">
      <w:pPr>
        <w:pStyle w:val="Heading3"/>
        <w:numPr>
          <w:ilvl w:val="2"/>
          <w:numId w:val="8"/>
        </w:numPr>
      </w:pPr>
      <w:bookmarkStart w:id="53" w:name="_Toc269201844"/>
      <w:bookmarkStart w:id="54" w:name="_Toc360028622"/>
      <w:bookmarkStart w:id="55" w:name="_Toc415041930"/>
      <w:bookmarkStart w:id="56" w:name="_Toc516587275"/>
      <w:bookmarkStart w:id="57" w:name="_Toc516654666"/>
      <w:bookmarkStart w:id="58" w:name="_Toc520888228"/>
      <w:r w:rsidRPr="00B969BB">
        <w:lastRenderedPageBreak/>
        <w:t xml:space="preserve">Major foods contributing to L-carnitine dietary </w:t>
      </w:r>
      <w:bookmarkEnd w:id="53"/>
      <w:bookmarkEnd w:id="54"/>
      <w:r w:rsidRPr="00B969BB">
        <w:t>intakes</w:t>
      </w:r>
      <w:bookmarkEnd w:id="55"/>
      <w:bookmarkEnd w:id="56"/>
      <w:bookmarkEnd w:id="57"/>
      <w:bookmarkEnd w:id="58"/>
    </w:p>
    <w:p w14:paraId="3EFFCE4B" w14:textId="4B771CAF" w:rsidR="00785714" w:rsidRDefault="00785714" w:rsidP="008D5447">
      <w:pPr>
        <w:widowControl/>
        <w:rPr>
          <w:rFonts w:cs="Arial"/>
        </w:rPr>
      </w:pPr>
      <w:r w:rsidRPr="00FF0732">
        <w:rPr>
          <w:rFonts w:cs="Arial"/>
        </w:rPr>
        <w:t xml:space="preserve">The food category contributors to estimated L-carnitine intakes </w:t>
      </w:r>
      <w:r w:rsidRPr="00FF0732">
        <w:t xml:space="preserve">were calculated from consumers’ dietary intakes from all foods consumed that were proposed to contain L-carnitine and from naturally occurring sources. Food categories were considered to be major contributors if their contribution was </w:t>
      </w:r>
      <w:r w:rsidRPr="00FF0732">
        <w:rPr>
          <w:rFonts w:cs="Arial"/>
        </w:rPr>
        <w:t>≥5%.</w:t>
      </w:r>
      <w:r w:rsidR="003D354D">
        <w:rPr>
          <w:rFonts w:cs="Arial"/>
        </w:rPr>
        <w:t xml:space="preserve"> </w:t>
      </w:r>
      <w:r w:rsidR="00361459">
        <w:rPr>
          <w:rFonts w:cs="Arial"/>
        </w:rPr>
        <w:t xml:space="preserve">. </w:t>
      </w:r>
    </w:p>
    <w:p w14:paraId="09B63BD7" w14:textId="77777777" w:rsidR="00785714" w:rsidRPr="00FF0732" w:rsidRDefault="00785714" w:rsidP="008D5447">
      <w:pPr>
        <w:pStyle w:val="Heading4"/>
        <w:keepNext w:val="0"/>
        <w:widowControl/>
      </w:pPr>
      <w:r w:rsidRPr="00FF0732">
        <w:t>Australian general population groups (aged 2 years and above)</w:t>
      </w:r>
    </w:p>
    <w:p w14:paraId="2F2265AC" w14:textId="77777777" w:rsidR="00785714" w:rsidRPr="00FF0732" w:rsidRDefault="00785714" w:rsidP="008D5447">
      <w:pPr>
        <w:pStyle w:val="Heading5"/>
        <w:keepNext w:val="0"/>
        <w:widowControl/>
      </w:pPr>
      <w:r w:rsidRPr="00FF0732">
        <w:t>Baseline</w:t>
      </w:r>
    </w:p>
    <w:p w14:paraId="55A344A9" w14:textId="42F39594" w:rsidR="00785714" w:rsidRPr="00C86BD8" w:rsidRDefault="00785714" w:rsidP="00785714">
      <w:pPr>
        <w:rPr>
          <w:rFonts w:cs="Arial"/>
        </w:rPr>
      </w:pPr>
      <w:r w:rsidRPr="00C86BD8">
        <w:rPr>
          <w:rFonts w:cs="Arial"/>
        </w:rPr>
        <w:t xml:space="preserve">At </w:t>
      </w:r>
      <w:r w:rsidRPr="00C86BD8">
        <w:rPr>
          <w:rFonts w:cs="Arial"/>
          <w:i/>
        </w:rPr>
        <w:t>Baseline</w:t>
      </w:r>
      <w:r w:rsidRPr="00C86BD8">
        <w:rPr>
          <w:rFonts w:cs="Arial"/>
        </w:rPr>
        <w:t xml:space="preserve">, </w:t>
      </w:r>
      <w:r w:rsidRPr="00C86BD8">
        <w:rPr>
          <w:rFonts w:cs="Arial"/>
          <w:i/>
        </w:rPr>
        <w:t xml:space="preserve">Meat &amp; meat products (including poultry and game) </w:t>
      </w:r>
      <w:r w:rsidRPr="00C86BD8">
        <w:rPr>
          <w:rFonts w:cs="Arial"/>
        </w:rPr>
        <w:t>(</w:t>
      </w:r>
      <w:r w:rsidRPr="00D67A8C">
        <w:rPr>
          <w:rFonts w:cs="Arial"/>
        </w:rPr>
        <w:t>57</w:t>
      </w:r>
      <w:r w:rsidRPr="00C86BD8">
        <w:rPr>
          <w:rFonts w:cs="Arial"/>
        </w:rPr>
        <w:t>–</w:t>
      </w:r>
      <w:r w:rsidRPr="00D67A8C">
        <w:rPr>
          <w:rFonts w:cs="Arial"/>
        </w:rPr>
        <w:t>72</w:t>
      </w:r>
      <w:r w:rsidRPr="00C86BD8">
        <w:rPr>
          <w:rFonts w:cs="Arial"/>
        </w:rPr>
        <w:t xml:space="preserve">%) and </w:t>
      </w:r>
      <w:r w:rsidRPr="00C86BD8">
        <w:rPr>
          <w:rFonts w:cs="Arial"/>
          <w:i/>
        </w:rPr>
        <w:t xml:space="preserve">Dairy products (excluding butter and butter fats) </w:t>
      </w:r>
      <w:r w:rsidRPr="00C86BD8">
        <w:rPr>
          <w:rFonts w:cs="Arial"/>
        </w:rPr>
        <w:t>(</w:t>
      </w:r>
      <w:r w:rsidRPr="00D67A8C">
        <w:rPr>
          <w:rFonts w:cs="Arial"/>
        </w:rPr>
        <w:t>15</w:t>
      </w:r>
      <w:r w:rsidRPr="00C86BD8">
        <w:rPr>
          <w:rFonts w:cs="Arial"/>
        </w:rPr>
        <w:t>–</w:t>
      </w:r>
      <w:r w:rsidRPr="00D67A8C">
        <w:rPr>
          <w:rFonts w:cs="Arial"/>
        </w:rPr>
        <w:t>33</w:t>
      </w:r>
      <w:r w:rsidRPr="00C86BD8">
        <w:rPr>
          <w:rFonts w:cs="Arial"/>
        </w:rPr>
        <w:t xml:space="preserve">%) are the major contributing food categories to L-carnitine dietary intakes. For </w:t>
      </w:r>
      <w:r w:rsidRPr="00D67A8C">
        <w:rPr>
          <w:rFonts w:cs="Arial"/>
        </w:rPr>
        <w:t xml:space="preserve">all population groups except </w:t>
      </w:r>
      <w:r w:rsidRPr="00C86BD8">
        <w:rPr>
          <w:rFonts w:cs="Arial"/>
        </w:rPr>
        <w:t xml:space="preserve">children aged </w:t>
      </w:r>
      <w:r w:rsidRPr="00D67A8C">
        <w:rPr>
          <w:rFonts w:cs="Arial"/>
        </w:rPr>
        <w:t>2</w:t>
      </w:r>
      <w:r w:rsidRPr="00C86BD8">
        <w:rPr>
          <w:rFonts w:cs="Arial"/>
        </w:rPr>
        <w:t>-</w:t>
      </w:r>
      <w:r w:rsidRPr="00D67A8C">
        <w:rPr>
          <w:rFonts w:cs="Arial"/>
        </w:rPr>
        <w:t>6</w:t>
      </w:r>
      <w:r w:rsidRPr="00C86BD8">
        <w:rPr>
          <w:rFonts w:cs="Arial"/>
        </w:rPr>
        <w:t> years</w:t>
      </w:r>
      <w:r w:rsidRPr="00D67A8C">
        <w:rPr>
          <w:rFonts w:cs="Arial"/>
        </w:rPr>
        <w:t xml:space="preserve"> (2%)</w:t>
      </w:r>
      <w:r w:rsidRPr="00C86BD8">
        <w:rPr>
          <w:rFonts w:cs="Arial"/>
        </w:rPr>
        <w:t xml:space="preserve">, </w:t>
      </w:r>
      <w:r w:rsidRPr="00C86BD8">
        <w:rPr>
          <w:rFonts w:cs="Arial"/>
          <w:i/>
        </w:rPr>
        <w:t>Foods intended for particular dietary uses</w:t>
      </w:r>
      <w:r w:rsidRPr="00C86BD8">
        <w:rPr>
          <w:rFonts w:cs="Arial"/>
        </w:rPr>
        <w:t xml:space="preserve"> is also a major contributing food category</w:t>
      </w:r>
      <w:r w:rsidRPr="00D67A8C">
        <w:rPr>
          <w:rFonts w:cs="Arial"/>
        </w:rPr>
        <w:t xml:space="preserve"> (5–6%)</w:t>
      </w:r>
      <w:r w:rsidRPr="00C86BD8">
        <w:rPr>
          <w:rFonts w:cs="Arial"/>
        </w:rPr>
        <w:t>.</w:t>
      </w:r>
    </w:p>
    <w:p w14:paraId="738DE4AD" w14:textId="77777777" w:rsidR="00785714" w:rsidRPr="00C86BD8" w:rsidRDefault="00785714" w:rsidP="00785714">
      <w:pPr>
        <w:rPr>
          <w:rFonts w:cs="Arial"/>
        </w:rPr>
      </w:pPr>
    </w:p>
    <w:p w14:paraId="258AC686" w14:textId="38ACA9D2" w:rsidR="00785714" w:rsidRPr="00C86BD8" w:rsidRDefault="00785714" w:rsidP="00785714">
      <w:pPr>
        <w:rPr>
          <w:rFonts w:cs="Arial"/>
        </w:rPr>
      </w:pPr>
      <w:r w:rsidRPr="00C86BD8">
        <w:rPr>
          <w:rFonts w:cs="Arial"/>
        </w:rPr>
        <w:t xml:space="preserve">Within the </w:t>
      </w:r>
      <w:r w:rsidRPr="00C86BD8">
        <w:rPr>
          <w:rFonts w:cs="Arial"/>
          <w:i/>
        </w:rPr>
        <w:t>Dairy products (excluding butter and butter fats)</w:t>
      </w:r>
      <w:r w:rsidRPr="00B67959">
        <w:rPr>
          <w:rFonts w:cs="Arial"/>
        </w:rPr>
        <w:t xml:space="preserve"> food category, </w:t>
      </w:r>
      <w:r w:rsidR="00474302">
        <w:rPr>
          <w:rFonts w:cs="Arial"/>
        </w:rPr>
        <w:t>P</w:t>
      </w:r>
      <w:r w:rsidR="00224011" w:rsidRPr="00B67959">
        <w:rPr>
          <w:rFonts w:cs="Arial"/>
        </w:rPr>
        <w:t xml:space="preserve">lain </w:t>
      </w:r>
      <w:r w:rsidRPr="00B67959">
        <w:rPr>
          <w:rFonts w:cs="Arial"/>
        </w:rPr>
        <w:t>milk is the major con</w:t>
      </w:r>
      <w:r w:rsidRPr="0009360C">
        <w:rPr>
          <w:rFonts w:cs="Arial"/>
        </w:rPr>
        <w:t>tributing food group (</w:t>
      </w:r>
      <w:r w:rsidRPr="00DC644E">
        <w:rPr>
          <w:rFonts w:cs="Arial"/>
        </w:rPr>
        <w:t>11–25%) to L-carnitine dietary intakes</w:t>
      </w:r>
      <w:r w:rsidRPr="00CA57A0">
        <w:rPr>
          <w:rFonts w:cs="Arial"/>
        </w:rPr>
        <w:t>.</w:t>
      </w:r>
    </w:p>
    <w:p w14:paraId="57EEB7F4" w14:textId="77777777" w:rsidR="00785714" w:rsidRPr="00C86BD8" w:rsidRDefault="00785714" w:rsidP="00785714">
      <w:pPr>
        <w:rPr>
          <w:rFonts w:cs="Arial"/>
        </w:rPr>
      </w:pPr>
    </w:p>
    <w:p w14:paraId="7C13EB19" w14:textId="013412BB" w:rsidR="00785714" w:rsidRDefault="00785714" w:rsidP="00785714">
      <w:pPr>
        <w:rPr>
          <w:rFonts w:cs="Arial"/>
        </w:rPr>
      </w:pPr>
      <w:r w:rsidRPr="00B67959">
        <w:rPr>
          <w:rFonts w:cs="Arial"/>
        </w:rPr>
        <w:t xml:space="preserve">Within the </w:t>
      </w:r>
      <w:r w:rsidRPr="00B67959">
        <w:rPr>
          <w:rFonts w:cs="Arial"/>
          <w:i/>
        </w:rPr>
        <w:t xml:space="preserve">Meat &amp; meat products </w:t>
      </w:r>
      <w:r w:rsidRPr="00B67959">
        <w:rPr>
          <w:rFonts w:cs="Arial"/>
        </w:rPr>
        <w:t>food category, Red meat excluding game is the major contributing food group (</w:t>
      </w:r>
      <w:r w:rsidRPr="00D67A8C">
        <w:rPr>
          <w:rFonts w:cs="Arial"/>
        </w:rPr>
        <w:t>40</w:t>
      </w:r>
      <w:r w:rsidRPr="00B67959">
        <w:rPr>
          <w:rFonts w:cs="Arial"/>
        </w:rPr>
        <w:t>–</w:t>
      </w:r>
      <w:r w:rsidRPr="00D67A8C">
        <w:rPr>
          <w:rFonts w:cs="Arial"/>
        </w:rPr>
        <w:t>54</w:t>
      </w:r>
      <w:r w:rsidRPr="00B67959">
        <w:rPr>
          <w:rFonts w:cs="Arial"/>
        </w:rPr>
        <w:t>%) to L-carnitine dietary intakes for all general age groups assessed, followed by Poultry (</w:t>
      </w:r>
      <w:r w:rsidRPr="00D67A8C">
        <w:rPr>
          <w:rFonts w:cs="Arial"/>
        </w:rPr>
        <w:t>6</w:t>
      </w:r>
      <w:r w:rsidRPr="00B67959">
        <w:rPr>
          <w:rFonts w:cs="Arial"/>
        </w:rPr>
        <w:t>–</w:t>
      </w:r>
      <w:r w:rsidRPr="00D67A8C">
        <w:rPr>
          <w:rFonts w:cs="Arial"/>
        </w:rPr>
        <w:t>7</w:t>
      </w:r>
      <w:r w:rsidRPr="00B67959">
        <w:rPr>
          <w:rFonts w:cs="Arial"/>
        </w:rPr>
        <w:t xml:space="preserve">%). For children aged </w:t>
      </w:r>
      <w:r w:rsidRPr="00D67A8C">
        <w:rPr>
          <w:rFonts w:cs="Arial"/>
        </w:rPr>
        <w:t>7</w:t>
      </w:r>
      <w:r w:rsidRPr="00B67959">
        <w:rPr>
          <w:rFonts w:cs="Arial"/>
        </w:rPr>
        <w:t>-</w:t>
      </w:r>
      <w:r w:rsidRPr="00D67A8C">
        <w:rPr>
          <w:rFonts w:cs="Arial"/>
        </w:rPr>
        <w:t>17</w:t>
      </w:r>
      <w:r w:rsidRPr="00B67959">
        <w:rPr>
          <w:rFonts w:cs="Arial"/>
        </w:rPr>
        <w:t xml:space="preserve"> years, Processed meat/ poultry/ game products in whole/ cut pieces (e.g. ham, bacon, smoked chicken) is a major contributor to L-carnitine intakes </w:t>
      </w:r>
      <w:r w:rsidRPr="00D67A8C">
        <w:rPr>
          <w:rFonts w:cs="Arial"/>
        </w:rPr>
        <w:t>(5%)</w:t>
      </w:r>
      <w:r w:rsidRPr="00B67959">
        <w:rPr>
          <w:rFonts w:cs="Arial"/>
        </w:rPr>
        <w:t>.</w:t>
      </w:r>
    </w:p>
    <w:p w14:paraId="232F07A8" w14:textId="77777777" w:rsidR="00785714" w:rsidRDefault="00785714" w:rsidP="00785714">
      <w:pPr>
        <w:rPr>
          <w:rFonts w:cs="Arial"/>
        </w:rPr>
      </w:pPr>
    </w:p>
    <w:p w14:paraId="5E458F52" w14:textId="77777777" w:rsidR="00785714" w:rsidRPr="000A1C48" w:rsidRDefault="00785714" w:rsidP="00785714">
      <w:pPr>
        <w:rPr>
          <w:rFonts w:cs="Arial"/>
        </w:rPr>
      </w:pPr>
      <w:r w:rsidRPr="00C86BD8">
        <w:rPr>
          <w:rFonts w:cs="Arial"/>
        </w:rPr>
        <w:t xml:space="preserve">Within the </w:t>
      </w:r>
      <w:r w:rsidRPr="00C86BD8">
        <w:rPr>
          <w:rFonts w:cs="Arial"/>
          <w:i/>
        </w:rPr>
        <w:t>Foods intended for particular dietary uses</w:t>
      </w:r>
      <w:r w:rsidRPr="00B67959">
        <w:rPr>
          <w:rFonts w:cs="Arial"/>
        </w:rPr>
        <w:t xml:space="preserve"> food category, </w:t>
      </w:r>
      <w:r>
        <w:rPr>
          <w:rFonts w:cs="Arial"/>
        </w:rPr>
        <w:t>Liquid formulated supplementary sports foods</w:t>
      </w:r>
      <w:r w:rsidRPr="00B67959">
        <w:rPr>
          <w:rFonts w:cs="Arial"/>
        </w:rPr>
        <w:t xml:space="preserve"> i</w:t>
      </w:r>
      <w:r w:rsidRPr="000A1C48">
        <w:rPr>
          <w:rFonts w:cs="Arial"/>
        </w:rPr>
        <w:t xml:space="preserve">s </w:t>
      </w:r>
      <w:r>
        <w:rPr>
          <w:rFonts w:cs="Arial"/>
        </w:rPr>
        <w:t>a</w:t>
      </w:r>
      <w:r w:rsidRPr="000A1C48">
        <w:rPr>
          <w:rFonts w:cs="Arial"/>
        </w:rPr>
        <w:t xml:space="preserve"> major contributing food group (5%) to L-carnitine dietary intakes</w:t>
      </w:r>
      <w:r>
        <w:rPr>
          <w:rFonts w:cs="Arial"/>
        </w:rPr>
        <w:t xml:space="preserve"> for adults aged 8-70 years</w:t>
      </w:r>
      <w:r w:rsidRPr="000A1C48">
        <w:rPr>
          <w:rFonts w:cs="Arial"/>
        </w:rPr>
        <w:t>.</w:t>
      </w:r>
    </w:p>
    <w:p w14:paraId="2D982E15" w14:textId="77777777" w:rsidR="00785714" w:rsidRPr="00D67A8C" w:rsidRDefault="00785714" w:rsidP="00785714">
      <w:pPr>
        <w:rPr>
          <w:rFonts w:cs="Arial"/>
          <w:highlight w:val="yellow"/>
        </w:rPr>
      </w:pPr>
    </w:p>
    <w:p w14:paraId="422CA7AE" w14:textId="56293EA5" w:rsidR="00785714" w:rsidRPr="00EB0D98" w:rsidRDefault="00785714" w:rsidP="00785714">
      <w:r w:rsidRPr="00EB0D98">
        <w:t xml:space="preserve">See </w:t>
      </w:r>
      <w:r w:rsidRPr="00EB0D98">
        <w:fldChar w:fldCharType="begin"/>
      </w:r>
      <w:r w:rsidRPr="00EB0D98">
        <w:instrText xml:space="preserve"> REF _Ref509588836 \h </w:instrText>
      </w:r>
      <w:r w:rsidRPr="00D67A8C">
        <w:instrText xml:space="preserve"> \* MERGEFORMAT </w:instrText>
      </w:r>
      <w:r w:rsidRPr="00EB0D98">
        <w:fldChar w:fldCharType="separate"/>
      </w:r>
      <w:r w:rsidR="00872715" w:rsidRPr="00B83846">
        <w:t>Table A</w:t>
      </w:r>
      <w:r w:rsidR="00872715">
        <w:t>3.2</w:t>
      </w:r>
      <w:r w:rsidRPr="00EB0D98">
        <w:fldChar w:fldCharType="end"/>
      </w:r>
      <w:r w:rsidRPr="00EB0D98">
        <w:t xml:space="preserve"> in</w:t>
      </w:r>
      <w:r w:rsidR="00AC5EF1">
        <w:t xml:space="preserve"> Appendix 3</w:t>
      </w:r>
      <w:r w:rsidRPr="00EB0D98">
        <w:t xml:space="preserve"> for further details.</w:t>
      </w:r>
    </w:p>
    <w:p w14:paraId="4629A610" w14:textId="77777777" w:rsidR="00785714" w:rsidRPr="00EB0D98" w:rsidRDefault="00785714" w:rsidP="00785714">
      <w:pPr>
        <w:pStyle w:val="Heading5"/>
      </w:pPr>
      <w:r w:rsidRPr="00005E43">
        <w:t>Sports food increase</w:t>
      </w:r>
      <w:r w:rsidRPr="00EB0D98">
        <w:t xml:space="preserve"> scenario</w:t>
      </w:r>
    </w:p>
    <w:p w14:paraId="46D48436" w14:textId="02762099" w:rsidR="00785714" w:rsidRPr="0009360C" w:rsidRDefault="00785714" w:rsidP="00785714">
      <w:pPr>
        <w:rPr>
          <w:rFonts w:cs="Arial"/>
        </w:rPr>
      </w:pPr>
      <w:r w:rsidRPr="0009360C">
        <w:rPr>
          <w:rFonts w:cs="Arial"/>
        </w:rPr>
        <w:t xml:space="preserve">Under the </w:t>
      </w:r>
      <w:r w:rsidRPr="0009360C">
        <w:rPr>
          <w:rFonts w:cs="Arial"/>
          <w:i/>
        </w:rPr>
        <w:t>Sports food increase</w:t>
      </w:r>
      <w:r w:rsidRPr="0009360C">
        <w:rPr>
          <w:rFonts w:cs="Arial"/>
        </w:rPr>
        <w:t xml:space="preserve"> scenario, </w:t>
      </w:r>
      <w:r w:rsidRPr="0009360C">
        <w:rPr>
          <w:rFonts w:cs="Arial"/>
          <w:i/>
        </w:rPr>
        <w:t xml:space="preserve">Meat &amp; meat products (including poultry and game) </w:t>
      </w:r>
      <w:r w:rsidRPr="0009360C">
        <w:rPr>
          <w:rFonts w:cs="Arial"/>
        </w:rPr>
        <w:t>(</w:t>
      </w:r>
      <w:r w:rsidRPr="00D67A8C">
        <w:rPr>
          <w:rFonts w:cs="Arial"/>
        </w:rPr>
        <w:t>56</w:t>
      </w:r>
      <w:r w:rsidRPr="0009360C">
        <w:rPr>
          <w:rFonts w:cs="Arial"/>
        </w:rPr>
        <w:t>–</w:t>
      </w:r>
      <w:r w:rsidRPr="00D67A8C">
        <w:rPr>
          <w:rFonts w:cs="Arial"/>
        </w:rPr>
        <w:t>60</w:t>
      </w:r>
      <w:r w:rsidRPr="0009360C">
        <w:rPr>
          <w:rFonts w:cs="Arial"/>
        </w:rPr>
        <w:t xml:space="preserve">%) and </w:t>
      </w:r>
      <w:r w:rsidRPr="0009360C">
        <w:rPr>
          <w:rFonts w:cs="Arial"/>
          <w:i/>
        </w:rPr>
        <w:t xml:space="preserve">Dairy products (excluding butter and butter fats) </w:t>
      </w:r>
      <w:r w:rsidRPr="0009360C">
        <w:rPr>
          <w:rFonts w:cs="Arial"/>
        </w:rPr>
        <w:t>(</w:t>
      </w:r>
      <w:r w:rsidRPr="00D67A8C">
        <w:rPr>
          <w:rFonts w:cs="Arial"/>
        </w:rPr>
        <w:t>12</w:t>
      </w:r>
      <w:r w:rsidRPr="0009360C">
        <w:rPr>
          <w:rFonts w:cs="Arial"/>
        </w:rPr>
        <w:t>–</w:t>
      </w:r>
      <w:r w:rsidRPr="00D67A8C">
        <w:rPr>
          <w:rFonts w:cs="Arial"/>
        </w:rPr>
        <w:t>33</w:t>
      </w:r>
      <w:r w:rsidRPr="0009360C">
        <w:rPr>
          <w:rFonts w:cs="Arial"/>
        </w:rPr>
        <w:t xml:space="preserve">%) are the major contributing food categories to L-carnitine dietary intakes. For </w:t>
      </w:r>
      <w:r w:rsidRPr="00D67A8C">
        <w:rPr>
          <w:rFonts w:cs="Arial"/>
        </w:rPr>
        <w:t xml:space="preserve">all general age groups except </w:t>
      </w:r>
      <w:r w:rsidRPr="0009360C">
        <w:rPr>
          <w:rFonts w:cs="Arial"/>
        </w:rPr>
        <w:t xml:space="preserve">children aged </w:t>
      </w:r>
      <w:r w:rsidRPr="00D67A8C">
        <w:rPr>
          <w:rFonts w:cs="Arial"/>
        </w:rPr>
        <w:t>2-6</w:t>
      </w:r>
      <w:r w:rsidRPr="0009360C">
        <w:rPr>
          <w:rFonts w:cs="Arial"/>
        </w:rPr>
        <w:t> years</w:t>
      </w:r>
      <w:r w:rsidRPr="00D67A8C">
        <w:rPr>
          <w:rFonts w:cs="Arial"/>
        </w:rPr>
        <w:t xml:space="preserve"> (3%)</w:t>
      </w:r>
      <w:r w:rsidRPr="0009360C">
        <w:rPr>
          <w:rFonts w:cs="Arial"/>
        </w:rPr>
        <w:t xml:space="preserve">, </w:t>
      </w:r>
      <w:r w:rsidRPr="00DC644E">
        <w:rPr>
          <w:rFonts w:cs="Arial"/>
          <w:i/>
        </w:rPr>
        <w:t>Foods intended for particular dietary uses</w:t>
      </w:r>
      <w:r w:rsidRPr="00DC644E">
        <w:rPr>
          <w:rFonts w:cs="Arial"/>
        </w:rPr>
        <w:t xml:space="preserve"> (</w:t>
      </w:r>
      <w:r w:rsidRPr="00D67A8C">
        <w:rPr>
          <w:rFonts w:cs="Arial"/>
        </w:rPr>
        <w:t>17</w:t>
      </w:r>
      <w:r w:rsidRPr="0009360C">
        <w:rPr>
          <w:rFonts w:cs="Arial"/>
        </w:rPr>
        <w:t>–</w:t>
      </w:r>
      <w:r w:rsidRPr="00D67A8C">
        <w:rPr>
          <w:rFonts w:cs="Arial"/>
        </w:rPr>
        <w:t>24</w:t>
      </w:r>
      <w:r w:rsidRPr="0009360C">
        <w:rPr>
          <w:rFonts w:cs="Arial"/>
        </w:rPr>
        <w:t>%) is also a major contributing food category.</w:t>
      </w:r>
    </w:p>
    <w:p w14:paraId="61E0E1A2" w14:textId="77777777" w:rsidR="00785714" w:rsidRPr="00D67A8C" w:rsidRDefault="00785714" w:rsidP="00785714">
      <w:pPr>
        <w:rPr>
          <w:rFonts w:cs="Arial"/>
        </w:rPr>
      </w:pPr>
    </w:p>
    <w:p w14:paraId="0B3CF1C6" w14:textId="12B58E58" w:rsidR="00785714" w:rsidRPr="0009360C" w:rsidRDefault="00785714" w:rsidP="00785714">
      <w:pPr>
        <w:rPr>
          <w:rFonts w:cs="Arial"/>
        </w:rPr>
      </w:pPr>
      <w:r w:rsidRPr="0009360C">
        <w:rPr>
          <w:rFonts w:cs="Arial"/>
        </w:rPr>
        <w:t xml:space="preserve">Within the </w:t>
      </w:r>
      <w:r w:rsidRPr="0009360C">
        <w:rPr>
          <w:rFonts w:cs="Arial"/>
          <w:i/>
        </w:rPr>
        <w:t>Dairy products (excluding butter and butter fats)</w:t>
      </w:r>
      <w:r w:rsidRPr="0009360C">
        <w:rPr>
          <w:rFonts w:cs="Arial"/>
        </w:rPr>
        <w:t xml:space="preserve"> food category, Plain milk is the major contributing food group (</w:t>
      </w:r>
      <w:r w:rsidRPr="00D67A8C">
        <w:rPr>
          <w:rFonts w:cs="Arial"/>
        </w:rPr>
        <w:t>9</w:t>
      </w:r>
      <w:r w:rsidRPr="0009360C">
        <w:rPr>
          <w:rFonts w:cs="Arial"/>
        </w:rPr>
        <w:t>–25%) to L-carnitine dietary intakes.</w:t>
      </w:r>
    </w:p>
    <w:p w14:paraId="3C13FE50" w14:textId="77777777" w:rsidR="00785714" w:rsidRPr="00D67A8C" w:rsidRDefault="00785714" w:rsidP="00785714">
      <w:pPr>
        <w:rPr>
          <w:rFonts w:cs="Arial"/>
        </w:rPr>
      </w:pPr>
    </w:p>
    <w:p w14:paraId="6610248B" w14:textId="3A9C4DB0" w:rsidR="00785714" w:rsidRPr="0009360C" w:rsidRDefault="00785714" w:rsidP="00785714">
      <w:pPr>
        <w:rPr>
          <w:rFonts w:cs="Arial"/>
        </w:rPr>
      </w:pPr>
      <w:r w:rsidRPr="0009360C">
        <w:rPr>
          <w:rFonts w:cs="Arial"/>
        </w:rPr>
        <w:t xml:space="preserve">Within the </w:t>
      </w:r>
      <w:r w:rsidRPr="0009360C">
        <w:rPr>
          <w:rFonts w:cs="Arial"/>
          <w:i/>
        </w:rPr>
        <w:t xml:space="preserve">Meat &amp; meat products </w:t>
      </w:r>
      <w:r w:rsidRPr="0009360C">
        <w:rPr>
          <w:rFonts w:cs="Arial"/>
        </w:rPr>
        <w:t>food category, Red meat excluding game is the major contributing food group (</w:t>
      </w:r>
      <w:r w:rsidRPr="00D67A8C">
        <w:rPr>
          <w:rFonts w:cs="Arial"/>
        </w:rPr>
        <w:t>40</w:t>
      </w:r>
      <w:r w:rsidRPr="0009360C">
        <w:rPr>
          <w:rFonts w:cs="Arial"/>
        </w:rPr>
        <w:t>–</w:t>
      </w:r>
      <w:r w:rsidRPr="00D67A8C">
        <w:rPr>
          <w:rFonts w:cs="Arial"/>
        </w:rPr>
        <w:t>44</w:t>
      </w:r>
      <w:r w:rsidRPr="0009360C">
        <w:rPr>
          <w:rFonts w:cs="Arial"/>
        </w:rPr>
        <w:t>%) to L-carnitine dietary intakes for all general age groups, followed by Poultry (</w:t>
      </w:r>
      <w:r w:rsidRPr="00D67A8C">
        <w:rPr>
          <w:rFonts w:cs="Arial"/>
        </w:rPr>
        <w:t>6</w:t>
      </w:r>
      <w:r w:rsidRPr="0009360C">
        <w:rPr>
          <w:rFonts w:cs="Arial"/>
        </w:rPr>
        <w:t>%).</w:t>
      </w:r>
    </w:p>
    <w:p w14:paraId="1456CE67" w14:textId="77777777" w:rsidR="00785714" w:rsidRPr="00D67A8C" w:rsidRDefault="00785714" w:rsidP="00785714">
      <w:pPr>
        <w:rPr>
          <w:rFonts w:cs="Arial"/>
        </w:rPr>
      </w:pPr>
    </w:p>
    <w:p w14:paraId="6138FA17" w14:textId="7FE3F0E8" w:rsidR="00785714" w:rsidRPr="005F52C4" w:rsidRDefault="00785714" w:rsidP="00785714">
      <w:pPr>
        <w:rPr>
          <w:rFonts w:cs="Arial"/>
        </w:rPr>
      </w:pPr>
      <w:r w:rsidRPr="0009360C">
        <w:rPr>
          <w:rFonts w:cs="Arial"/>
        </w:rPr>
        <w:t xml:space="preserve">Within the </w:t>
      </w:r>
      <w:r w:rsidRPr="0009360C">
        <w:rPr>
          <w:rFonts w:cs="Arial"/>
          <w:i/>
        </w:rPr>
        <w:t>Foods intended for particular dietary uses</w:t>
      </w:r>
      <w:r w:rsidRPr="0009360C">
        <w:rPr>
          <w:rFonts w:cs="Arial"/>
        </w:rPr>
        <w:t xml:space="preserve"> food category, Liquid formulated supplementary sports foods is the major contributing food group (</w:t>
      </w:r>
      <w:r w:rsidRPr="00D67A8C">
        <w:rPr>
          <w:rFonts w:cs="Arial"/>
        </w:rPr>
        <w:t>16</w:t>
      </w:r>
      <w:r w:rsidRPr="0009360C">
        <w:rPr>
          <w:rFonts w:cs="Arial"/>
        </w:rPr>
        <w:t>–</w:t>
      </w:r>
      <w:r w:rsidRPr="00D67A8C">
        <w:rPr>
          <w:rFonts w:cs="Arial"/>
        </w:rPr>
        <w:t>20</w:t>
      </w:r>
      <w:r w:rsidRPr="0009360C">
        <w:rPr>
          <w:rFonts w:cs="Arial"/>
        </w:rPr>
        <w:t>%) to L-carnitine dietary intakes for all general age groups assessed, except for children aged 2-6 years (&lt;1%).</w:t>
      </w:r>
    </w:p>
    <w:p w14:paraId="61DF38CB" w14:textId="77777777" w:rsidR="00785714" w:rsidRPr="00D67A8C" w:rsidRDefault="00785714" w:rsidP="00785714">
      <w:pPr>
        <w:rPr>
          <w:rFonts w:cs="Arial"/>
        </w:rPr>
      </w:pPr>
    </w:p>
    <w:p w14:paraId="4B92A7ED" w14:textId="5B769E0E" w:rsidR="00785714" w:rsidRPr="00EB0D98" w:rsidRDefault="00785714" w:rsidP="00785714">
      <w:r w:rsidRPr="005F52C4">
        <w:t xml:space="preserve">See </w:t>
      </w:r>
      <w:r w:rsidRPr="002C67FD">
        <w:fldChar w:fldCharType="begin"/>
      </w:r>
      <w:r w:rsidRPr="005F52C4">
        <w:instrText xml:space="preserve"> REF _Ref509588836 \h  \* MERGEFORMAT </w:instrText>
      </w:r>
      <w:r w:rsidRPr="002C67FD">
        <w:fldChar w:fldCharType="separate"/>
      </w:r>
      <w:r w:rsidR="00872715" w:rsidRPr="00B83846">
        <w:t>Table A</w:t>
      </w:r>
      <w:r w:rsidR="00872715">
        <w:t>3.2</w:t>
      </w:r>
      <w:r w:rsidRPr="002C67FD">
        <w:fldChar w:fldCharType="end"/>
      </w:r>
      <w:r w:rsidRPr="005F52C4">
        <w:t xml:space="preserve"> in</w:t>
      </w:r>
      <w:r w:rsidR="00AC5EF1">
        <w:t xml:space="preserve"> Appendix 3</w:t>
      </w:r>
      <w:r w:rsidRPr="005F52C4">
        <w:t xml:space="preserve"> for further details.</w:t>
      </w:r>
    </w:p>
    <w:p w14:paraId="54410351" w14:textId="77777777" w:rsidR="00785714" w:rsidRPr="00056F01" w:rsidRDefault="00785714" w:rsidP="00785714">
      <w:pPr>
        <w:pStyle w:val="Heading5"/>
      </w:pPr>
      <w:r w:rsidRPr="00056F01">
        <w:lastRenderedPageBreak/>
        <w:t>Consumer behaviour scenario</w:t>
      </w:r>
    </w:p>
    <w:p w14:paraId="5D291A8F" w14:textId="22AC45A3" w:rsidR="00785714" w:rsidRPr="004A0269" w:rsidRDefault="00785714" w:rsidP="00785714">
      <w:pPr>
        <w:rPr>
          <w:rFonts w:cs="Arial"/>
        </w:rPr>
      </w:pPr>
      <w:r w:rsidRPr="00DC644E">
        <w:rPr>
          <w:rFonts w:cs="Arial"/>
        </w:rPr>
        <w:t xml:space="preserve">The food categories that contribute to L-carnitine dietary intakes change under the </w:t>
      </w:r>
      <w:r w:rsidRPr="00DC644E">
        <w:rPr>
          <w:rFonts w:cs="Arial"/>
          <w:i/>
        </w:rPr>
        <w:t>Consumer behaviour</w:t>
      </w:r>
      <w:r w:rsidRPr="00DC644E">
        <w:rPr>
          <w:rFonts w:cs="Arial"/>
        </w:rPr>
        <w:t xml:space="preserve"> scenario in comparison to the </w:t>
      </w:r>
      <w:r w:rsidRPr="00DC644E">
        <w:rPr>
          <w:rFonts w:cs="Arial"/>
          <w:i/>
        </w:rPr>
        <w:t>Baseline</w:t>
      </w:r>
      <w:r w:rsidRPr="00DC644E">
        <w:rPr>
          <w:rFonts w:cs="Arial"/>
        </w:rPr>
        <w:t xml:space="preserve">. </w:t>
      </w:r>
      <w:r w:rsidRPr="00DC644E">
        <w:rPr>
          <w:rFonts w:cs="Arial"/>
          <w:i/>
        </w:rPr>
        <w:t>Non-alcoholic and alcoholic beverages</w:t>
      </w:r>
      <w:r w:rsidRPr="004A0269">
        <w:rPr>
          <w:rFonts w:cs="Arial"/>
        </w:rPr>
        <w:t xml:space="preserve"> (</w:t>
      </w:r>
      <w:r w:rsidRPr="00724C75">
        <w:rPr>
          <w:rFonts w:cs="Arial"/>
        </w:rPr>
        <w:t>2</w:t>
      </w:r>
      <w:r w:rsidRPr="00CA57A0">
        <w:rPr>
          <w:rFonts w:cs="Arial"/>
        </w:rPr>
        <w:t>7–</w:t>
      </w:r>
      <w:r w:rsidRPr="00DC644E">
        <w:rPr>
          <w:rFonts w:cs="Arial"/>
        </w:rPr>
        <w:t xml:space="preserve">44%) is the major contributing food category for all age groups assessed, followed by </w:t>
      </w:r>
      <w:r w:rsidRPr="00DC644E">
        <w:rPr>
          <w:rFonts w:cs="Arial"/>
          <w:i/>
        </w:rPr>
        <w:t xml:space="preserve">Dairy products (excluding butter and butter fats) </w:t>
      </w:r>
      <w:r w:rsidRPr="00DC644E">
        <w:rPr>
          <w:rFonts w:cs="Arial"/>
        </w:rPr>
        <w:t>(13–3</w:t>
      </w:r>
      <w:r w:rsidRPr="00D67A8C">
        <w:rPr>
          <w:rFonts w:cs="Arial"/>
        </w:rPr>
        <w:t>5</w:t>
      </w:r>
      <w:r w:rsidRPr="00DC644E">
        <w:rPr>
          <w:rFonts w:cs="Arial"/>
        </w:rPr>
        <w:t xml:space="preserve">%), </w:t>
      </w:r>
      <w:r w:rsidRPr="00DC644E">
        <w:rPr>
          <w:rFonts w:cs="Arial"/>
          <w:i/>
        </w:rPr>
        <w:t>Commercial mixed foods</w:t>
      </w:r>
      <w:r w:rsidRPr="00DC644E">
        <w:rPr>
          <w:rFonts w:cs="Arial"/>
        </w:rPr>
        <w:t xml:space="preserve"> (16–19%), </w:t>
      </w:r>
      <w:r w:rsidRPr="00DC644E">
        <w:rPr>
          <w:rFonts w:cs="Arial"/>
          <w:i/>
        </w:rPr>
        <w:t xml:space="preserve">Meat &amp; meat products (including poultry and game) </w:t>
      </w:r>
      <w:r w:rsidRPr="00DC644E">
        <w:rPr>
          <w:rFonts w:cs="Arial"/>
        </w:rPr>
        <w:t>(</w:t>
      </w:r>
      <w:r w:rsidRPr="00D67A8C">
        <w:rPr>
          <w:rFonts w:cs="Arial"/>
        </w:rPr>
        <w:t>8</w:t>
      </w:r>
      <w:r w:rsidRPr="00DC644E">
        <w:rPr>
          <w:rFonts w:cs="Arial"/>
        </w:rPr>
        <w:t xml:space="preserve">–11%) and </w:t>
      </w:r>
      <w:r w:rsidRPr="00DC644E">
        <w:rPr>
          <w:rFonts w:cs="Arial"/>
          <w:i/>
        </w:rPr>
        <w:t>Foods intended for particular dietary uses</w:t>
      </w:r>
      <w:r w:rsidRPr="00DC644E">
        <w:rPr>
          <w:rFonts w:cs="Arial"/>
        </w:rPr>
        <w:t xml:space="preserve"> (5–7%)</w:t>
      </w:r>
      <w:r>
        <w:rPr>
          <w:rFonts w:cs="Arial"/>
        </w:rPr>
        <w:t>.</w:t>
      </w:r>
      <w:r w:rsidRPr="00DC644E">
        <w:rPr>
          <w:rFonts w:cs="Arial"/>
        </w:rPr>
        <w:t xml:space="preserve"> The food group of </w:t>
      </w:r>
      <w:r w:rsidRPr="00DC644E">
        <w:rPr>
          <w:rFonts w:cs="Arial"/>
          <w:i/>
        </w:rPr>
        <w:t xml:space="preserve">Cereals &amp; cereal products </w:t>
      </w:r>
      <w:r w:rsidRPr="00DC644E">
        <w:rPr>
          <w:rFonts w:cs="Arial"/>
        </w:rPr>
        <w:t xml:space="preserve">is a major contributor for adults </w:t>
      </w:r>
      <w:r w:rsidRPr="004A0269">
        <w:rPr>
          <w:rFonts w:cs="Arial"/>
        </w:rPr>
        <w:t xml:space="preserve">aged 18-70 years and for the general Australian </w:t>
      </w:r>
      <w:r w:rsidRPr="00724C75">
        <w:rPr>
          <w:rFonts w:cs="Arial"/>
        </w:rPr>
        <w:t>population aged 2 years and above (</w:t>
      </w:r>
      <w:r w:rsidRPr="00CA57A0">
        <w:rPr>
          <w:rFonts w:cs="Arial"/>
        </w:rPr>
        <w:t>6</w:t>
      </w:r>
      <w:r w:rsidRPr="004A0269">
        <w:rPr>
          <w:rFonts w:cs="Arial"/>
        </w:rPr>
        <w:t xml:space="preserve">%). </w:t>
      </w:r>
      <w:r w:rsidRPr="004A0269">
        <w:rPr>
          <w:rFonts w:cs="Arial"/>
          <w:i/>
        </w:rPr>
        <w:t>Confectionary</w:t>
      </w:r>
      <w:r w:rsidRPr="004A0269">
        <w:rPr>
          <w:rFonts w:cs="Arial"/>
        </w:rPr>
        <w:t xml:space="preserve"> (5–6%) is a major contributor for children aged </w:t>
      </w:r>
      <w:r w:rsidR="00224011">
        <w:rPr>
          <w:rFonts w:cs="Arial"/>
        </w:rPr>
        <w:br/>
      </w:r>
      <w:r w:rsidRPr="004A0269">
        <w:rPr>
          <w:rFonts w:cs="Arial"/>
        </w:rPr>
        <w:t>2-17 years.</w:t>
      </w:r>
    </w:p>
    <w:p w14:paraId="0CECBB84" w14:textId="77777777" w:rsidR="00785714" w:rsidRPr="004A0269" w:rsidRDefault="00785714" w:rsidP="00785714">
      <w:pPr>
        <w:rPr>
          <w:rFonts w:cs="Arial"/>
        </w:rPr>
      </w:pPr>
    </w:p>
    <w:p w14:paraId="70E26914" w14:textId="77E3376D" w:rsidR="00785714" w:rsidRPr="004A0269" w:rsidRDefault="00785714" w:rsidP="00785714">
      <w:pPr>
        <w:rPr>
          <w:rFonts w:cs="Arial"/>
        </w:rPr>
      </w:pPr>
      <w:r w:rsidRPr="004A0269">
        <w:rPr>
          <w:rFonts w:cs="Arial"/>
        </w:rPr>
        <w:t xml:space="preserve">Within the </w:t>
      </w:r>
      <w:r w:rsidRPr="004A0269">
        <w:rPr>
          <w:rFonts w:cs="Arial"/>
          <w:i/>
        </w:rPr>
        <w:t>Non-alcoholic and alcoholic beverages</w:t>
      </w:r>
      <w:r w:rsidRPr="004A0269">
        <w:rPr>
          <w:rFonts w:cs="Arial"/>
        </w:rPr>
        <w:t xml:space="preserve"> food category, </w:t>
      </w:r>
      <w:r w:rsidRPr="00724C75">
        <w:rPr>
          <w:rFonts w:cs="Arial"/>
        </w:rPr>
        <w:t>Soft drinks</w:t>
      </w:r>
      <w:r w:rsidRPr="00CA57A0">
        <w:rPr>
          <w:rFonts w:cs="Arial"/>
        </w:rPr>
        <w:t xml:space="preserve"> (excluding intensely sweetened) </w:t>
      </w:r>
      <w:r w:rsidRPr="004A0269">
        <w:rPr>
          <w:rFonts w:cs="Arial"/>
        </w:rPr>
        <w:t>(9–29%) is the major contributing food group, followed by Fruit &amp; vegetable juices &amp; fruit &amp; vegetable juice products (7–15%).</w:t>
      </w:r>
    </w:p>
    <w:p w14:paraId="38E611F6" w14:textId="77777777" w:rsidR="00785714" w:rsidRPr="004A0269" w:rsidRDefault="00785714" w:rsidP="00785714">
      <w:pPr>
        <w:rPr>
          <w:rFonts w:cs="Arial"/>
        </w:rPr>
      </w:pPr>
    </w:p>
    <w:p w14:paraId="6D4BE135" w14:textId="6C39C2F4" w:rsidR="00785714" w:rsidRPr="004A0269" w:rsidRDefault="00785714" w:rsidP="00785714">
      <w:pPr>
        <w:rPr>
          <w:rFonts w:cs="Arial"/>
        </w:rPr>
      </w:pPr>
      <w:r w:rsidRPr="00DC644E">
        <w:rPr>
          <w:rFonts w:cs="Arial"/>
        </w:rPr>
        <w:t xml:space="preserve">Within the </w:t>
      </w:r>
      <w:r w:rsidRPr="00DC644E">
        <w:rPr>
          <w:rFonts w:cs="Arial"/>
          <w:i/>
        </w:rPr>
        <w:t>Dairy products (excluding butter and butter fats)</w:t>
      </w:r>
      <w:r w:rsidRPr="00DC644E">
        <w:rPr>
          <w:rFonts w:cs="Arial"/>
        </w:rPr>
        <w:t xml:space="preserve"> food category, Flavoured fermented &amp; rennetted milk products (e.g. flavoured yoghurt)</w:t>
      </w:r>
      <w:r w:rsidRPr="004A0269">
        <w:rPr>
          <w:rFonts w:cs="Arial"/>
        </w:rPr>
        <w:t xml:space="preserve"> is the major contributing food group (6–24%) to L-carnitine dietary intakes for all age groups assessed. Liquid milk products and flavoured liquid milk is a major contributor for children aged 7-17 years</w:t>
      </w:r>
      <w:r w:rsidRPr="00D67A8C">
        <w:rPr>
          <w:rFonts w:cs="Arial"/>
        </w:rPr>
        <w:t xml:space="preserve"> (5%)</w:t>
      </w:r>
      <w:r w:rsidRPr="004A0269">
        <w:rPr>
          <w:rFonts w:cs="Arial"/>
        </w:rPr>
        <w:t>.</w:t>
      </w:r>
    </w:p>
    <w:p w14:paraId="130B9C1A" w14:textId="77777777" w:rsidR="00785714" w:rsidRPr="004A0269" w:rsidRDefault="00785714" w:rsidP="00785714">
      <w:pPr>
        <w:rPr>
          <w:rFonts w:cs="Arial"/>
        </w:rPr>
      </w:pPr>
    </w:p>
    <w:p w14:paraId="3F705003" w14:textId="19E4CDAF" w:rsidR="00785714" w:rsidRPr="004A0269" w:rsidRDefault="00785714" w:rsidP="00785714">
      <w:pPr>
        <w:rPr>
          <w:rFonts w:cs="Arial"/>
        </w:rPr>
      </w:pPr>
      <w:r w:rsidRPr="004A0269">
        <w:rPr>
          <w:rFonts w:cs="Arial"/>
        </w:rPr>
        <w:t xml:space="preserve">Cereal bars (5–12%) is the major contributing food group within the </w:t>
      </w:r>
      <w:r w:rsidRPr="004A0269">
        <w:rPr>
          <w:rFonts w:cs="Arial"/>
          <w:i/>
        </w:rPr>
        <w:t xml:space="preserve">Commercial mixed foods </w:t>
      </w:r>
      <w:r w:rsidRPr="0029603E">
        <w:rPr>
          <w:rFonts w:cs="Arial"/>
        </w:rPr>
        <w:t>category</w:t>
      </w:r>
      <w:r w:rsidRPr="0029603E">
        <w:t>. For all aged groups except for children aged 2-6 years</w:t>
      </w:r>
      <w:r w:rsidRPr="00D67A8C">
        <w:t xml:space="preserve"> (3%)</w:t>
      </w:r>
      <w:r w:rsidRPr="004A0269">
        <w:t>, the food group of Ready-to-eat mueslis is a major contributor (5–12%).</w:t>
      </w:r>
    </w:p>
    <w:p w14:paraId="52BA5044" w14:textId="77777777" w:rsidR="00785714" w:rsidRPr="004A0269" w:rsidRDefault="00785714" w:rsidP="00785714">
      <w:pPr>
        <w:rPr>
          <w:rFonts w:cs="Arial"/>
        </w:rPr>
      </w:pPr>
    </w:p>
    <w:p w14:paraId="50A61DFD" w14:textId="77777777" w:rsidR="00785714" w:rsidRPr="004A0269" w:rsidRDefault="00785714" w:rsidP="00785714">
      <w:pPr>
        <w:rPr>
          <w:rFonts w:cs="Arial"/>
        </w:rPr>
      </w:pPr>
      <w:r w:rsidRPr="00724C75">
        <w:rPr>
          <w:rFonts w:cs="Arial"/>
        </w:rPr>
        <w:t xml:space="preserve">Within the </w:t>
      </w:r>
      <w:r w:rsidRPr="00CA57A0">
        <w:rPr>
          <w:rFonts w:cs="Arial"/>
          <w:i/>
        </w:rPr>
        <w:t>Foods intended for particular dietary uses</w:t>
      </w:r>
      <w:r w:rsidRPr="00CA57A0">
        <w:rPr>
          <w:rFonts w:cs="Arial"/>
        </w:rPr>
        <w:t xml:space="preserve"> category, Liquid formula meal replacement &amp; formulated supplementary foods is a major contributor (5%) for Australian children aged 2-</w:t>
      </w:r>
      <w:r w:rsidRPr="004A0269">
        <w:rPr>
          <w:rFonts w:cs="Arial"/>
        </w:rPr>
        <w:t>17 years.</w:t>
      </w:r>
    </w:p>
    <w:p w14:paraId="0FD95239" w14:textId="77777777" w:rsidR="00785714" w:rsidRPr="00DC644E" w:rsidRDefault="00785714" w:rsidP="00785714">
      <w:pPr>
        <w:rPr>
          <w:rFonts w:cs="Arial"/>
        </w:rPr>
      </w:pPr>
    </w:p>
    <w:p w14:paraId="1F3409FC" w14:textId="77460B0F" w:rsidR="00785714" w:rsidRPr="00DC644E" w:rsidRDefault="00785714" w:rsidP="00785714">
      <w:pPr>
        <w:rPr>
          <w:rFonts w:cs="Arial"/>
        </w:rPr>
      </w:pPr>
      <w:r w:rsidRPr="004A0269">
        <w:rPr>
          <w:rFonts w:cs="Arial"/>
        </w:rPr>
        <w:t xml:space="preserve">Within the </w:t>
      </w:r>
      <w:r w:rsidRPr="004A0269">
        <w:rPr>
          <w:rFonts w:cs="Arial"/>
          <w:i/>
        </w:rPr>
        <w:t xml:space="preserve">Meat &amp; meat products </w:t>
      </w:r>
      <w:r w:rsidRPr="004A0269">
        <w:rPr>
          <w:rFonts w:cs="Arial"/>
        </w:rPr>
        <w:t>food cat</w:t>
      </w:r>
      <w:r w:rsidRPr="0029603E">
        <w:rPr>
          <w:rFonts w:cs="Arial"/>
        </w:rPr>
        <w:t>egory, Red meat excluding game is the major contributing food group (</w:t>
      </w:r>
      <w:r w:rsidRPr="00724C75">
        <w:rPr>
          <w:rFonts w:cs="Arial"/>
        </w:rPr>
        <w:t>5</w:t>
      </w:r>
      <w:r w:rsidRPr="00CA57A0">
        <w:rPr>
          <w:rFonts w:cs="Arial"/>
        </w:rPr>
        <w:t>–8%) to L-carnitine dietary intakes for all age groups assessed</w:t>
      </w:r>
      <w:r w:rsidRPr="00DC644E">
        <w:t>.</w:t>
      </w:r>
    </w:p>
    <w:p w14:paraId="2A6FC1A5" w14:textId="77777777" w:rsidR="00785714" w:rsidRPr="00DC644E" w:rsidRDefault="00785714" w:rsidP="00785714">
      <w:pPr>
        <w:rPr>
          <w:rFonts w:cs="Arial"/>
        </w:rPr>
      </w:pPr>
    </w:p>
    <w:p w14:paraId="1C649A28" w14:textId="635AC4C3" w:rsidR="00785714" w:rsidRPr="00CA57A0" w:rsidRDefault="00785714" w:rsidP="00785714">
      <w:pPr>
        <w:rPr>
          <w:rFonts w:cs="Arial"/>
        </w:rPr>
      </w:pPr>
      <w:r w:rsidRPr="00CA57A0">
        <w:rPr>
          <w:rFonts w:cs="Arial"/>
        </w:rPr>
        <w:t xml:space="preserve">Within the </w:t>
      </w:r>
      <w:r w:rsidRPr="00CA57A0">
        <w:rPr>
          <w:rFonts w:cs="Arial"/>
          <w:i/>
        </w:rPr>
        <w:t>Cereals &amp; cereal products</w:t>
      </w:r>
      <w:r w:rsidRPr="00CA57A0">
        <w:rPr>
          <w:rFonts w:cs="Arial"/>
        </w:rPr>
        <w:t xml:space="preserve"> food category</w:t>
      </w:r>
      <w:r w:rsidRPr="00CA57A0">
        <w:rPr>
          <w:rFonts w:cs="Arial"/>
          <w:i/>
        </w:rPr>
        <w:t xml:space="preserve">, </w:t>
      </w:r>
      <w:r w:rsidRPr="00CA57A0">
        <w:rPr>
          <w:rFonts w:cs="Arial"/>
        </w:rPr>
        <w:t xml:space="preserve">Plain oats is the major contributor for adults aged 18-70 years and for the general population aged 2 years and above (5%). When Flavoured oat porridge mixes are taken into account (from the </w:t>
      </w:r>
      <w:r w:rsidRPr="00CA57A0">
        <w:rPr>
          <w:rFonts w:cs="Arial"/>
          <w:i/>
        </w:rPr>
        <w:t>Commercial mixed foods</w:t>
      </w:r>
      <w:r w:rsidRPr="00CA57A0">
        <w:rPr>
          <w:rFonts w:cs="Arial"/>
        </w:rPr>
        <w:t xml:space="preserve"> category) with </w:t>
      </w:r>
      <w:r w:rsidR="00474302" w:rsidRPr="00474302">
        <w:rPr>
          <w:rFonts w:cs="Arial"/>
        </w:rPr>
        <w:t>P</w:t>
      </w:r>
      <w:r w:rsidR="00224011" w:rsidRPr="00CA57A0">
        <w:rPr>
          <w:rFonts w:cs="Arial"/>
        </w:rPr>
        <w:t xml:space="preserve">lain </w:t>
      </w:r>
      <w:r w:rsidRPr="00CA57A0">
        <w:rPr>
          <w:rFonts w:cs="Arial"/>
        </w:rPr>
        <w:t xml:space="preserve">oats (from the </w:t>
      </w:r>
      <w:r w:rsidRPr="00CA57A0">
        <w:rPr>
          <w:rFonts w:cs="Arial"/>
          <w:i/>
        </w:rPr>
        <w:t xml:space="preserve">Cereals &amp; cereal products </w:t>
      </w:r>
      <w:r w:rsidRPr="00CA57A0">
        <w:rPr>
          <w:rFonts w:cs="Arial"/>
        </w:rPr>
        <w:t>category), all oat porridges contribute to 6% of L-carnitine dietary intakes for Australian adults aged 18-70 years and for the general population aged 2 years and above.</w:t>
      </w:r>
    </w:p>
    <w:p w14:paraId="5A7AA162" w14:textId="77777777" w:rsidR="00785714" w:rsidRPr="00056F01" w:rsidRDefault="00785714" w:rsidP="00785714">
      <w:pPr>
        <w:rPr>
          <w:rFonts w:cs="Arial"/>
        </w:rPr>
      </w:pPr>
    </w:p>
    <w:p w14:paraId="2D8E16ED" w14:textId="174B0894" w:rsidR="00785714" w:rsidRPr="00EB0D98" w:rsidRDefault="00785714" w:rsidP="00785714">
      <w:r w:rsidRPr="00EB0D98">
        <w:t xml:space="preserve">See </w:t>
      </w:r>
      <w:r w:rsidRPr="00EB0D98">
        <w:fldChar w:fldCharType="begin"/>
      </w:r>
      <w:r w:rsidRPr="00EB0D98">
        <w:instrText xml:space="preserve"> REF _Ref509588836 \h  \* MERGEFORMAT </w:instrText>
      </w:r>
      <w:r w:rsidRPr="00EB0D98">
        <w:fldChar w:fldCharType="separate"/>
      </w:r>
      <w:r w:rsidR="00872715" w:rsidRPr="00B83846">
        <w:t>Table A</w:t>
      </w:r>
      <w:r w:rsidR="00872715">
        <w:t>3.2</w:t>
      </w:r>
      <w:r w:rsidRPr="00EB0D98">
        <w:fldChar w:fldCharType="end"/>
      </w:r>
      <w:r w:rsidRPr="00EB0D98">
        <w:t xml:space="preserve"> in</w:t>
      </w:r>
      <w:r w:rsidR="00AC5EF1">
        <w:t xml:space="preserve"> Appendix 3</w:t>
      </w:r>
      <w:r w:rsidRPr="00EB0D98">
        <w:t xml:space="preserve"> for further details.</w:t>
      </w:r>
    </w:p>
    <w:p w14:paraId="3F125245" w14:textId="77777777" w:rsidR="00785714" w:rsidRPr="00005E43" w:rsidRDefault="00785714" w:rsidP="00785714">
      <w:pPr>
        <w:pStyle w:val="Heading4"/>
      </w:pPr>
      <w:r w:rsidRPr="00005E43">
        <w:t>New Zealand general population groups (aged 5 years and above)</w:t>
      </w:r>
    </w:p>
    <w:p w14:paraId="3CEB088B" w14:textId="77777777" w:rsidR="00785714" w:rsidRPr="00EB0D98" w:rsidRDefault="00785714" w:rsidP="00785714">
      <w:pPr>
        <w:pStyle w:val="Heading5"/>
      </w:pPr>
      <w:r w:rsidRPr="00EB0D98">
        <w:t>Baseline</w:t>
      </w:r>
    </w:p>
    <w:p w14:paraId="1FB3906B" w14:textId="391369B2" w:rsidR="00785714" w:rsidRPr="004A0269" w:rsidRDefault="00785714" w:rsidP="00785714">
      <w:pPr>
        <w:rPr>
          <w:rFonts w:cs="Arial"/>
        </w:rPr>
      </w:pPr>
      <w:r w:rsidRPr="004A0269">
        <w:rPr>
          <w:rFonts w:cs="Arial"/>
        </w:rPr>
        <w:t xml:space="preserve">At </w:t>
      </w:r>
      <w:r w:rsidRPr="004A0269">
        <w:rPr>
          <w:rFonts w:cs="Arial"/>
          <w:i/>
        </w:rPr>
        <w:t>Baseline</w:t>
      </w:r>
      <w:r w:rsidRPr="004A0269">
        <w:rPr>
          <w:rFonts w:cs="Arial"/>
        </w:rPr>
        <w:t xml:space="preserve">, </w:t>
      </w:r>
      <w:r w:rsidRPr="004A0269">
        <w:rPr>
          <w:rFonts w:cs="Arial"/>
          <w:i/>
        </w:rPr>
        <w:t xml:space="preserve">Meat &amp; meat products (including poultry and game) </w:t>
      </w:r>
      <w:r w:rsidRPr="004A0269">
        <w:rPr>
          <w:rFonts w:cs="Arial"/>
        </w:rPr>
        <w:t>(</w:t>
      </w:r>
      <w:r w:rsidRPr="00A629CE">
        <w:rPr>
          <w:rFonts w:cs="Arial"/>
        </w:rPr>
        <w:t>73</w:t>
      </w:r>
      <w:r w:rsidRPr="004A0269">
        <w:rPr>
          <w:rFonts w:cs="Arial"/>
        </w:rPr>
        <w:t>–</w:t>
      </w:r>
      <w:r w:rsidRPr="00A629CE">
        <w:rPr>
          <w:rFonts w:cs="Arial"/>
        </w:rPr>
        <w:t>78</w:t>
      </w:r>
      <w:r w:rsidRPr="004A0269">
        <w:rPr>
          <w:rFonts w:cs="Arial"/>
        </w:rPr>
        <w:t>%)</w:t>
      </w:r>
      <w:r>
        <w:rPr>
          <w:rFonts w:cs="Arial"/>
        </w:rPr>
        <w:t xml:space="preserve"> and</w:t>
      </w:r>
      <w:r w:rsidRPr="004A0269">
        <w:rPr>
          <w:rFonts w:cs="Arial"/>
        </w:rPr>
        <w:t xml:space="preserve"> </w:t>
      </w:r>
      <w:r w:rsidRPr="004A0269">
        <w:rPr>
          <w:rFonts w:cs="Arial"/>
          <w:i/>
        </w:rPr>
        <w:t xml:space="preserve">Dairy products (excluding butter and butter fats) </w:t>
      </w:r>
      <w:r w:rsidRPr="004A0269">
        <w:rPr>
          <w:rFonts w:cs="Arial"/>
        </w:rPr>
        <w:t>(</w:t>
      </w:r>
      <w:r w:rsidRPr="00A629CE">
        <w:rPr>
          <w:rFonts w:cs="Arial"/>
        </w:rPr>
        <w:t>14</w:t>
      </w:r>
      <w:r w:rsidRPr="004A0269">
        <w:rPr>
          <w:rFonts w:cs="Arial"/>
        </w:rPr>
        <w:t>–</w:t>
      </w:r>
      <w:r w:rsidRPr="00A629CE">
        <w:rPr>
          <w:rFonts w:cs="Arial"/>
        </w:rPr>
        <w:t>17</w:t>
      </w:r>
      <w:r w:rsidRPr="004A0269">
        <w:rPr>
          <w:rFonts w:cs="Arial"/>
        </w:rPr>
        <w:t>%) are the major contributing food categories to L-carnitine dietary intakes.</w:t>
      </w:r>
      <w:r w:rsidRPr="00A629CE">
        <w:rPr>
          <w:rFonts w:cs="Arial"/>
        </w:rPr>
        <w:t xml:space="preserve"> </w:t>
      </w:r>
    </w:p>
    <w:p w14:paraId="46B81D21" w14:textId="77777777" w:rsidR="00785714" w:rsidRPr="004A0269" w:rsidRDefault="00785714" w:rsidP="00785714">
      <w:pPr>
        <w:rPr>
          <w:rFonts w:cs="Arial"/>
        </w:rPr>
      </w:pPr>
    </w:p>
    <w:p w14:paraId="2042670A" w14:textId="124016FA" w:rsidR="00785714" w:rsidRPr="004A0269" w:rsidRDefault="00785714" w:rsidP="00785714">
      <w:pPr>
        <w:rPr>
          <w:rFonts w:cs="Arial"/>
        </w:rPr>
      </w:pPr>
      <w:r w:rsidRPr="004A0269">
        <w:rPr>
          <w:rFonts w:cs="Arial"/>
        </w:rPr>
        <w:t xml:space="preserve">Within the </w:t>
      </w:r>
      <w:r w:rsidRPr="004A0269">
        <w:rPr>
          <w:rFonts w:cs="Arial"/>
          <w:i/>
        </w:rPr>
        <w:t>Dairy products (excluding butter and butter fats)</w:t>
      </w:r>
      <w:r w:rsidRPr="0029603E">
        <w:rPr>
          <w:rFonts w:cs="Arial"/>
        </w:rPr>
        <w:t xml:space="preserve"> food category, Plain milk is the major contributing food group (10–</w:t>
      </w:r>
      <w:r w:rsidRPr="00A629CE">
        <w:rPr>
          <w:rFonts w:cs="Arial"/>
        </w:rPr>
        <w:t>14</w:t>
      </w:r>
      <w:r w:rsidRPr="004A0269">
        <w:rPr>
          <w:rFonts w:cs="Arial"/>
        </w:rPr>
        <w:t>%) to L-carnitine dietary intakes.</w:t>
      </w:r>
    </w:p>
    <w:p w14:paraId="2E779B43" w14:textId="77777777" w:rsidR="00785714" w:rsidRPr="004A0269" w:rsidRDefault="00785714" w:rsidP="00785714">
      <w:pPr>
        <w:rPr>
          <w:rFonts w:cs="Arial"/>
        </w:rPr>
      </w:pPr>
    </w:p>
    <w:p w14:paraId="3D8C2EC2" w14:textId="2909FD2E" w:rsidR="00785714" w:rsidRPr="008B7F58" w:rsidRDefault="00785714" w:rsidP="00785714">
      <w:pPr>
        <w:rPr>
          <w:rFonts w:cs="Arial"/>
        </w:rPr>
      </w:pPr>
      <w:r w:rsidRPr="004A0269">
        <w:rPr>
          <w:rFonts w:cs="Arial"/>
        </w:rPr>
        <w:t xml:space="preserve">Within the </w:t>
      </w:r>
      <w:r w:rsidRPr="004A0269">
        <w:rPr>
          <w:rFonts w:cs="Arial"/>
          <w:i/>
        </w:rPr>
        <w:t xml:space="preserve">Meat &amp; meat products </w:t>
      </w:r>
      <w:r w:rsidRPr="004A0269">
        <w:rPr>
          <w:rFonts w:cs="Arial"/>
        </w:rPr>
        <w:t>food cate</w:t>
      </w:r>
      <w:r w:rsidRPr="0029603E">
        <w:rPr>
          <w:rFonts w:cs="Arial"/>
        </w:rPr>
        <w:t>gory, Red meat excluding game is the major contributing food group (5</w:t>
      </w:r>
      <w:r w:rsidRPr="00A629CE">
        <w:rPr>
          <w:rFonts w:cs="Arial"/>
        </w:rPr>
        <w:t>0</w:t>
      </w:r>
      <w:r w:rsidRPr="004A0269">
        <w:rPr>
          <w:rFonts w:cs="Arial"/>
        </w:rPr>
        <w:t>–5</w:t>
      </w:r>
      <w:r w:rsidRPr="00A629CE">
        <w:rPr>
          <w:rFonts w:cs="Arial"/>
        </w:rPr>
        <w:t>2</w:t>
      </w:r>
      <w:r w:rsidRPr="004A0269">
        <w:rPr>
          <w:rFonts w:cs="Arial"/>
        </w:rPr>
        <w:t xml:space="preserve">%) to L-carnitine dietary intakes for all general age groups assessed, followed </w:t>
      </w:r>
      <w:r w:rsidRPr="0029603E">
        <w:rPr>
          <w:rFonts w:cs="Arial"/>
        </w:rPr>
        <w:t>by</w:t>
      </w:r>
      <w:r w:rsidRPr="004A0269">
        <w:rPr>
          <w:rFonts w:cs="Arial"/>
        </w:rPr>
        <w:t xml:space="preserve"> Game meat (5–</w:t>
      </w:r>
      <w:r w:rsidRPr="00A629CE">
        <w:rPr>
          <w:rFonts w:cs="Arial"/>
        </w:rPr>
        <w:t>8</w:t>
      </w:r>
      <w:r w:rsidRPr="004A0269">
        <w:rPr>
          <w:rFonts w:cs="Arial"/>
        </w:rPr>
        <w:t>%) and Poultry (5</w:t>
      </w:r>
      <w:r w:rsidRPr="0029603E">
        <w:rPr>
          <w:rFonts w:cs="Arial"/>
        </w:rPr>
        <w:t xml:space="preserve">%). For all age groups except for </w:t>
      </w:r>
      <w:r w:rsidRPr="0029603E">
        <w:rPr>
          <w:rFonts w:cs="Arial"/>
        </w:rPr>
        <w:lastRenderedPageBreak/>
        <w:t>children aged 5-14 years</w:t>
      </w:r>
      <w:r w:rsidRPr="00A629CE">
        <w:rPr>
          <w:rFonts w:cs="Arial"/>
        </w:rPr>
        <w:t xml:space="preserve"> (4%)</w:t>
      </w:r>
      <w:r w:rsidRPr="0029603E">
        <w:rPr>
          <w:rFonts w:cs="Arial"/>
        </w:rPr>
        <w:t>, Processed meat/poultry/game products in whole/cut pieces (e.g. ham, bacon, sm</w:t>
      </w:r>
      <w:r w:rsidRPr="00724C75">
        <w:rPr>
          <w:rFonts w:cs="Arial"/>
        </w:rPr>
        <w:t>oked chicken)</w:t>
      </w:r>
      <w:r w:rsidRPr="00CA57A0">
        <w:rPr>
          <w:rFonts w:cs="Arial"/>
        </w:rPr>
        <w:t xml:space="preserve"> is a major contributor to L-carnitine intakes (5%).</w:t>
      </w:r>
      <w:r>
        <w:rPr>
          <w:rFonts w:cs="Arial"/>
        </w:rPr>
        <w:t xml:space="preserve"> Sausages and sausage meat is a major contributing food group for children aged </w:t>
      </w:r>
      <w:r w:rsidR="00224011">
        <w:rPr>
          <w:rFonts w:cs="Arial"/>
        </w:rPr>
        <w:br/>
      </w:r>
      <w:r>
        <w:rPr>
          <w:rFonts w:cs="Arial"/>
        </w:rPr>
        <w:t>5-14 years.</w:t>
      </w:r>
    </w:p>
    <w:p w14:paraId="45EAA503" w14:textId="77777777" w:rsidR="00785714" w:rsidRPr="008B7F58" w:rsidRDefault="00785714" w:rsidP="00785714">
      <w:pPr>
        <w:rPr>
          <w:rFonts w:cs="Arial"/>
        </w:rPr>
      </w:pPr>
    </w:p>
    <w:p w14:paraId="55C94A71" w14:textId="2C1C5B8F" w:rsidR="00785714" w:rsidRPr="00EB0D98" w:rsidRDefault="00785714" w:rsidP="00785714">
      <w:r w:rsidRPr="00EB0D98">
        <w:t>See</w:t>
      </w:r>
      <w:r>
        <w:t xml:space="preserve"> </w:t>
      </w:r>
      <w:r>
        <w:fldChar w:fldCharType="begin"/>
      </w:r>
      <w:r>
        <w:instrText xml:space="preserve"> REF _Ref516244200 \h </w:instrText>
      </w:r>
      <w:r w:rsidR="00645604">
        <w:instrText xml:space="preserve"> \* MERGEFORMAT </w:instrText>
      </w:r>
      <w:r>
        <w:fldChar w:fldCharType="separate"/>
      </w:r>
      <w:r w:rsidR="00872715">
        <w:t>Table A3.</w:t>
      </w:r>
      <w:r w:rsidR="00872715">
        <w:rPr>
          <w:noProof/>
        </w:rPr>
        <w:t>6</w:t>
      </w:r>
      <w:r>
        <w:fldChar w:fldCharType="end"/>
      </w:r>
      <w:r>
        <w:t xml:space="preserve"> </w:t>
      </w:r>
      <w:r w:rsidRPr="00005E43">
        <w:t>in</w:t>
      </w:r>
      <w:r w:rsidR="00AC5EF1">
        <w:t xml:space="preserve"> Appendix 3</w:t>
      </w:r>
      <w:r w:rsidRPr="00EB0D98">
        <w:t xml:space="preserve"> for further details.</w:t>
      </w:r>
    </w:p>
    <w:p w14:paraId="2639AF8A" w14:textId="77777777" w:rsidR="00785714" w:rsidRPr="00005E43" w:rsidRDefault="00785714" w:rsidP="00785714">
      <w:pPr>
        <w:pStyle w:val="Heading5"/>
      </w:pPr>
      <w:r w:rsidRPr="00005E43">
        <w:t>Sports food increase scenario</w:t>
      </w:r>
    </w:p>
    <w:p w14:paraId="0E0FF67C" w14:textId="0AD2783F" w:rsidR="00785714" w:rsidRPr="00CA57A0" w:rsidRDefault="00785714" w:rsidP="00785714">
      <w:pPr>
        <w:rPr>
          <w:rFonts w:cs="Arial"/>
        </w:rPr>
      </w:pPr>
      <w:r w:rsidRPr="0029603E">
        <w:rPr>
          <w:rFonts w:cs="Arial"/>
        </w:rPr>
        <w:t xml:space="preserve">Under the </w:t>
      </w:r>
      <w:r w:rsidRPr="0029603E">
        <w:rPr>
          <w:rFonts w:cs="Arial"/>
          <w:i/>
        </w:rPr>
        <w:t>Sports food increase</w:t>
      </w:r>
      <w:r w:rsidRPr="0029603E">
        <w:rPr>
          <w:rFonts w:cs="Arial"/>
        </w:rPr>
        <w:t xml:space="preserve"> scenario, </w:t>
      </w:r>
      <w:r w:rsidRPr="0029603E">
        <w:rPr>
          <w:rFonts w:cs="Arial"/>
          <w:i/>
        </w:rPr>
        <w:t xml:space="preserve">Meat &amp; meat products (including poultry and game) </w:t>
      </w:r>
      <w:r w:rsidRPr="0029603E">
        <w:rPr>
          <w:rFonts w:cs="Arial"/>
        </w:rPr>
        <w:t>(7</w:t>
      </w:r>
      <w:r w:rsidRPr="00A629CE">
        <w:rPr>
          <w:rFonts w:cs="Arial"/>
        </w:rPr>
        <w:t>3</w:t>
      </w:r>
      <w:r w:rsidRPr="0029603E">
        <w:rPr>
          <w:rFonts w:cs="Arial"/>
        </w:rPr>
        <w:t>–7</w:t>
      </w:r>
      <w:r w:rsidRPr="00A629CE">
        <w:rPr>
          <w:rFonts w:cs="Arial"/>
        </w:rPr>
        <w:t>7</w:t>
      </w:r>
      <w:r w:rsidRPr="0029603E">
        <w:rPr>
          <w:rFonts w:cs="Arial"/>
        </w:rPr>
        <w:t xml:space="preserve">%) and </w:t>
      </w:r>
      <w:r w:rsidRPr="0029603E">
        <w:rPr>
          <w:rFonts w:cs="Arial"/>
          <w:i/>
        </w:rPr>
        <w:t xml:space="preserve">Dairy products (excluding butter and butter fats) </w:t>
      </w:r>
      <w:r w:rsidRPr="0029603E">
        <w:rPr>
          <w:rFonts w:cs="Arial"/>
        </w:rPr>
        <w:t>(1</w:t>
      </w:r>
      <w:r w:rsidRPr="00A629CE">
        <w:rPr>
          <w:rFonts w:cs="Arial"/>
        </w:rPr>
        <w:t>4</w:t>
      </w:r>
      <w:r w:rsidRPr="0029603E">
        <w:rPr>
          <w:rFonts w:cs="Arial"/>
        </w:rPr>
        <w:t>–1</w:t>
      </w:r>
      <w:r w:rsidRPr="00A629CE">
        <w:rPr>
          <w:rFonts w:cs="Arial"/>
        </w:rPr>
        <w:t>7</w:t>
      </w:r>
      <w:r w:rsidRPr="0029603E">
        <w:rPr>
          <w:rFonts w:cs="Arial"/>
        </w:rPr>
        <w:t>%) are the major contributing food categories to L-carnitine dietary intakes.</w:t>
      </w:r>
    </w:p>
    <w:p w14:paraId="156FB31D" w14:textId="77777777" w:rsidR="00785714" w:rsidRPr="0029603E" w:rsidRDefault="00785714" w:rsidP="00785714">
      <w:pPr>
        <w:rPr>
          <w:rFonts w:cs="Arial"/>
        </w:rPr>
      </w:pPr>
    </w:p>
    <w:p w14:paraId="79371E9F" w14:textId="083E4ED6" w:rsidR="00785714" w:rsidRPr="0029603E" w:rsidRDefault="00785714" w:rsidP="008D5447">
      <w:pPr>
        <w:widowControl/>
        <w:rPr>
          <w:rFonts w:cs="Arial"/>
        </w:rPr>
      </w:pPr>
      <w:r w:rsidRPr="0029603E">
        <w:rPr>
          <w:rFonts w:cs="Arial"/>
        </w:rPr>
        <w:t xml:space="preserve">Within the </w:t>
      </w:r>
      <w:r w:rsidRPr="0029603E">
        <w:rPr>
          <w:rFonts w:cs="Arial"/>
          <w:i/>
        </w:rPr>
        <w:t>Dairy products (excluding butter and butter fats)</w:t>
      </w:r>
      <w:r w:rsidRPr="0029603E">
        <w:rPr>
          <w:rFonts w:cs="Arial"/>
        </w:rPr>
        <w:t xml:space="preserve"> food category, </w:t>
      </w:r>
      <w:r w:rsidR="00474302">
        <w:rPr>
          <w:rFonts w:cs="Arial"/>
        </w:rPr>
        <w:t>P</w:t>
      </w:r>
      <w:r w:rsidR="00224011" w:rsidRPr="0029603E">
        <w:rPr>
          <w:rFonts w:cs="Arial"/>
        </w:rPr>
        <w:t xml:space="preserve">lain </w:t>
      </w:r>
      <w:r w:rsidRPr="0029603E">
        <w:rPr>
          <w:rFonts w:cs="Arial"/>
        </w:rPr>
        <w:t>milk is the major contributing food group (</w:t>
      </w:r>
      <w:r w:rsidRPr="00A629CE">
        <w:rPr>
          <w:rFonts w:cs="Arial"/>
        </w:rPr>
        <w:t>10</w:t>
      </w:r>
      <w:r w:rsidRPr="0029603E">
        <w:rPr>
          <w:rFonts w:cs="Arial"/>
        </w:rPr>
        <w:t>–1</w:t>
      </w:r>
      <w:r w:rsidRPr="00A629CE">
        <w:rPr>
          <w:rFonts w:cs="Arial"/>
        </w:rPr>
        <w:t>4</w:t>
      </w:r>
      <w:r w:rsidRPr="0029603E">
        <w:rPr>
          <w:rFonts w:cs="Arial"/>
        </w:rPr>
        <w:t>%) to L-carnitine dietary intakes.</w:t>
      </w:r>
    </w:p>
    <w:p w14:paraId="529EB7B7" w14:textId="77777777" w:rsidR="00785714" w:rsidRPr="0029603E" w:rsidRDefault="00785714" w:rsidP="008D5447">
      <w:pPr>
        <w:widowControl/>
        <w:rPr>
          <w:rFonts w:cs="Arial"/>
        </w:rPr>
      </w:pPr>
    </w:p>
    <w:p w14:paraId="2DFACE5C" w14:textId="49E7405D" w:rsidR="00785714" w:rsidRPr="0029603E" w:rsidRDefault="00785714" w:rsidP="00785714">
      <w:pPr>
        <w:rPr>
          <w:rFonts w:cs="Arial"/>
        </w:rPr>
      </w:pPr>
      <w:r w:rsidRPr="00724C75">
        <w:rPr>
          <w:rFonts w:cs="Arial"/>
        </w:rPr>
        <w:t xml:space="preserve">Within the </w:t>
      </w:r>
      <w:r w:rsidRPr="00724C75">
        <w:rPr>
          <w:rFonts w:cs="Arial"/>
          <w:i/>
        </w:rPr>
        <w:t xml:space="preserve">Meat &amp; meat products </w:t>
      </w:r>
      <w:r w:rsidRPr="00CA57A0">
        <w:rPr>
          <w:rFonts w:cs="Arial"/>
        </w:rPr>
        <w:t xml:space="preserve">food category, </w:t>
      </w:r>
      <w:r w:rsidR="00474302">
        <w:rPr>
          <w:rFonts w:cs="Arial"/>
        </w:rPr>
        <w:t>R</w:t>
      </w:r>
      <w:r w:rsidR="00224011" w:rsidRPr="00CA57A0">
        <w:rPr>
          <w:rFonts w:cs="Arial"/>
        </w:rPr>
        <w:t xml:space="preserve">ed </w:t>
      </w:r>
      <w:r w:rsidRPr="00CA57A0">
        <w:rPr>
          <w:rFonts w:cs="Arial"/>
        </w:rPr>
        <w:t>meat excluding game is the major contributing food group (5</w:t>
      </w:r>
      <w:r w:rsidRPr="00A629CE">
        <w:rPr>
          <w:rFonts w:cs="Arial"/>
        </w:rPr>
        <w:t>0</w:t>
      </w:r>
      <w:r w:rsidRPr="0029603E">
        <w:rPr>
          <w:rFonts w:cs="Arial"/>
        </w:rPr>
        <w:t>–51%) to L-carnitine dietary intakes for all general age groups, followed by Game meat (5–7%) and Poultry (5%). For all age groups except for children aged 5-14 years</w:t>
      </w:r>
      <w:r w:rsidRPr="00A629CE">
        <w:rPr>
          <w:rFonts w:cs="Arial"/>
        </w:rPr>
        <w:t xml:space="preserve"> (4%)</w:t>
      </w:r>
      <w:r w:rsidRPr="0029603E">
        <w:rPr>
          <w:rFonts w:cs="Arial"/>
        </w:rPr>
        <w:t>, Processed meat/ poultry/ game products in whole/ cut pieces (e.g. ham, bacon, smoked chicken) is a major contributor to L-carnitine intakes (5%).</w:t>
      </w:r>
      <w:r>
        <w:rPr>
          <w:rFonts w:cs="Arial"/>
        </w:rPr>
        <w:t xml:space="preserve"> Sausages and sausage meat is a major contributing food group for children aged 5-14 years.</w:t>
      </w:r>
    </w:p>
    <w:p w14:paraId="09CB61F6" w14:textId="77777777" w:rsidR="00785714" w:rsidRPr="00724C75" w:rsidRDefault="00785714" w:rsidP="00785714">
      <w:pPr>
        <w:rPr>
          <w:rFonts w:cs="Arial"/>
        </w:rPr>
      </w:pPr>
    </w:p>
    <w:p w14:paraId="5A79D93B" w14:textId="56F143E8" w:rsidR="00785714" w:rsidRPr="00EB0D98" w:rsidRDefault="00785714" w:rsidP="00785714">
      <w:r w:rsidRPr="00EB0D98">
        <w:t>See</w:t>
      </w:r>
      <w:r>
        <w:t xml:space="preserve"> </w:t>
      </w:r>
      <w:r>
        <w:fldChar w:fldCharType="begin"/>
      </w:r>
      <w:r>
        <w:instrText xml:space="preserve"> REF _Ref516244200 \h </w:instrText>
      </w:r>
      <w:r w:rsidR="00645604">
        <w:instrText xml:space="preserve"> \* MERGEFORMAT </w:instrText>
      </w:r>
      <w:r>
        <w:fldChar w:fldCharType="separate"/>
      </w:r>
      <w:r w:rsidR="00872715">
        <w:t>Table A3.</w:t>
      </w:r>
      <w:r w:rsidR="00872715">
        <w:rPr>
          <w:noProof/>
        </w:rPr>
        <w:t>6</w:t>
      </w:r>
      <w:r>
        <w:fldChar w:fldCharType="end"/>
      </w:r>
      <w:r>
        <w:t xml:space="preserve"> </w:t>
      </w:r>
      <w:r w:rsidRPr="00005E43">
        <w:t>in</w:t>
      </w:r>
      <w:r w:rsidR="00AC5EF1">
        <w:t xml:space="preserve"> Appendix 3</w:t>
      </w:r>
      <w:r w:rsidRPr="00EB0D98">
        <w:t xml:space="preserve"> for further details.</w:t>
      </w:r>
    </w:p>
    <w:p w14:paraId="0F8F957D" w14:textId="77777777" w:rsidR="00785714" w:rsidRPr="00005E43" w:rsidRDefault="00785714" w:rsidP="00785714">
      <w:pPr>
        <w:pStyle w:val="Heading5"/>
      </w:pPr>
      <w:r w:rsidRPr="00005E43">
        <w:t xml:space="preserve"> Consumer behaviour scenario</w:t>
      </w:r>
    </w:p>
    <w:p w14:paraId="126682DA" w14:textId="2A8D2CF3" w:rsidR="00785714" w:rsidRPr="0029603E" w:rsidRDefault="00785714" w:rsidP="00785714">
      <w:pPr>
        <w:rPr>
          <w:rFonts w:cs="Arial"/>
        </w:rPr>
      </w:pPr>
      <w:r w:rsidRPr="0029603E">
        <w:rPr>
          <w:rFonts w:cs="Arial"/>
        </w:rPr>
        <w:t xml:space="preserve">The food categories that contribute to L-carnitine dietary intakes change under the </w:t>
      </w:r>
      <w:r w:rsidRPr="00724C75">
        <w:rPr>
          <w:rFonts w:cs="Arial"/>
          <w:i/>
        </w:rPr>
        <w:t>Consumer behaviour</w:t>
      </w:r>
      <w:r w:rsidRPr="00724C75">
        <w:rPr>
          <w:rFonts w:cs="Arial"/>
        </w:rPr>
        <w:t xml:space="preserve"> scenario in comparison to the </w:t>
      </w:r>
      <w:r w:rsidRPr="00CA57A0">
        <w:rPr>
          <w:rFonts w:cs="Arial"/>
          <w:i/>
        </w:rPr>
        <w:t>Baseline</w:t>
      </w:r>
      <w:r w:rsidRPr="00CA57A0">
        <w:rPr>
          <w:rFonts w:cs="Arial"/>
        </w:rPr>
        <w:t xml:space="preserve">. </w:t>
      </w:r>
      <w:r w:rsidRPr="00CA57A0">
        <w:rPr>
          <w:rFonts w:cs="Arial"/>
          <w:i/>
        </w:rPr>
        <w:t>Non-alcoholic and alcoholic beverages</w:t>
      </w:r>
      <w:r w:rsidRPr="00CA57A0">
        <w:rPr>
          <w:rFonts w:cs="Arial"/>
        </w:rPr>
        <w:t xml:space="preserve"> (3</w:t>
      </w:r>
      <w:r w:rsidRPr="00A629CE">
        <w:rPr>
          <w:rFonts w:cs="Arial"/>
        </w:rPr>
        <w:t>3</w:t>
      </w:r>
      <w:r w:rsidRPr="0029603E">
        <w:rPr>
          <w:rFonts w:cs="Arial"/>
        </w:rPr>
        <w:t>–</w:t>
      </w:r>
      <w:r w:rsidRPr="00A629CE">
        <w:rPr>
          <w:rFonts w:cs="Arial"/>
        </w:rPr>
        <w:t>39</w:t>
      </w:r>
      <w:r w:rsidRPr="0029603E">
        <w:rPr>
          <w:rFonts w:cs="Arial"/>
        </w:rPr>
        <w:t xml:space="preserve">%) is the major contributing food category for all age groups assessed, followed by </w:t>
      </w:r>
      <w:r w:rsidRPr="0029603E">
        <w:rPr>
          <w:rFonts w:cs="Arial"/>
          <w:i/>
        </w:rPr>
        <w:t xml:space="preserve">Dairy products (excluding butter and butter fats) </w:t>
      </w:r>
      <w:r w:rsidRPr="0029603E">
        <w:rPr>
          <w:rFonts w:cs="Arial"/>
        </w:rPr>
        <w:t xml:space="preserve">(17–18%), </w:t>
      </w:r>
      <w:r w:rsidRPr="0029603E">
        <w:rPr>
          <w:rFonts w:cs="Arial"/>
          <w:i/>
        </w:rPr>
        <w:t>Commercial mixed foods</w:t>
      </w:r>
      <w:r w:rsidRPr="0029603E">
        <w:rPr>
          <w:rFonts w:cs="Arial"/>
        </w:rPr>
        <w:t xml:space="preserve"> (1</w:t>
      </w:r>
      <w:r w:rsidRPr="00A629CE">
        <w:rPr>
          <w:rFonts w:cs="Arial"/>
        </w:rPr>
        <w:t>8</w:t>
      </w:r>
      <w:r w:rsidRPr="0029603E">
        <w:rPr>
          <w:rFonts w:cs="Arial"/>
        </w:rPr>
        <w:t>–1</w:t>
      </w:r>
      <w:r w:rsidRPr="00A629CE">
        <w:rPr>
          <w:rFonts w:cs="Arial"/>
        </w:rPr>
        <w:t>9</w:t>
      </w:r>
      <w:r w:rsidRPr="0029603E">
        <w:rPr>
          <w:rFonts w:cs="Arial"/>
        </w:rPr>
        <w:t xml:space="preserve">%), </w:t>
      </w:r>
      <w:r w:rsidRPr="0029603E">
        <w:rPr>
          <w:rFonts w:cs="Arial"/>
          <w:i/>
        </w:rPr>
        <w:t xml:space="preserve">Meat &amp; meat products (including poultry and game) </w:t>
      </w:r>
      <w:r w:rsidRPr="0029603E">
        <w:rPr>
          <w:rFonts w:cs="Arial"/>
        </w:rPr>
        <w:t xml:space="preserve">(10–12%) and </w:t>
      </w:r>
      <w:r w:rsidRPr="0029603E">
        <w:rPr>
          <w:rFonts w:cs="Arial"/>
          <w:i/>
        </w:rPr>
        <w:t>Confectionary</w:t>
      </w:r>
      <w:r w:rsidRPr="0029603E">
        <w:rPr>
          <w:rFonts w:cs="Arial"/>
        </w:rPr>
        <w:t xml:space="preserve"> (6–1</w:t>
      </w:r>
      <w:r w:rsidRPr="00A629CE">
        <w:rPr>
          <w:rFonts w:cs="Arial"/>
        </w:rPr>
        <w:t>4</w:t>
      </w:r>
      <w:r w:rsidRPr="0029603E">
        <w:rPr>
          <w:rFonts w:cs="Arial"/>
        </w:rPr>
        <w:t xml:space="preserve">%). </w:t>
      </w:r>
      <w:r w:rsidRPr="0029603E">
        <w:rPr>
          <w:rFonts w:cs="Arial"/>
          <w:i/>
        </w:rPr>
        <w:t xml:space="preserve">Cereals &amp; cereal products </w:t>
      </w:r>
      <w:r w:rsidRPr="0029603E">
        <w:rPr>
          <w:rFonts w:cs="Arial"/>
        </w:rPr>
        <w:t>(5%)</w:t>
      </w:r>
      <w:r w:rsidRPr="0029603E">
        <w:rPr>
          <w:rFonts w:cs="Arial"/>
          <w:i/>
        </w:rPr>
        <w:t xml:space="preserve"> </w:t>
      </w:r>
      <w:r w:rsidRPr="0029603E">
        <w:rPr>
          <w:rFonts w:cs="Arial"/>
        </w:rPr>
        <w:t>is a major contributor</w:t>
      </w:r>
      <w:r w:rsidRPr="00724C75">
        <w:rPr>
          <w:rFonts w:cs="Arial"/>
        </w:rPr>
        <w:t xml:space="preserve"> for adults aged</w:t>
      </w:r>
      <w:r w:rsidRPr="0029603E">
        <w:rPr>
          <w:rFonts w:cs="Arial"/>
        </w:rPr>
        <w:t xml:space="preserve"> 18-70 years and for the general population aged 15 years and above.</w:t>
      </w:r>
    </w:p>
    <w:p w14:paraId="01B69FA5" w14:textId="77777777" w:rsidR="00785714" w:rsidRPr="0029603E" w:rsidRDefault="00785714" w:rsidP="00785714">
      <w:pPr>
        <w:rPr>
          <w:rFonts w:cs="Arial"/>
        </w:rPr>
      </w:pPr>
    </w:p>
    <w:p w14:paraId="56172421" w14:textId="36ECD96E" w:rsidR="00785714" w:rsidRPr="0029603E" w:rsidRDefault="00785714" w:rsidP="00785714">
      <w:pPr>
        <w:rPr>
          <w:rFonts w:cs="Arial"/>
        </w:rPr>
      </w:pPr>
      <w:r w:rsidRPr="0029603E">
        <w:rPr>
          <w:rFonts w:cs="Arial"/>
        </w:rPr>
        <w:t xml:space="preserve">Within the </w:t>
      </w:r>
      <w:r w:rsidRPr="0029603E">
        <w:rPr>
          <w:rFonts w:cs="Arial"/>
          <w:i/>
        </w:rPr>
        <w:t>Non-alcoholic and alcoholic beverages</w:t>
      </w:r>
      <w:r w:rsidRPr="0029603E">
        <w:rPr>
          <w:rFonts w:cs="Arial"/>
        </w:rPr>
        <w:t xml:space="preserve"> food category, </w:t>
      </w:r>
      <w:r w:rsidRPr="0029603E">
        <w:rPr>
          <w:rFonts w:cs="Arial"/>
          <w:i/>
        </w:rPr>
        <w:t xml:space="preserve">Soft drinks (except intensely sweetened) </w:t>
      </w:r>
      <w:r w:rsidRPr="00724C75">
        <w:rPr>
          <w:rFonts w:cs="Arial"/>
        </w:rPr>
        <w:t>(25–26%) is</w:t>
      </w:r>
      <w:r w:rsidRPr="00CA57A0">
        <w:rPr>
          <w:rFonts w:cs="Arial"/>
        </w:rPr>
        <w:t xml:space="preserve"> the major contributing food group for all age groups assessed</w:t>
      </w:r>
      <w:r w:rsidRPr="0029603E">
        <w:rPr>
          <w:rFonts w:cs="Arial"/>
        </w:rPr>
        <w:t>, followed by Fruit &amp; vegetable juices &amp; fruit &amp; vegetable juice products (5–6%). Energy drinks is a major contributor (6–7%) for adults aged 18-70 years and for the general population aged 15 years and above.</w:t>
      </w:r>
    </w:p>
    <w:p w14:paraId="50D1DFC1" w14:textId="77777777" w:rsidR="00785714" w:rsidRPr="0029603E" w:rsidRDefault="00785714" w:rsidP="00785714">
      <w:pPr>
        <w:rPr>
          <w:rFonts w:cs="Arial"/>
        </w:rPr>
      </w:pPr>
    </w:p>
    <w:p w14:paraId="1E81D0D2" w14:textId="10BA6763" w:rsidR="00785714" w:rsidRPr="0029603E" w:rsidRDefault="00785714" w:rsidP="00785714">
      <w:pPr>
        <w:rPr>
          <w:rFonts w:cs="Arial"/>
        </w:rPr>
      </w:pPr>
      <w:r w:rsidRPr="0029603E">
        <w:rPr>
          <w:rFonts w:cs="Arial"/>
        </w:rPr>
        <w:t xml:space="preserve">Within the </w:t>
      </w:r>
      <w:r w:rsidRPr="0029603E">
        <w:rPr>
          <w:rFonts w:cs="Arial"/>
          <w:i/>
        </w:rPr>
        <w:t>Dairy products (excluding butter and butter fats)</w:t>
      </w:r>
      <w:r w:rsidRPr="0029603E">
        <w:rPr>
          <w:rFonts w:cs="Arial"/>
        </w:rPr>
        <w:t xml:space="preserve"> food category, Liquid milk products &amp; flavoured liquid milk (8–10%) </w:t>
      </w:r>
      <w:r w:rsidRPr="00724C75">
        <w:rPr>
          <w:rFonts w:cs="Arial"/>
        </w:rPr>
        <w:t>is the major contributing food group to L-carnitine dietary intakes for all New Zealand general age groups assessed</w:t>
      </w:r>
      <w:r w:rsidRPr="00CA57A0">
        <w:rPr>
          <w:rFonts w:cs="Arial"/>
        </w:rPr>
        <w:t>, followed by Flavoured fermented &amp; renne</w:t>
      </w:r>
      <w:r w:rsidRPr="0029603E">
        <w:rPr>
          <w:rFonts w:cs="Arial"/>
        </w:rPr>
        <w:t>tted milk products (e.g. flavoured yoghurt) (5–6%).</w:t>
      </w:r>
    </w:p>
    <w:p w14:paraId="7534DCBB" w14:textId="77777777" w:rsidR="00785714" w:rsidRPr="0029603E" w:rsidRDefault="00785714" w:rsidP="00785714">
      <w:pPr>
        <w:rPr>
          <w:rFonts w:cs="Arial"/>
        </w:rPr>
      </w:pPr>
    </w:p>
    <w:p w14:paraId="0804E6FA" w14:textId="6128EBC9" w:rsidR="00785714" w:rsidRPr="00CA57A0" w:rsidRDefault="00785714" w:rsidP="00785714">
      <w:pPr>
        <w:rPr>
          <w:rFonts w:cs="Arial"/>
        </w:rPr>
      </w:pPr>
      <w:r w:rsidRPr="0029603E">
        <w:rPr>
          <w:rFonts w:cs="Arial"/>
        </w:rPr>
        <w:t>Cereal bars (7–1</w:t>
      </w:r>
      <w:r w:rsidRPr="00A629CE">
        <w:rPr>
          <w:rFonts w:cs="Arial"/>
        </w:rPr>
        <w:t>5</w:t>
      </w:r>
      <w:r w:rsidRPr="00724C75">
        <w:rPr>
          <w:rFonts w:cs="Arial"/>
        </w:rPr>
        <w:t xml:space="preserve">%) is the major </w:t>
      </w:r>
      <w:r w:rsidRPr="00CA57A0">
        <w:rPr>
          <w:rFonts w:cs="Arial"/>
        </w:rPr>
        <w:t xml:space="preserve">contributing food group within the </w:t>
      </w:r>
      <w:r w:rsidRPr="00CA57A0">
        <w:rPr>
          <w:rFonts w:cs="Arial"/>
          <w:i/>
        </w:rPr>
        <w:t xml:space="preserve">Commercial mixed foods </w:t>
      </w:r>
      <w:r w:rsidRPr="00CA57A0">
        <w:rPr>
          <w:rFonts w:cs="Arial"/>
        </w:rPr>
        <w:t>category</w:t>
      </w:r>
      <w:r w:rsidRPr="00CA57A0">
        <w:t xml:space="preserve">. Ready to eat muesli is a major contributor for New Zealanders aged 18-70 years and 15 years and above (10%). </w:t>
      </w:r>
      <w:r w:rsidRPr="00CA57A0">
        <w:rPr>
          <w:rFonts w:cs="Arial"/>
        </w:rPr>
        <w:t xml:space="preserve">Within the </w:t>
      </w:r>
      <w:r w:rsidRPr="00CA57A0">
        <w:rPr>
          <w:rFonts w:cs="Arial"/>
          <w:i/>
        </w:rPr>
        <w:t>Cereals &amp; cereal products</w:t>
      </w:r>
      <w:r w:rsidRPr="00724C75">
        <w:rPr>
          <w:rFonts w:cs="Arial"/>
        </w:rPr>
        <w:t xml:space="preserve"> food category</w:t>
      </w:r>
      <w:r w:rsidRPr="00724C75">
        <w:rPr>
          <w:rFonts w:cs="Arial"/>
          <w:i/>
        </w:rPr>
        <w:t xml:space="preserve">, </w:t>
      </w:r>
      <w:r w:rsidRPr="00724C75">
        <w:rPr>
          <w:rFonts w:cs="Arial"/>
        </w:rPr>
        <w:t>Plain oats is the major contributor for adults aged 18-70 years and for the general population aged 15 years and above (5</w:t>
      </w:r>
      <w:r w:rsidRPr="00CA57A0">
        <w:rPr>
          <w:rFonts w:cs="Arial"/>
        </w:rPr>
        <w:t xml:space="preserve">%). When Flavoured oat porridge mixes are taken into account (from the </w:t>
      </w:r>
      <w:r w:rsidRPr="00CA57A0">
        <w:rPr>
          <w:rFonts w:cs="Arial"/>
          <w:i/>
        </w:rPr>
        <w:t>Commercial mixed foods</w:t>
      </w:r>
      <w:r w:rsidRPr="00CA57A0">
        <w:rPr>
          <w:rFonts w:cs="Arial"/>
        </w:rPr>
        <w:t xml:space="preserve"> category) with Plain oats (from the </w:t>
      </w:r>
      <w:r w:rsidRPr="00CA57A0">
        <w:rPr>
          <w:rFonts w:cs="Arial"/>
          <w:i/>
        </w:rPr>
        <w:t xml:space="preserve">Cereals &amp; cereal products </w:t>
      </w:r>
      <w:r w:rsidRPr="00CA57A0">
        <w:rPr>
          <w:rFonts w:cs="Arial"/>
        </w:rPr>
        <w:t xml:space="preserve">category), all oat porridges contribute to </w:t>
      </w:r>
      <w:r w:rsidRPr="00A629CE">
        <w:rPr>
          <w:rFonts w:cs="Arial"/>
        </w:rPr>
        <w:t>5–6</w:t>
      </w:r>
      <w:r w:rsidRPr="00CA57A0">
        <w:rPr>
          <w:rFonts w:cs="Arial"/>
        </w:rPr>
        <w:t>% of L-carnitine dietary intakes for New Zealander adults aged 18-70 years and for the general New Zealand population aged 15 years and above.</w:t>
      </w:r>
    </w:p>
    <w:p w14:paraId="3F1DADCE" w14:textId="77777777" w:rsidR="00785714" w:rsidRPr="0029603E" w:rsidRDefault="00785714" w:rsidP="00785714">
      <w:pPr>
        <w:rPr>
          <w:rFonts w:cs="Arial"/>
        </w:rPr>
      </w:pPr>
    </w:p>
    <w:p w14:paraId="70A19F62" w14:textId="3E2A5022" w:rsidR="00785714" w:rsidRPr="00724C75" w:rsidRDefault="00785714" w:rsidP="00785714">
      <w:pPr>
        <w:rPr>
          <w:rFonts w:cs="Arial"/>
        </w:rPr>
      </w:pPr>
      <w:r w:rsidRPr="00724C75">
        <w:rPr>
          <w:rFonts w:cs="Arial"/>
        </w:rPr>
        <w:t xml:space="preserve">Within the </w:t>
      </w:r>
      <w:r w:rsidRPr="00724C75">
        <w:rPr>
          <w:rFonts w:cs="Arial"/>
          <w:i/>
        </w:rPr>
        <w:t xml:space="preserve">Meat &amp; meat products </w:t>
      </w:r>
      <w:r w:rsidRPr="00724C75">
        <w:rPr>
          <w:rFonts w:cs="Arial"/>
        </w:rPr>
        <w:t>food category, Red meat excluding game is the major contributing food group (7–8%) to L-carnitine dietary intakes</w:t>
      </w:r>
      <w:r w:rsidRPr="00724C75">
        <w:t>.</w:t>
      </w:r>
    </w:p>
    <w:p w14:paraId="036C73DB" w14:textId="77777777" w:rsidR="00785714" w:rsidRPr="0029603E" w:rsidRDefault="00785714" w:rsidP="00785714">
      <w:pPr>
        <w:rPr>
          <w:rFonts w:cs="Arial"/>
        </w:rPr>
      </w:pPr>
    </w:p>
    <w:p w14:paraId="72A558C5" w14:textId="77777777" w:rsidR="00785714" w:rsidRPr="00724C75" w:rsidRDefault="00785714" w:rsidP="00785714">
      <w:pPr>
        <w:rPr>
          <w:rFonts w:cs="Arial"/>
        </w:rPr>
      </w:pPr>
      <w:r w:rsidRPr="00A629CE">
        <w:rPr>
          <w:rFonts w:cs="Arial"/>
        </w:rPr>
        <w:t xml:space="preserve">Within the </w:t>
      </w:r>
      <w:r w:rsidRPr="00A629CE">
        <w:rPr>
          <w:rFonts w:cs="Arial"/>
          <w:i/>
        </w:rPr>
        <w:t xml:space="preserve">Confectionary </w:t>
      </w:r>
      <w:r w:rsidRPr="00A629CE">
        <w:rPr>
          <w:rFonts w:cs="Arial"/>
        </w:rPr>
        <w:t>food category,</w:t>
      </w:r>
      <w:r w:rsidRPr="00A629CE">
        <w:rPr>
          <w:rFonts w:cs="Arial"/>
          <w:color w:val="000000"/>
          <w:szCs w:val="22"/>
        </w:rPr>
        <w:t xml:space="preserve"> </w:t>
      </w:r>
      <w:r w:rsidRPr="00724C75">
        <w:rPr>
          <w:rFonts w:cs="Arial"/>
          <w:color w:val="000000"/>
          <w:szCs w:val="22"/>
        </w:rPr>
        <w:t>Sugar confectionery (excluding bubble gum &amp; chewing gum)</w:t>
      </w:r>
      <w:r w:rsidRPr="00724C75">
        <w:rPr>
          <w:rFonts w:cs="Arial"/>
        </w:rPr>
        <w:t xml:space="preserve"> (</w:t>
      </w:r>
      <w:r w:rsidRPr="00A629CE">
        <w:rPr>
          <w:rFonts w:cs="Arial"/>
        </w:rPr>
        <w:t>8</w:t>
      </w:r>
      <w:r w:rsidRPr="00724C75">
        <w:rPr>
          <w:rFonts w:cs="Arial"/>
        </w:rPr>
        <w:t xml:space="preserve">%) </w:t>
      </w:r>
      <w:r w:rsidRPr="00A629CE">
        <w:rPr>
          <w:rFonts w:cs="Arial"/>
        </w:rPr>
        <w:t>and Chocolate and cocoa products (5%) are</w:t>
      </w:r>
      <w:r w:rsidRPr="00724C75">
        <w:rPr>
          <w:rFonts w:cs="Arial"/>
        </w:rPr>
        <w:t xml:space="preserve"> major contributing food group</w:t>
      </w:r>
      <w:r w:rsidRPr="00A629CE">
        <w:rPr>
          <w:rFonts w:cs="Arial"/>
        </w:rPr>
        <w:t>s</w:t>
      </w:r>
      <w:r w:rsidRPr="00724C75">
        <w:rPr>
          <w:rFonts w:cs="Arial"/>
        </w:rPr>
        <w:t xml:space="preserve"> for New Zealander</w:t>
      </w:r>
      <w:r w:rsidRPr="00A629CE">
        <w:rPr>
          <w:rFonts w:cs="Arial"/>
        </w:rPr>
        <w:t xml:space="preserve"> children aged 5-14 years</w:t>
      </w:r>
      <w:r w:rsidRPr="00724C75">
        <w:rPr>
          <w:rFonts w:cs="Arial"/>
        </w:rPr>
        <w:t>.</w:t>
      </w:r>
    </w:p>
    <w:p w14:paraId="4C4B70F5" w14:textId="77777777" w:rsidR="00785714" w:rsidRPr="00724C75" w:rsidRDefault="00785714" w:rsidP="00785714">
      <w:pPr>
        <w:rPr>
          <w:rFonts w:cs="Arial"/>
        </w:rPr>
      </w:pPr>
    </w:p>
    <w:p w14:paraId="0539365B" w14:textId="00C6F5A6" w:rsidR="00785714" w:rsidRPr="00EB0D98" w:rsidRDefault="00785714" w:rsidP="00785714">
      <w:r w:rsidRPr="00EB0D98">
        <w:t>See</w:t>
      </w:r>
      <w:r>
        <w:t xml:space="preserve"> </w:t>
      </w:r>
      <w:r>
        <w:fldChar w:fldCharType="begin"/>
      </w:r>
      <w:r>
        <w:instrText xml:space="preserve"> REF _Ref516244200 \h </w:instrText>
      </w:r>
      <w:r w:rsidR="00645604">
        <w:instrText xml:space="preserve"> \* MERGEFORMAT </w:instrText>
      </w:r>
      <w:r>
        <w:fldChar w:fldCharType="separate"/>
      </w:r>
      <w:r w:rsidR="00872715">
        <w:t>Table A3.</w:t>
      </w:r>
      <w:r w:rsidR="00872715">
        <w:rPr>
          <w:noProof/>
        </w:rPr>
        <w:t>6</w:t>
      </w:r>
      <w:r>
        <w:fldChar w:fldCharType="end"/>
      </w:r>
      <w:r>
        <w:t xml:space="preserve"> </w:t>
      </w:r>
      <w:r w:rsidRPr="00005E43">
        <w:t>in</w:t>
      </w:r>
      <w:r w:rsidR="00161F83">
        <w:t xml:space="preserve"> Appendix 3</w:t>
      </w:r>
      <w:r w:rsidRPr="00EB0D98">
        <w:t xml:space="preserve"> for further details.</w:t>
      </w:r>
    </w:p>
    <w:p w14:paraId="7EE7023E" w14:textId="77777777" w:rsidR="00785714" w:rsidRPr="00EB0D98" w:rsidRDefault="00785714" w:rsidP="00785714">
      <w:pPr>
        <w:pStyle w:val="Heading4"/>
      </w:pPr>
      <w:r w:rsidRPr="00005E43">
        <w:rPr>
          <w:rFonts w:cs="Arial"/>
        </w:rPr>
        <w:t xml:space="preserve">Elderly </w:t>
      </w:r>
      <w:r w:rsidRPr="00EB0D98">
        <w:t>Australians and New Zealanders aged 71 years and above</w:t>
      </w:r>
    </w:p>
    <w:p w14:paraId="7F4E05C5" w14:textId="77777777" w:rsidR="00785714" w:rsidRPr="00EB0D98" w:rsidRDefault="00785714" w:rsidP="00785714">
      <w:pPr>
        <w:pStyle w:val="Heading5"/>
      </w:pPr>
      <w:r w:rsidRPr="00EB0D98">
        <w:t>Baseline</w:t>
      </w:r>
    </w:p>
    <w:p w14:paraId="6F406381" w14:textId="77777777" w:rsidR="00785714" w:rsidRPr="00156BB2" w:rsidRDefault="00785714" w:rsidP="00785714">
      <w:pPr>
        <w:rPr>
          <w:rFonts w:cs="Arial"/>
        </w:rPr>
      </w:pPr>
      <w:r w:rsidRPr="001D69FC">
        <w:rPr>
          <w:rFonts w:cs="Arial"/>
        </w:rPr>
        <w:t xml:space="preserve">At </w:t>
      </w:r>
      <w:r w:rsidRPr="001D69FC">
        <w:rPr>
          <w:rFonts w:cs="Arial"/>
          <w:i/>
        </w:rPr>
        <w:t>Baseline</w:t>
      </w:r>
      <w:r w:rsidRPr="001D69FC">
        <w:rPr>
          <w:rFonts w:cs="Arial"/>
        </w:rPr>
        <w:t xml:space="preserve">, </w:t>
      </w:r>
      <w:r w:rsidRPr="001D69FC">
        <w:rPr>
          <w:rFonts w:cs="Arial"/>
          <w:i/>
        </w:rPr>
        <w:t xml:space="preserve">Meat &amp; meat products (including poultry and game) </w:t>
      </w:r>
      <w:r w:rsidRPr="001D69FC">
        <w:rPr>
          <w:rFonts w:cs="Arial"/>
        </w:rPr>
        <w:t>(Au 7</w:t>
      </w:r>
      <w:r w:rsidRPr="00A629CE">
        <w:rPr>
          <w:rFonts w:cs="Arial"/>
        </w:rPr>
        <w:t>4</w:t>
      </w:r>
      <w:r w:rsidRPr="001D69FC">
        <w:rPr>
          <w:rFonts w:cs="Arial"/>
        </w:rPr>
        <w:t>%; NZ 7</w:t>
      </w:r>
      <w:r w:rsidRPr="00A629CE">
        <w:rPr>
          <w:rFonts w:cs="Arial"/>
        </w:rPr>
        <w:t>4</w:t>
      </w:r>
      <w:r w:rsidRPr="001D69FC">
        <w:rPr>
          <w:rFonts w:cs="Arial"/>
        </w:rPr>
        <w:t xml:space="preserve">%) and </w:t>
      </w:r>
      <w:r w:rsidRPr="001D69FC">
        <w:rPr>
          <w:rFonts w:cs="Arial"/>
          <w:i/>
        </w:rPr>
        <w:t xml:space="preserve">Dairy products (excluding butter and butter fats) </w:t>
      </w:r>
      <w:r w:rsidRPr="001D69FC">
        <w:rPr>
          <w:rFonts w:cs="Arial"/>
        </w:rPr>
        <w:t>(</w:t>
      </w:r>
      <w:r w:rsidRPr="001D69FC">
        <w:rPr>
          <w:rFonts w:cs="Arial"/>
          <w:lang w:val="en-AU"/>
        </w:rPr>
        <w:t xml:space="preserve">Au </w:t>
      </w:r>
      <w:r w:rsidRPr="00A629CE">
        <w:rPr>
          <w:rFonts w:cs="Arial"/>
        </w:rPr>
        <w:t>16</w:t>
      </w:r>
      <w:r w:rsidRPr="001D69FC">
        <w:rPr>
          <w:rFonts w:cs="Arial"/>
        </w:rPr>
        <w:t>%; NZ 17%) are the major contributing food categories to L-carnitine dietary intakes for Australian and New Zealand elderly aged 71 years and above.</w:t>
      </w:r>
    </w:p>
    <w:p w14:paraId="14363F55" w14:textId="77777777" w:rsidR="00785714" w:rsidRPr="003C3CDE" w:rsidRDefault="00785714" w:rsidP="00785714">
      <w:pPr>
        <w:rPr>
          <w:rFonts w:cs="Arial"/>
        </w:rPr>
      </w:pPr>
    </w:p>
    <w:p w14:paraId="00284FEA" w14:textId="77777777" w:rsidR="00785714" w:rsidRPr="000563B0" w:rsidRDefault="00785714" w:rsidP="00785714">
      <w:pPr>
        <w:rPr>
          <w:rFonts w:cs="Arial"/>
        </w:rPr>
      </w:pPr>
      <w:r w:rsidRPr="00191A48">
        <w:rPr>
          <w:rFonts w:cs="Arial"/>
        </w:rPr>
        <w:t xml:space="preserve">Within the </w:t>
      </w:r>
      <w:r w:rsidRPr="00C15396">
        <w:rPr>
          <w:rFonts w:cs="Arial"/>
          <w:i/>
        </w:rPr>
        <w:t>Dairy products (excluding butter and butter fats)</w:t>
      </w:r>
      <w:r w:rsidRPr="00C15396">
        <w:rPr>
          <w:rFonts w:cs="Arial"/>
        </w:rPr>
        <w:t xml:space="preserve"> food category, Plain milk is</w:t>
      </w:r>
      <w:r w:rsidRPr="001D69FC">
        <w:rPr>
          <w:rFonts w:cs="Arial"/>
        </w:rPr>
        <w:t xml:space="preserve"> the major contributing food group to L-carnitine dietary intakes for both Australian (1</w:t>
      </w:r>
      <w:r w:rsidRPr="00A629CE">
        <w:rPr>
          <w:rFonts w:cs="Arial"/>
        </w:rPr>
        <w:t>3</w:t>
      </w:r>
      <w:r w:rsidRPr="001D69FC">
        <w:rPr>
          <w:rFonts w:cs="Arial"/>
        </w:rPr>
        <w:t>%) and New Zealand (1</w:t>
      </w:r>
      <w:r w:rsidRPr="00A629CE">
        <w:rPr>
          <w:rFonts w:cs="Arial"/>
        </w:rPr>
        <w:t>3</w:t>
      </w:r>
      <w:r w:rsidRPr="001D69FC">
        <w:rPr>
          <w:rFonts w:cs="Arial"/>
        </w:rPr>
        <w:t>%) elderly aged 71 years and above.</w:t>
      </w:r>
    </w:p>
    <w:p w14:paraId="258E61AE" w14:textId="77777777" w:rsidR="00785714" w:rsidRPr="00A629CE" w:rsidRDefault="00785714" w:rsidP="00785714">
      <w:pPr>
        <w:rPr>
          <w:rFonts w:cs="Arial"/>
        </w:rPr>
      </w:pPr>
    </w:p>
    <w:p w14:paraId="6246275A" w14:textId="3011B7D8" w:rsidR="00785714" w:rsidRPr="001D69FC" w:rsidRDefault="00785714" w:rsidP="00785714">
      <w:pPr>
        <w:rPr>
          <w:rFonts w:cs="Arial"/>
        </w:rPr>
      </w:pPr>
      <w:r w:rsidRPr="001D69FC">
        <w:rPr>
          <w:rFonts w:cs="Arial"/>
        </w:rPr>
        <w:t xml:space="preserve">Within the </w:t>
      </w:r>
      <w:r w:rsidRPr="001D69FC">
        <w:rPr>
          <w:rFonts w:cs="Arial"/>
          <w:i/>
        </w:rPr>
        <w:t xml:space="preserve">Meat &amp; meat products </w:t>
      </w:r>
      <w:r w:rsidRPr="001D69FC">
        <w:rPr>
          <w:rFonts w:cs="Arial"/>
        </w:rPr>
        <w:t>food category, Red meat excluding game is the major contributing food group (Au 5</w:t>
      </w:r>
      <w:r w:rsidRPr="00A629CE">
        <w:rPr>
          <w:rFonts w:cs="Arial"/>
        </w:rPr>
        <w:t>7</w:t>
      </w:r>
      <w:r w:rsidRPr="001D69FC">
        <w:rPr>
          <w:rFonts w:cs="Arial"/>
        </w:rPr>
        <w:t>%; NZ 5</w:t>
      </w:r>
      <w:r w:rsidRPr="00A629CE">
        <w:rPr>
          <w:rFonts w:cs="Arial"/>
        </w:rPr>
        <w:t>1</w:t>
      </w:r>
      <w:r w:rsidRPr="001D69FC">
        <w:rPr>
          <w:rFonts w:cs="Arial"/>
        </w:rPr>
        <w:t xml:space="preserve">%) to L-carnitine dietary intakes for the elderly aged 71 years and above. Processed meat/ poultry/game products in whole/cut pieces (e.g. ham, bacon, smoked chicken) </w:t>
      </w:r>
      <w:r w:rsidRPr="000563B0">
        <w:rPr>
          <w:rFonts w:cs="Arial"/>
        </w:rPr>
        <w:t xml:space="preserve">(Au </w:t>
      </w:r>
      <w:r w:rsidRPr="00A629CE">
        <w:rPr>
          <w:rFonts w:cs="Arial"/>
        </w:rPr>
        <w:t>5</w:t>
      </w:r>
      <w:r w:rsidRPr="001D69FC">
        <w:rPr>
          <w:rFonts w:cs="Arial"/>
        </w:rPr>
        <w:t xml:space="preserve">%; NZ 5%) is also a major contributing food group for both countries. Game meat is a major contributor for New Zealand elderly (NZ </w:t>
      </w:r>
      <w:r w:rsidRPr="00A629CE">
        <w:rPr>
          <w:rFonts w:cs="Arial"/>
        </w:rPr>
        <w:t>6</w:t>
      </w:r>
      <w:r w:rsidRPr="001D69FC">
        <w:rPr>
          <w:rFonts w:cs="Arial"/>
        </w:rPr>
        <w:t xml:space="preserve">%). Poultry (Au </w:t>
      </w:r>
      <w:r w:rsidRPr="00A629CE">
        <w:rPr>
          <w:rFonts w:cs="Arial"/>
        </w:rPr>
        <w:t>5</w:t>
      </w:r>
      <w:r w:rsidRPr="001D69FC">
        <w:rPr>
          <w:rFonts w:cs="Arial"/>
        </w:rPr>
        <w:t>%) is a major contributor for Australian elderly.</w:t>
      </w:r>
    </w:p>
    <w:p w14:paraId="38609970" w14:textId="77777777" w:rsidR="00785714" w:rsidRPr="00A629CE" w:rsidRDefault="00785714" w:rsidP="00785714">
      <w:pPr>
        <w:rPr>
          <w:rFonts w:cs="Arial"/>
        </w:rPr>
      </w:pPr>
    </w:p>
    <w:p w14:paraId="6CEB2D2F" w14:textId="6DB44263" w:rsidR="00785714" w:rsidRPr="00EB0D98" w:rsidRDefault="00785714" w:rsidP="00785714">
      <w:r w:rsidRPr="00EB0D98">
        <w:t xml:space="preserve">See </w:t>
      </w:r>
      <w:r w:rsidRPr="00EB0D98">
        <w:fldChar w:fldCharType="begin"/>
      </w:r>
      <w:r w:rsidRPr="00EB0D98">
        <w:instrText xml:space="preserve"> REF _Ref512528881 \h </w:instrText>
      </w:r>
      <w:r w:rsidRPr="00A629CE">
        <w:instrText xml:space="preserve"> \* MERGEFORMAT </w:instrText>
      </w:r>
      <w:r w:rsidRPr="00EB0D98">
        <w:fldChar w:fldCharType="separate"/>
      </w:r>
      <w:r w:rsidR="00872715" w:rsidRPr="00B83846">
        <w:t>Table A</w:t>
      </w:r>
      <w:r w:rsidR="00872715">
        <w:t>3.3</w:t>
      </w:r>
      <w:r w:rsidRPr="00EB0D98">
        <w:fldChar w:fldCharType="end"/>
      </w:r>
      <w:r w:rsidRPr="00EB0D98">
        <w:t xml:space="preserve"> and</w:t>
      </w:r>
      <w:r w:rsidRPr="00005E43">
        <w:t xml:space="preserve"> </w:t>
      </w:r>
      <w:r w:rsidRPr="00EB0D98">
        <w:fldChar w:fldCharType="begin"/>
      </w:r>
      <w:r w:rsidRPr="00EB0D98">
        <w:instrText xml:space="preserve"> REF _Ref512528943 \h </w:instrText>
      </w:r>
      <w:r w:rsidRPr="00A629CE">
        <w:instrText xml:space="preserve"> \* MERGEFORMAT </w:instrText>
      </w:r>
      <w:r w:rsidRPr="00EB0D98">
        <w:fldChar w:fldCharType="separate"/>
      </w:r>
      <w:r w:rsidR="00872715" w:rsidRPr="00B83846">
        <w:t>Table A</w:t>
      </w:r>
      <w:r w:rsidR="00872715">
        <w:t>3.7</w:t>
      </w:r>
      <w:r w:rsidRPr="00EB0D98">
        <w:fldChar w:fldCharType="end"/>
      </w:r>
      <w:r w:rsidRPr="00EB0D98">
        <w:t xml:space="preserve"> in</w:t>
      </w:r>
      <w:r w:rsidR="00161F83">
        <w:t xml:space="preserve"> Appendix 3</w:t>
      </w:r>
      <w:r w:rsidRPr="00EB0D98">
        <w:t xml:space="preserve"> for further details.</w:t>
      </w:r>
    </w:p>
    <w:p w14:paraId="15315991" w14:textId="77777777" w:rsidR="00785714" w:rsidRPr="00005E43" w:rsidRDefault="00785714" w:rsidP="008D5447">
      <w:pPr>
        <w:pStyle w:val="Heading5"/>
        <w:keepNext w:val="0"/>
        <w:widowControl/>
      </w:pPr>
      <w:r w:rsidRPr="00005E43">
        <w:t>Sports food increase scenario</w:t>
      </w:r>
    </w:p>
    <w:p w14:paraId="2145BBF6" w14:textId="77777777" w:rsidR="00785714" w:rsidRPr="001D69FC" w:rsidRDefault="00785714" w:rsidP="008D5447">
      <w:pPr>
        <w:widowControl/>
        <w:rPr>
          <w:rFonts w:cs="Arial"/>
        </w:rPr>
      </w:pPr>
      <w:r w:rsidRPr="001D69FC">
        <w:rPr>
          <w:rFonts w:cs="Arial"/>
        </w:rPr>
        <w:t xml:space="preserve">Under the </w:t>
      </w:r>
      <w:r w:rsidRPr="001D69FC">
        <w:rPr>
          <w:rFonts w:cs="Arial"/>
          <w:i/>
        </w:rPr>
        <w:t>Sports food increase</w:t>
      </w:r>
      <w:r w:rsidRPr="001D69FC">
        <w:rPr>
          <w:rFonts w:cs="Arial"/>
        </w:rPr>
        <w:t xml:space="preserve"> scenario, </w:t>
      </w:r>
      <w:r w:rsidRPr="001D69FC">
        <w:rPr>
          <w:rFonts w:cs="Arial"/>
          <w:i/>
        </w:rPr>
        <w:t xml:space="preserve">Meat &amp; meat products (including poultry and game) </w:t>
      </w:r>
      <w:r w:rsidRPr="001D69FC">
        <w:rPr>
          <w:rFonts w:cs="Arial"/>
        </w:rPr>
        <w:t>(Au 68%; NZ 7</w:t>
      </w:r>
      <w:r w:rsidRPr="00A629CE">
        <w:rPr>
          <w:rFonts w:cs="Arial"/>
        </w:rPr>
        <w:t>3</w:t>
      </w:r>
      <w:r w:rsidRPr="001D69FC">
        <w:rPr>
          <w:rFonts w:cs="Arial"/>
        </w:rPr>
        <w:t xml:space="preserve">%) and </w:t>
      </w:r>
      <w:r w:rsidRPr="001D69FC">
        <w:rPr>
          <w:rFonts w:cs="Arial"/>
          <w:i/>
        </w:rPr>
        <w:t xml:space="preserve">Dairy products (excluding butter and butter fats) </w:t>
      </w:r>
      <w:r w:rsidRPr="001D69FC">
        <w:rPr>
          <w:rFonts w:cs="Arial"/>
        </w:rPr>
        <w:t>(</w:t>
      </w:r>
      <w:r w:rsidRPr="001D69FC">
        <w:rPr>
          <w:rFonts w:cs="Arial"/>
          <w:lang w:val="en-AU"/>
        </w:rPr>
        <w:t xml:space="preserve">Au </w:t>
      </w:r>
      <w:r w:rsidRPr="00A629CE">
        <w:rPr>
          <w:rFonts w:cs="Arial"/>
        </w:rPr>
        <w:t>15</w:t>
      </w:r>
      <w:r w:rsidRPr="001D69FC">
        <w:rPr>
          <w:rFonts w:cs="Arial"/>
        </w:rPr>
        <w:t>%; NZ 17%) are the major contributing food categories to L-carnitine dietary intakes for Australian and New Zealand elderly aged 71 years and above.</w:t>
      </w:r>
      <w:r>
        <w:rPr>
          <w:rFonts w:cs="Arial"/>
        </w:rPr>
        <w:t xml:space="preserve"> For the Australian elderly, </w:t>
      </w:r>
      <w:r>
        <w:rPr>
          <w:rFonts w:cs="Arial"/>
          <w:i/>
        </w:rPr>
        <w:t xml:space="preserve">Foods intended for particular dietary uses </w:t>
      </w:r>
      <w:r>
        <w:rPr>
          <w:rFonts w:cs="Arial"/>
        </w:rPr>
        <w:t>(Au 10%) is also a major contributing food category.</w:t>
      </w:r>
    </w:p>
    <w:p w14:paraId="0B488D42" w14:textId="77777777" w:rsidR="00785714" w:rsidRPr="000563B0" w:rsidRDefault="00785714" w:rsidP="008D5447">
      <w:pPr>
        <w:widowControl/>
        <w:rPr>
          <w:rFonts w:cs="Arial"/>
        </w:rPr>
      </w:pPr>
    </w:p>
    <w:p w14:paraId="795FDBFD" w14:textId="77777777" w:rsidR="00785714" w:rsidRPr="003C3CDE" w:rsidRDefault="00785714" w:rsidP="00785714">
      <w:pPr>
        <w:rPr>
          <w:rFonts w:cs="Arial"/>
        </w:rPr>
      </w:pPr>
      <w:r w:rsidRPr="00156BB2">
        <w:rPr>
          <w:rFonts w:cs="Arial"/>
        </w:rPr>
        <w:t xml:space="preserve">Within the </w:t>
      </w:r>
      <w:r w:rsidRPr="00156BB2">
        <w:rPr>
          <w:rFonts w:cs="Arial"/>
          <w:i/>
        </w:rPr>
        <w:t>Dairy products (excluding butter and butter fats)</w:t>
      </w:r>
      <w:r w:rsidRPr="00156BB2">
        <w:rPr>
          <w:rFonts w:cs="Arial"/>
        </w:rPr>
        <w:t xml:space="preserve"> food category, Plain milk is the major contributing food group to L-carnitine dietary intakes for both Australian (12%) and New Zealand (1</w:t>
      </w:r>
      <w:r w:rsidRPr="00A629CE">
        <w:rPr>
          <w:rFonts w:cs="Arial"/>
        </w:rPr>
        <w:t>3</w:t>
      </w:r>
      <w:r w:rsidRPr="000563B0">
        <w:rPr>
          <w:rFonts w:cs="Arial"/>
        </w:rPr>
        <w:t>%) elderly aged 71 years and above.</w:t>
      </w:r>
    </w:p>
    <w:p w14:paraId="6D876FE5" w14:textId="77777777" w:rsidR="00785714" w:rsidRPr="00A629CE" w:rsidRDefault="00785714" w:rsidP="00785714">
      <w:pPr>
        <w:rPr>
          <w:rFonts w:cs="Arial"/>
        </w:rPr>
      </w:pPr>
    </w:p>
    <w:p w14:paraId="7FDC8F1C" w14:textId="2E87F82E" w:rsidR="00785714" w:rsidRPr="000563B0" w:rsidRDefault="00785714" w:rsidP="00785714">
      <w:pPr>
        <w:rPr>
          <w:rFonts w:cs="Arial"/>
        </w:rPr>
      </w:pPr>
      <w:r w:rsidRPr="000563B0">
        <w:rPr>
          <w:rFonts w:cs="Arial"/>
        </w:rPr>
        <w:t xml:space="preserve">Within the </w:t>
      </w:r>
      <w:r w:rsidRPr="000563B0">
        <w:rPr>
          <w:rFonts w:cs="Arial"/>
          <w:i/>
        </w:rPr>
        <w:t xml:space="preserve">Meat &amp; meat products </w:t>
      </w:r>
      <w:r w:rsidRPr="000563B0">
        <w:rPr>
          <w:rFonts w:cs="Arial"/>
        </w:rPr>
        <w:t xml:space="preserve">food category, Red meat excluding game is the major contributing food group (Au </w:t>
      </w:r>
      <w:r w:rsidRPr="00A629CE">
        <w:rPr>
          <w:rFonts w:cs="Arial"/>
        </w:rPr>
        <w:t>52</w:t>
      </w:r>
      <w:r w:rsidRPr="000563B0">
        <w:rPr>
          <w:rFonts w:cs="Arial"/>
        </w:rPr>
        <w:t>%; NZ 5</w:t>
      </w:r>
      <w:r w:rsidRPr="00A629CE">
        <w:rPr>
          <w:rFonts w:cs="Arial"/>
        </w:rPr>
        <w:t>1</w:t>
      </w:r>
      <w:r w:rsidRPr="000563B0">
        <w:rPr>
          <w:rFonts w:cs="Arial"/>
        </w:rPr>
        <w:t xml:space="preserve">%) to L-carnitine dietary intakes for the elderly aged 71 years and </w:t>
      </w:r>
      <w:r w:rsidRPr="00156BB2">
        <w:rPr>
          <w:rFonts w:cs="Arial"/>
        </w:rPr>
        <w:t>above. Game meat</w:t>
      </w:r>
      <w:r>
        <w:rPr>
          <w:rFonts w:cs="Arial"/>
        </w:rPr>
        <w:t xml:space="preserve"> </w:t>
      </w:r>
      <w:r w:rsidRPr="00156BB2">
        <w:rPr>
          <w:rFonts w:cs="Arial"/>
        </w:rPr>
        <w:t xml:space="preserve">(NZ </w:t>
      </w:r>
      <w:r w:rsidRPr="003173B1">
        <w:rPr>
          <w:rFonts w:cs="Arial"/>
        </w:rPr>
        <w:t>6</w:t>
      </w:r>
      <w:r w:rsidRPr="00156BB2">
        <w:rPr>
          <w:rFonts w:cs="Arial"/>
        </w:rPr>
        <w:t>%)</w:t>
      </w:r>
      <w:r>
        <w:rPr>
          <w:rFonts w:cs="Arial"/>
        </w:rPr>
        <w:t xml:space="preserve"> and</w:t>
      </w:r>
      <w:r w:rsidRPr="00156BB2">
        <w:rPr>
          <w:rFonts w:cs="Arial"/>
        </w:rPr>
        <w:t xml:space="preserve"> Processed meat/poultry/game products in whole/cut pieces (e.g. ham, bacon, smoked chicken) (NZ 5%) </w:t>
      </w:r>
      <w:r>
        <w:rPr>
          <w:rFonts w:cs="Arial"/>
        </w:rPr>
        <w:t>are</w:t>
      </w:r>
      <w:r w:rsidRPr="00156BB2">
        <w:rPr>
          <w:rFonts w:cs="Arial"/>
        </w:rPr>
        <w:t xml:space="preserve"> major contributor</w:t>
      </w:r>
      <w:r>
        <w:rPr>
          <w:rFonts w:cs="Arial"/>
        </w:rPr>
        <w:t>s</w:t>
      </w:r>
      <w:r w:rsidRPr="00156BB2">
        <w:rPr>
          <w:rFonts w:cs="Arial"/>
        </w:rPr>
        <w:t xml:space="preserve"> for New Zealand elderly. Poultry (Au </w:t>
      </w:r>
      <w:r w:rsidRPr="00A629CE">
        <w:rPr>
          <w:rFonts w:cs="Arial"/>
        </w:rPr>
        <w:t>5</w:t>
      </w:r>
      <w:r w:rsidRPr="00156BB2">
        <w:rPr>
          <w:rFonts w:cs="Arial"/>
        </w:rPr>
        <w:t>%) is a major contributor for</w:t>
      </w:r>
      <w:r w:rsidRPr="000563B0">
        <w:rPr>
          <w:rFonts w:cs="Arial"/>
        </w:rPr>
        <w:t xml:space="preserve"> Australian elderly.</w:t>
      </w:r>
    </w:p>
    <w:p w14:paraId="4B6B2D2B" w14:textId="77777777" w:rsidR="00785714" w:rsidRDefault="00785714" w:rsidP="00785714">
      <w:pPr>
        <w:rPr>
          <w:rFonts w:cs="Arial"/>
        </w:rPr>
      </w:pPr>
    </w:p>
    <w:p w14:paraId="69B0982B" w14:textId="77777777" w:rsidR="00785714" w:rsidRDefault="00785714" w:rsidP="00785714">
      <w:pPr>
        <w:rPr>
          <w:rFonts w:cs="Arial"/>
        </w:rPr>
      </w:pPr>
      <w:r w:rsidRPr="000563B0">
        <w:rPr>
          <w:rFonts w:cs="Arial"/>
        </w:rPr>
        <w:t xml:space="preserve">Within the </w:t>
      </w:r>
      <w:r>
        <w:rPr>
          <w:rFonts w:cs="Arial"/>
          <w:i/>
        </w:rPr>
        <w:t>Foods intended for particular dietary uses</w:t>
      </w:r>
      <w:r w:rsidRPr="000563B0">
        <w:rPr>
          <w:rFonts w:cs="Arial"/>
          <w:i/>
        </w:rPr>
        <w:t xml:space="preserve"> </w:t>
      </w:r>
      <w:r w:rsidRPr="000563B0">
        <w:rPr>
          <w:rFonts w:cs="Arial"/>
        </w:rPr>
        <w:t xml:space="preserve">food category, </w:t>
      </w:r>
      <w:r>
        <w:rPr>
          <w:rFonts w:cs="Arial"/>
        </w:rPr>
        <w:t>Solid formulated supplementary sports foods (5%) and Liquid formulated supplementary sports foods (5%) are</w:t>
      </w:r>
      <w:r w:rsidRPr="000563B0">
        <w:rPr>
          <w:rFonts w:cs="Arial"/>
        </w:rPr>
        <w:t xml:space="preserve"> major contributing food group</w:t>
      </w:r>
      <w:r>
        <w:rPr>
          <w:rFonts w:cs="Arial"/>
        </w:rPr>
        <w:t>s</w:t>
      </w:r>
      <w:r w:rsidRPr="000563B0">
        <w:rPr>
          <w:rFonts w:cs="Arial"/>
        </w:rPr>
        <w:t xml:space="preserve"> to L-carnitine dietary intakes for </w:t>
      </w:r>
      <w:r>
        <w:rPr>
          <w:rFonts w:cs="Arial"/>
        </w:rPr>
        <w:t>Australian</w:t>
      </w:r>
      <w:r w:rsidRPr="000563B0">
        <w:rPr>
          <w:rFonts w:cs="Arial"/>
        </w:rPr>
        <w:t xml:space="preserve"> elderly aged 71 years and above.</w:t>
      </w:r>
    </w:p>
    <w:p w14:paraId="36CAA9C0" w14:textId="77777777" w:rsidR="00785714" w:rsidRPr="00EB0D98" w:rsidRDefault="00785714" w:rsidP="00785714">
      <w:pPr>
        <w:rPr>
          <w:rFonts w:cs="Arial"/>
        </w:rPr>
      </w:pPr>
    </w:p>
    <w:p w14:paraId="17DEF575" w14:textId="3921D4B8" w:rsidR="00785714" w:rsidRPr="00EB0D98" w:rsidRDefault="00785714" w:rsidP="00785714">
      <w:r w:rsidRPr="00005E43">
        <w:lastRenderedPageBreak/>
        <w:t xml:space="preserve">See </w:t>
      </w:r>
      <w:r w:rsidRPr="00005E43">
        <w:fldChar w:fldCharType="begin"/>
      </w:r>
      <w:r w:rsidRPr="00EB0D98">
        <w:instrText xml:space="preserve"> REF _Ref512528881 \h </w:instrText>
      </w:r>
      <w:r w:rsidRPr="00A629CE">
        <w:instrText xml:space="preserve"> \* MERGEFORMAT </w:instrText>
      </w:r>
      <w:r w:rsidRPr="00005E43">
        <w:fldChar w:fldCharType="separate"/>
      </w:r>
      <w:r w:rsidR="00872715" w:rsidRPr="00B83846">
        <w:t>Table A</w:t>
      </w:r>
      <w:r w:rsidR="00872715">
        <w:t>3.3</w:t>
      </w:r>
      <w:r w:rsidRPr="00005E43">
        <w:fldChar w:fldCharType="end"/>
      </w:r>
      <w:r w:rsidRPr="00EB0D98">
        <w:t xml:space="preserve"> and </w:t>
      </w:r>
      <w:r w:rsidRPr="00005E43">
        <w:fldChar w:fldCharType="begin"/>
      </w:r>
      <w:r w:rsidRPr="00EB0D98">
        <w:instrText xml:space="preserve"> REF _Ref512528943 \h </w:instrText>
      </w:r>
      <w:r w:rsidRPr="00A629CE">
        <w:instrText xml:space="preserve"> \* MERGEFORMAT </w:instrText>
      </w:r>
      <w:r w:rsidRPr="00005E43">
        <w:fldChar w:fldCharType="separate"/>
      </w:r>
      <w:r w:rsidR="00872715" w:rsidRPr="00B83846">
        <w:t>Table A</w:t>
      </w:r>
      <w:r w:rsidR="00872715">
        <w:t>3.7</w:t>
      </w:r>
      <w:r w:rsidRPr="00005E43">
        <w:fldChar w:fldCharType="end"/>
      </w:r>
      <w:r w:rsidRPr="00EB0D98">
        <w:t xml:space="preserve"> in</w:t>
      </w:r>
      <w:r w:rsidR="00161F83">
        <w:t xml:space="preserve"> Appendix 3</w:t>
      </w:r>
      <w:r w:rsidRPr="00EB0D98">
        <w:t xml:space="preserve"> for further details.</w:t>
      </w:r>
    </w:p>
    <w:p w14:paraId="5F7B40A6" w14:textId="77777777" w:rsidR="00785714" w:rsidRPr="00005E43" w:rsidRDefault="00785714" w:rsidP="00785714">
      <w:pPr>
        <w:pStyle w:val="Heading5"/>
      </w:pPr>
      <w:r w:rsidRPr="00005E43">
        <w:t>Consumer behaviour scenario</w:t>
      </w:r>
    </w:p>
    <w:p w14:paraId="166C1485" w14:textId="77777777" w:rsidR="00785714" w:rsidRPr="00191A48" w:rsidRDefault="00785714" w:rsidP="00785714">
      <w:pPr>
        <w:rPr>
          <w:rFonts w:cs="Arial"/>
        </w:rPr>
      </w:pPr>
      <w:r w:rsidRPr="003C3CDE">
        <w:rPr>
          <w:rFonts w:cs="Arial"/>
        </w:rPr>
        <w:t xml:space="preserve">The food categories that contribute to L-carnitine dietary intakes change under the </w:t>
      </w:r>
      <w:r w:rsidRPr="003C3CDE">
        <w:rPr>
          <w:rFonts w:cs="Arial"/>
          <w:i/>
        </w:rPr>
        <w:t>Consumer behaviour</w:t>
      </w:r>
      <w:r w:rsidRPr="003C3CDE">
        <w:rPr>
          <w:rFonts w:cs="Arial"/>
        </w:rPr>
        <w:t xml:space="preserve"> scenario in comparison to the </w:t>
      </w:r>
      <w:r w:rsidRPr="003C3CDE">
        <w:rPr>
          <w:rFonts w:cs="Arial"/>
          <w:i/>
        </w:rPr>
        <w:t>Baseline</w:t>
      </w:r>
      <w:r w:rsidRPr="00191A48">
        <w:rPr>
          <w:rFonts w:cs="Arial"/>
        </w:rPr>
        <w:t xml:space="preserve">. </w:t>
      </w:r>
      <w:r w:rsidRPr="00191A48">
        <w:rPr>
          <w:rFonts w:cs="Arial"/>
          <w:i/>
        </w:rPr>
        <w:t>Commercial mixed foods</w:t>
      </w:r>
      <w:r w:rsidRPr="00191A48">
        <w:rPr>
          <w:rFonts w:cs="Arial"/>
        </w:rPr>
        <w:t xml:space="preserve"> (Au 26%) is the major contributing food category for Australian eld</w:t>
      </w:r>
      <w:r w:rsidRPr="00C15396">
        <w:rPr>
          <w:rFonts w:cs="Arial"/>
        </w:rPr>
        <w:t xml:space="preserve">erly aged 71 years and above, followed by </w:t>
      </w:r>
      <w:r w:rsidRPr="003C3CDE">
        <w:rPr>
          <w:rFonts w:cs="Arial"/>
          <w:i/>
        </w:rPr>
        <w:t>Non-alcoholic and alcoholic beverages</w:t>
      </w:r>
      <w:r w:rsidRPr="003C3CDE">
        <w:rPr>
          <w:rFonts w:cs="Arial"/>
        </w:rPr>
        <w:t xml:space="preserve"> (Au 22%), </w:t>
      </w:r>
      <w:r w:rsidRPr="003C3CDE">
        <w:rPr>
          <w:rFonts w:cs="Arial"/>
          <w:i/>
        </w:rPr>
        <w:t xml:space="preserve">Dairy products (excluding butter and butter fats) </w:t>
      </w:r>
      <w:r w:rsidRPr="003C3CDE">
        <w:rPr>
          <w:rFonts w:cs="Arial"/>
        </w:rPr>
        <w:t>(Au 1</w:t>
      </w:r>
      <w:r w:rsidRPr="00A629CE">
        <w:rPr>
          <w:rFonts w:cs="Arial"/>
        </w:rPr>
        <w:t>6</w:t>
      </w:r>
      <w:r w:rsidRPr="003C3CDE">
        <w:rPr>
          <w:rFonts w:cs="Arial"/>
        </w:rPr>
        <w:t xml:space="preserve">%), </w:t>
      </w:r>
      <w:r w:rsidRPr="003C3CDE">
        <w:rPr>
          <w:rFonts w:cs="Arial"/>
          <w:i/>
        </w:rPr>
        <w:t xml:space="preserve">Meat &amp; meat products (including poultry and game) </w:t>
      </w:r>
      <w:r w:rsidRPr="003C3CDE">
        <w:rPr>
          <w:rFonts w:cs="Arial"/>
        </w:rPr>
        <w:t>(Au 1</w:t>
      </w:r>
      <w:r w:rsidRPr="00191A48">
        <w:rPr>
          <w:rFonts w:cs="Arial"/>
        </w:rPr>
        <w:t xml:space="preserve">5%), and </w:t>
      </w:r>
      <w:r w:rsidRPr="00191A48">
        <w:rPr>
          <w:rFonts w:cs="Arial"/>
          <w:i/>
        </w:rPr>
        <w:t xml:space="preserve">Cereals &amp; cereal products </w:t>
      </w:r>
      <w:r w:rsidRPr="00191A48">
        <w:rPr>
          <w:rFonts w:cs="Arial"/>
        </w:rPr>
        <w:t xml:space="preserve">(Au 12%). </w:t>
      </w:r>
      <w:r w:rsidRPr="003C3CDE">
        <w:rPr>
          <w:rFonts w:cs="Arial"/>
        </w:rPr>
        <w:t xml:space="preserve">For New Zealand elderly, the major contributing food category is </w:t>
      </w:r>
      <w:r w:rsidRPr="003C3CDE">
        <w:rPr>
          <w:rFonts w:cs="Arial"/>
          <w:i/>
        </w:rPr>
        <w:t xml:space="preserve">Dairy products (excluding butter and butter fats) </w:t>
      </w:r>
      <w:r w:rsidRPr="003C3CDE">
        <w:rPr>
          <w:rFonts w:cs="Arial"/>
        </w:rPr>
        <w:t xml:space="preserve">(NZ 29%), followed by </w:t>
      </w:r>
      <w:r w:rsidRPr="003C3CDE">
        <w:rPr>
          <w:rFonts w:cs="Arial"/>
          <w:i/>
        </w:rPr>
        <w:t xml:space="preserve">Cereals &amp; cereal products </w:t>
      </w:r>
      <w:r w:rsidRPr="003C3CDE">
        <w:rPr>
          <w:rFonts w:cs="Arial"/>
        </w:rPr>
        <w:t xml:space="preserve">(NZ 17%), </w:t>
      </w:r>
      <w:r w:rsidRPr="003C3CDE">
        <w:rPr>
          <w:rFonts w:cs="Arial"/>
          <w:i/>
        </w:rPr>
        <w:t>Commercial mixed foods</w:t>
      </w:r>
      <w:r w:rsidRPr="003C3CDE">
        <w:rPr>
          <w:rFonts w:cs="Arial"/>
        </w:rPr>
        <w:t xml:space="preserve"> (NZ 1</w:t>
      </w:r>
      <w:r w:rsidRPr="00E07F1A">
        <w:rPr>
          <w:rFonts w:cs="Arial"/>
        </w:rPr>
        <w:t>8</w:t>
      </w:r>
      <w:r w:rsidRPr="003C3CDE">
        <w:rPr>
          <w:rFonts w:cs="Arial"/>
        </w:rPr>
        <w:t xml:space="preserve">%), </w:t>
      </w:r>
      <w:r w:rsidRPr="003C3CDE">
        <w:rPr>
          <w:rFonts w:cs="Arial"/>
          <w:i/>
        </w:rPr>
        <w:t xml:space="preserve">Meat &amp; meat products (including poultry and game) </w:t>
      </w:r>
      <w:r w:rsidRPr="003C3CDE">
        <w:rPr>
          <w:rFonts w:cs="Arial"/>
        </w:rPr>
        <w:t>(NZ 1</w:t>
      </w:r>
      <w:r w:rsidRPr="00E07F1A">
        <w:rPr>
          <w:rFonts w:cs="Arial"/>
        </w:rPr>
        <w:t>4</w:t>
      </w:r>
      <w:r w:rsidRPr="003C3CDE">
        <w:rPr>
          <w:rFonts w:cs="Arial"/>
        </w:rPr>
        <w:t xml:space="preserve">%), and </w:t>
      </w:r>
      <w:r w:rsidRPr="003C3CDE">
        <w:rPr>
          <w:rFonts w:cs="Arial"/>
          <w:i/>
        </w:rPr>
        <w:t>Non-alcoholic and alcoholic beverages</w:t>
      </w:r>
      <w:r w:rsidRPr="003C3CDE">
        <w:rPr>
          <w:rFonts w:cs="Arial"/>
        </w:rPr>
        <w:t xml:space="preserve"> (NZ 14</w:t>
      </w:r>
      <w:r w:rsidRPr="00191A48">
        <w:rPr>
          <w:rFonts w:cs="Arial"/>
        </w:rPr>
        <w:t>%).</w:t>
      </w:r>
    </w:p>
    <w:p w14:paraId="4B5C0197" w14:textId="77777777" w:rsidR="00785714" w:rsidRPr="00E07F1A" w:rsidRDefault="00785714" w:rsidP="00785714">
      <w:pPr>
        <w:rPr>
          <w:rFonts w:cs="Arial"/>
          <w:highlight w:val="magenta"/>
        </w:rPr>
      </w:pPr>
    </w:p>
    <w:p w14:paraId="23B5DE71" w14:textId="77777777" w:rsidR="00785714" w:rsidRPr="00C15396" w:rsidRDefault="00785714" w:rsidP="00785714">
      <w:pPr>
        <w:rPr>
          <w:rFonts w:cs="Arial"/>
        </w:rPr>
      </w:pPr>
      <w:r w:rsidRPr="00E07F1A">
        <w:rPr>
          <w:rFonts w:cs="Arial"/>
        </w:rPr>
        <w:t>W</w:t>
      </w:r>
      <w:r w:rsidRPr="00191A48">
        <w:rPr>
          <w:rFonts w:cs="Arial"/>
        </w:rPr>
        <w:t xml:space="preserve">ithin the </w:t>
      </w:r>
      <w:r w:rsidRPr="00191A48">
        <w:rPr>
          <w:rFonts w:cs="Arial"/>
          <w:i/>
        </w:rPr>
        <w:t xml:space="preserve">Commercial mixed foods </w:t>
      </w:r>
      <w:r w:rsidRPr="00C15396">
        <w:rPr>
          <w:rFonts w:cs="Arial"/>
        </w:rPr>
        <w:t xml:space="preserve">food category, Ready-to-eat muesli </w:t>
      </w:r>
      <w:r w:rsidRPr="00E07F1A">
        <w:rPr>
          <w:rFonts w:cs="Arial"/>
        </w:rPr>
        <w:t>is</w:t>
      </w:r>
      <w:r w:rsidRPr="00191A48">
        <w:rPr>
          <w:rFonts w:cs="Arial"/>
        </w:rPr>
        <w:t xml:space="preserve"> the major contributor for Australia</w:t>
      </w:r>
      <w:r w:rsidRPr="00E07F1A">
        <w:rPr>
          <w:rFonts w:cs="Arial"/>
        </w:rPr>
        <w:t>n and New Zealand elderly</w:t>
      </w:r>
      <w:r w:rsidRPr="00191A48">
        <w:rPr>
          <w:rFonts w:cs="Arial"/>
        </w:rPr>
        <w:t xml:space="preserve"> (Au 21%</w:t>
      </w:r>
      <w:r w:rsidRPr="00E07F1A">
        <w:rPr>
          <w:rFonts w:cs="Arial"/>
        </w:rPr>
        <w:t>; NZ 13%</w:t>
      </w:r>
      <w:r w:rsidRPr="00191A48">
        <w:rPr>
          <w:rFonts w:cs="Arial"/>
        </w:rPr>
        <w:t>)</w:t>
      </w:r>
      <w:r w:rsidRPr="00191A48">
        <w:t xml:space="preserve">. </w:t>
      </w:r>
      <w:r w:rsidRPr="00191A48">
        <w:rPr>
          <w:rFonts w:cs="Arial"/>
        </w:rPr>
        <w:t xml:space="preserve">Within the </w:t>
      </w:r>
      <w:r w:rsidRPr="00C15396">
        <w:rPr>
          <w:rFonts w:cs="Arial"/>
          <w:i/>
        </w:rPr>
        <w:t>Cereals &amp; cereal products</w:t>
      </w:r>
      <w:r w:rsidRPr="00C15396">
        <w:rPr>
          <w:rFonts w:cs="Arial"/>
        </w:rPr>
        <w:t xml:space="preserve"> food category</w:t>
      </w:r>
      <w:r w:rsidRPr="00191A48">
        <w:rPr>
          <w:rFonts w:cs="Arial"/>
          <w:i/>
        </w:rPr>
        <w:t xml:space="preserve">, </w:t>
      </w:r>
      <w:r w:rsidRPr="00191A48">
        <w:rPr>
          <w:rFonts w:cs="Arial"/>
        </w:rPr>
        <w:t>Plain</w:t>
      </w:r>
      <w:r w:rsidRPr="00191A48">
        <w:rPr>
          <w:rFonts w:cs="Arial"/>
          <w:i/>
        </w:rPr>
        <w:t xml:space="preserve"> </w:t>
      </w:r>
      <w:r w:rsidRPr="00191A48">
        <w:rPr>
          <w:rFonts w:cs="Arial"/>
        </w:rPr>
        <w:t>oats is the major contributor for the elderly aged 71 years</w:t>
      </w:r>
      <w:r w:rsidRPr="003C3CDE">
        <w:rPr>
          <w:rFonts w:cs="Arial"/>
        </w:rPr>
        <w:t xml:space="preserve"> and above (Au 12%; NZ 17%). </w:t>
      </w:r>
      <w:r w:rsidRPr="00C15396">
        <w:rPr>
          <w:rFonts w:cs="Arial"/>
        </w:rPr>
        <w:t xml:space="preserve">When Flavoured oat porridge mixes are taken into account (from the </w:t>
      </w:r>
      <w:r w:rsidRPr="00C15396">
        <w:rPr>
          <w:rFonts w:cs="Arial"/>
          <w:i/>
        </w:rPr>
        <w:t>Commercial mixed foods</w:t>
      </w:r>
      <w:r w:rsidRPr="00C15396">
        <w:rPr>
          <w:rFonts w:cs="Arial"/>
        </w:rPr>
        <w:t xml:space="preserve"> category) with Plain oats (from the </w:t>
      </w:r>
      <w:r w:rsidRPr="00C15396">
        <w:rPr>
          <w:rFonts w:cs="Arial"/>
          <w:i/>
        </w:rPr>
        <w:t xml:space="preserve">Cereals &amp; cereal products </w:t>
      </w:r>
      <w:r w:rsidRPr="00C15396">
        <w:rPr>
          <w:rFonts w:cs="Arial"/>
        </w:rPr>
        <w:t xml:space="preserve">category), all oat porridges contribute to </w:t>
      </w:r>
      <w:r w:rsidRPr="00E07F1A">
        <w:rPr>
          <w:rFonts w:cs="Arial"/>
        </w:rPr>
        <w:t>17</w:t>
      </w:r>
      <w:r w:rsidRPr="00C15396">
        <w:rPr>
          <w:rFonts w:cs="Arial"/>
        </w:rPr>
        <w:t>% of L-carnitine dietary intakes for the New Zealand elderly aged 71 years and above and 1</w:t>
      </w:r>
      <w:r w:rsidRPr="00E07F1A">
        <w:rPr>
          <w:rFonts w:cs="Arial"/>
        </w:rPr>
        <w:t>3</w:t>
      </w:r>
      <w:r w:rsidRPr="00C15396">
        <w:rPr>
          <w:rFonts w:cs="Arial"/>
        </w:rPr>
        <w:t>% for Australian elderly.</w:t>
      </w:r>
    </w:p>
    <w:p w14:paraId="13234DB3" w14:textId="77777777" w:rsidR="00785714" w:rsidRPr="00C15396" w:rsidRDefault="00785714" w:rsidP="00785714">
      <w:pPr>
        <w:rPr>
          <w:rFonts w:cs="Arial"/>
        </w:rPr>
      </w:pPr>
    </w:p>
    <w:p w14:paraId="4C688BCA" w14:textId="77777777" w:rsidR="00785714" w:rsidRPr="00C15396" w:rsidRDefault="00785714" w:rsidP="00785714">
      <w:pPr>
        <w:rPr>
          <w:rFonts w:cs="Arial"/>
        </w:rPr>
      </w:pPr>
      <w:r w:rsidRPr="003C3CDE">
        <w:rPr>
          <w:rFonts w:cs="Arial"/>
        </w:rPr>
        <w:t xml:space="preserve">Within the </w:t>
      </w:r>
      <w:r w:rsidRPr="003C3CDE">
        <w:rPr>
          <w:rFonts w:cs="Arial"/>
          <w:i/>
        </w:rPr>
        <w:t>Dairy products (excluding butter and butter fats)</w:t>
      </w:r>
      <w:r w:rsidRPr="003C3CDE">
        <w:rPr>
          <w:rFonts w:cs="Arial"/>
        </w:rPr>
        <w:t xml:space="preserve"> food category, Flavoured fermented &amp; rennetted milk products (e.g. flavoured yoghurt) is the major contributing food group </w:t>
      </w:r>
      <w:r w:rsidRPr="00C15396">
        <w:rPr>
          <w:rFonts w:cs="Arial"/>
        </w:rPr>
        <w:t>to L-carnitine dietary intakes for Australian</w:t>
      </w:r>
      <w:r w:rsidRPr="00E07F1A">
        <w:rPr>
          <w:rFonts w:cs="Arial"/>
        </w:rPr>
        <w:t xml:space="preserve"> and New Zealand</w:t>
      </w:r>
      <w:r w:rsidRPr="00C15396">
        <w:rPr>
          <w:rFonts w:cs="Arial"/>
        </w:rPr>
        <w:t xml:space="preserve"> elderly</w:t>
      </w:r>
      <w:r w:rsidRPr="00E07F1A">
        <w:rPr>
          <w:rFonts w:cs="Arial"/>
        </w:rPr>
        <w:t xml:space="preserve"> (Au 8%; NZ 9%)</w:t>
      </w:r>
      <w:r w:rsidRPr="00C15396">
        <w:rPr>
          <w:rFonts w:cs="Arial"/>
        </w:rPr>
        <w:t xml:space="preserve">. For New Zealand elderly, Liquid milk products and flavoured liquid milk (NZ 14%) </w:t>
      </w:r>
      <w:r w:rsidRPr="00E07F1A">
        <w:rPr>
          <w:rFonts w:cs="Arial"/>
        </w:rPr>
        <w:t>is a</w:t>
      </w:r>
      <w:r w:rsidRPr="00C15396">
        <w:rPr>
          <w:rFonts w:cs="Arial"/>
        </w:rPr>
        <w:t xml:space="preserve"> major contributing food group.</w:t>
      </w:r>
    </w:p>
    <w:p w14:paraId="61C7B453" w14:textId="77777777" w:rsidR="00785714" w:rsidRPr="00E07F1A" w:rsidRDefault="00785714" w:rsidP="00785714">
      <w:pPr>
        <w:rPr>
          <w:rFonts w:cs="Arial"/>
          <w:highlight w:val="magenta"/>
        </w:rPr>
      </w:pPr>
    </w:p>
    <w:p w14:paraId="455DBC3A" w14:textId="77777777" w:rsidR="00785714" w:rsidRPr="003C3CDE" w:rsidRDefault="00785714" w:rsidP="00785714">
      <w:pPr>
        <w:rPr>
          <w:rFonts w:cs="Arial"/>
        </w:rPr>
      </w:pPr>
      <w:r w:rsidRPr="003C3CDE">
        <w:rPr>
          <w:rFonts w:cs="Arial"/>
        </w:rPr>
        <w:t xml:space="preserve">Within the </w:t>
      </w:r>
      <w:r w:rsidRPr="003C3CDE">
        <w:rPr>
          <w:rFonts w:cs="Arial"/>
          <w:i/>
        </w:rPr>
        <w:t>Non-alcoholic and alcoholic beverages</w:t>
      </w:r>
      <w:r w:rsidRPr="003C3CDE">
        <w:rPr>
          <w:rFonts w:cs="Arial"/>
        </w:rPr>
        <w:t xml:space="preserve"> food category, </w:t>
      </w:r>
      <w:r w:rsidRPr="003C3CDE">
        <w:rPr>
          <w:rFonts w:cs="Arial"/>
          <w:i/>
        </w:rPr>
        <w:t xml:space="preserve">Soft drinks (except intensely sweetened) </w:t>
      </w:r>
      <w:r w:rsidRPr="00191A48">
        <w:rPr>
          <w:rFonts w:cs="Arial"/>
        </w:rPr>
        <w:t>(Au 11%; NZ </w:t>
      </w:r>
      <w:r w:rsidRPr="00E07F1A">
        <w:rPr>
          <w:rFonts w:cs="Arial"/>
        </w:rPr>
        <w:t>8</w:t>
      </w:r>
      <w:r w:rsidRPr="003C3CDE">
        <w:rPr>
          <w:rFonts w:cs="Arial"/>
        </w:rPr>
        <w:t>%) is the major contributing food group, followed by Fruit &amp; vegetable juices &amp; fruit &amp; vegetable juice products (Au 8%; NZ 5%).</w:t>
      </w:r>
    </w:p>
    <w:p w14:paraId="380AE260" w14:textId="77777777" w:rsidR="00785714" w:rsidRPr="00E07F1A" w:rsidRDefault="00785714" w:rsidP="00785714">
      <w:pPr>
        <w:rPr>
          <w:rFonts w:cs="Arial"/>
        </w:rPr>
      </w:pPr>
    </w:p>
    <w:p w14:paraId="149B4688" w14:textId="77777777" w:rsidR="00785714" w:rsidRPr="00191A48" w:rsidRDefault="00785714" w:rsidP="00785714">
      <w:pPr>
        <w:rPr>
          <w:rFonts w:cs="Arial"/>
        </w:rPr>
      </w:pPr>
      <w:r w:rsidRPr="003C3CDE">
        <w:rPr>
          <w:rFonts w:cs="Arial"/>
        </w:rPr>
        <w:t xml:space="preserve">Within the </w:t>
      </w:r>
      <w:r w:rsidRPr="003C3CDE">
        <w:rPr>
          <w:rFonts w:cs="Arial"/>
          <w:i/>
        </w:rPr>
        <w:t xml:space="preserve">Meat &amp; meat products </w:t>
      </w:r>
      <w:r w:rsidRPr="003C3CDE">
        <w:rPr>
          <w:rFonts w:cs="Arial"/>
        </w:rPr>
        <w:t>food category, Red meat excluding game is the major contributing food group (Au 1</w:t>
      </w:r>
      <w:r w:rsidRPr="00191A48">
        <w:rPr>
          <w:rFonts w:cs="Arial"/>
        </w:rPr>
        <w:t>1%; NZ 10%) to L-carnitine dietary intakes for the elderly aged 71 years and above</w:t>
      </w:r>
      <w:r w:rsidRPr="00191A48">
        <w:t>.</w:t>
      </w:r>
    </w:p>
    <w:p w14:paraId="23ED9817" w14:textId="77777777" w:rsidR="00785714" w:rsidRPr="00E07F1A" w:rsidRDefault="00785714" w:rsidP="00785714">
      <w:pPr>
        <w:rPr>
          <w:rFonts w:cs="Arial"/>
        </w:rPr>
      </w:pPr>
    </w:p>
    <w:p w14:paraId="6CF0652C" w14:textId="349DCA5D" w:rsidR="00785714" w:rsidRPr="00EB0D98" w:rsidRDefault="00785714" w:rsidP="00785714">
      <w:r w:rsidRPr="00EB0D98">
        <w:t xml:space="preserve">See </w:t>
      </w:r>
      <w:r w:rsidRPr="00EB0D98">
        <w:fldChar w:fldCharType="begin"/>
      </w:r>
      <w:r w:rsidRPr="00EB0D98">
        <w:instrText xml:space="preserve"> REF _Ref512528881 \h </w:instrText>
      </w:r>
      <w:r w:rsidRPr="00E07F1A">
        <w:instrText xml:space="preserve"> \* MERGEFORMAT </w:instrText>
      </w:r>
      <w:r w:rsidRPr="00EB0D98">
        <w:fldChar w:fldCharType="separate"/>
      </w:r>
      <w:r w:rsidR="00872715" w:rsidRPr="00B83846">
        <w:t>Table A</w:t>
      </w:r>
      <w:r w:rsidR="00872715">
        <w:t>3.3</w:t>
      </w:r>
      <w:r w:rsidRPr="00EB0D98">
        <w:fldChar w:fldCharType="end"/>
      </w:r>
      <w:r w:rsidRPr="00EB0D98">
        <w:t xml:space="preserve"> and </w:t>
      </w:r>
      <w:r w:rsidRPr="00EB0D98">
        <w:fldChar w:fldCharType="begin"/>
      </w:r>
      <w:r w:rsidRPr="00EB0D98">
        <w:instrText xml:space="preserve"> REF _Ref512528943 \h </w:instrText>
      </w:r>
      <w:r w:rsidRPr="00E07F1A">
        <w:instrText xml:space="preserve"> \* MERGEFORMAT </w:instrText>
      </w:r>
      <w:r w:rsidRPr="00EB0D98">
        <w:fldChar w:fldCharType="separate"/>
      </w:r>
      <w:r w:rsidR="00872715" w:rsidRPr="00B83846">
        <w:t>Table A</w:t>
      </w:r>
      <w:r w:rsidR="00872715">
        <w:t>3.7</w:t>
      </w:r>
      <w:r w:rsidRPr="00EB0D98">
        <w:fldChar w:fldCharType="end"/>
      </w:r>
      <w:r w:rsidRPr="00EB0D98">
        <w:t xml:space="preserve"> in</w:t>
      </w:r>
      <w:r w:rsidR="00161F83">
        <w:t xml:space="preserve"> Appendix 3</w:t>
      </w:r>
      <w:r w:rsidRPr="00EB0D98">
        <w:t xml:space="preserve"> for further details.</w:t>
      </w:r>
    </w:p>
    <w:p w14:paraId="5D663960" w14:textId="77777777" w:rsidR="00785714" w:rsidRPr="00EB0D98" w:rsidRDefault="00785714" w:rsidP="00785714">
      <w:pPr>
        <w:pStyle w:val="Heading4"/>
      </w:pPr>
      <w:r w:rsidRPr="00005E43">
        <w:t>People who c</w:t>
      </w:r>
      <w:r w:rsidRPr="00EB0D98">
        <w:t>onsume sports foods/beverages</w:t>
      </w:r>
    </w:p>
    <w:p w14:paraId="35B40366" w14:textId="77777777" w:rsidR="00785714" w:rsidRPr="00EB0D98" w:rsidRDefault="00785714" w:rsidP="00785714">
      <w:pPr>
        <w:pStyle w:val="Heading5"/>
      </w:pPr>
      <w:r w:rsidRPr="00EB0D98">
        <w:t>Baseline</w:t>
      </w:r>
    </w:p>
    <w:p w14:paraId="55F32CA1" w14:textId="77777777" w:rsidR="00785714" w:rsidRPr="00E07F1A" w:rsidRDefault="00785714" w:rsidP="00785714">
      <w:pPr>
        <w:rPr>
          <w:rFonts w:cs="Arial"/>
        </w:rPr>
      </w:pPr>
      <w:r w:rsidRPr="00D83522">
        <w:rPr>
          <w:rFonts w:cs="Arial"/>
        </w:rPr>
        <w:t xml:space="preserve">At </w:t>
      </w:r>
      <w:r w:rsidRPr="00D83522">
        <w:rPr>
          <w:rFonts w:cs="Arial"/>
          <w:i/>
        </w:rPr>
        <w:t>Baseline</w:t>
      </w:r>
      <w:r w:rsidRPr="003F3D20">
        <w:rPr>
          <w:rFonts w:cs="Arial"/>
        </w:rPr>
        <w:t xml:space="preserve">, </w:t>
      </w:r>
      <w:r w:rsidRPr="00D83522">
        <w:rPr>
          <w:rFonts w:cs="Arial"/>
          <w:i/>
        </w:rPr>
        <w:t xml:space="preserve">Meat and meat products (including poultry and game) </w:t>
      </w:r>
      <w:r w:rsidRPr="00D83522">
        <w:rPr>
          <w:rFonts w:cs="Arial"/>
        </w:rPr>
        <w:t>(Au </w:t>
      </w:r>
      <w:r w:rsidRPr="00AB0483">
        <w:rPr>
          <w:rFonts w:cs="Arial"/>
        </w:rPr>
        <w:t>4</w:t>
      </w:r>
      <w:r w:rsidRPr="00D83522">
        <w:rPr>
          <w:rFonts w:cs="Arial"/>
        </w:rPr>
        <w:t>3%; NZ </w:t>
      </w:r>
      <w:r w:rsidRPr="00AB0483">
        <w:rPr>
          <w:rFonts w:cs="Arial"/>
        </w:rPr>
        <w:t>51</w:t>
      </w:r>
      <w:r w:rsidRPr="00D83522">
        <w:rPr>
          <w:rFonts w:cs="Arial"/>
        </w:rPr>
        <w:t xml:space="preserve">%), </w:t>
      </w:r>
      <w:r w:rsidRPr="003F3D20">
        <w:rPr>
          <w:rFonts w:cs="Arial"/>
          <w:i/>
        </w:rPr>
        <w:t>Foods intended for particular dietary uses</w:t>
      </w:r>
      <w:r w:rsidRPr="00E87BDE">
        <w:rPr>
          <w:rFonts w:cs="Arial"/>
        </w:rPr>
        <w:t xml:space="preserve"> (Au </w:t>
      </w:r>
      <w:r w:rsidRPr="009D6A34">
        <w:rPr>
          <w:rFonts w:cs="Arial"/>
        </w:rPr>
        <w:t>4</w:t>
      </w:r>
      <w:r w:rsidRPr="00E07F1A">
        <w:rPr>
          <w:rFonts w:cs="Arial"/>
        </w:rPr>
        <w:t>4</w:t>
      </w:r>
      <w:r w:rsidRPr="00D83522">
        <w:rPr>
          <w:rFonts w:cs="Arial"/>
        </w:rPr>
        <w:t>%; NZ</w:t>
      </w:r>
      <w:r w:rsidRPr="003F3D20">
        <w:rPr>
          <w:rFonts w:cs="Arial"/>
        </w:rPr>
        <w:t> </w:t>
      </w:r>
      <w:r w:rsidRPr="00E07F1A">
        <w:rPr>
          <w:rFonts w:cs="Arial"/>
        </w:rPr>
        <w:t>25</w:t>
      </w:r>
      <w:r w:rsidRPr="00D83522">
        <w:rPr>
          <w:rFonts w:cs="Arial"/>
        </w:rPr>
        <w:t xml:space="preserve">%), and </w:t>
      </w:r>
      <w:r w:rsidRPr="00D83522">
        <w:rPr>
          <w:rFonts w:cs="Arial"/>
          <w:i/>
        </w:rPr>
        <w:t xml:space="preserve">Dairy products (excluding butter and butter fats) </w:t>
      </w:r>
      <w:r w:rsidRPr="00D83522">
        <w:rPr>
          <w:rFonts w:cs="Arial"/>
        </w:rPr>
        <w:t>(Au </w:t>
      </w:r>
      <w:r w:rsidRPr="00E07F1A">
        <w:rPr>
          <w:rFonts w:cs="Arial"/>
        </w:rPr>
        <w:t>9</w:t>
      </w:r>
      <w:r w:rsidRPr="00D83522">
        <w:rPr>
          <w:rFonts w:cs="Arial"/>
        </w:rPr>
        <w:t>%; NZ </w:t>
      </w:r>
      <w:r w:rsidRPr="00E07F1A">
        <w:rPr>
          <w:rFonts w:cs="Arial"/>
        </w:rPr>
        <w:t>1</w:t>
      </w:r>
      <w:r w:rsidRPr="00D83522">
        <w:rPr>
          <w:rFonts w:cs="Arial"/>
        </w:rPr>
        <w:t>7%) are the major contributing food categories to L-carnitine dietary intakes for Australian aged 2 years and above and New Zealanders aged 15 years and above who consume sports foods/ beverages.</w:t>
      </w:r>
    </w:p>
    <w:p w14:paraId="6D040EC0" w14:textId="77777777" w:rsidR="00785714" w:rsidRPr="00E07F1A" w:rsidRDefault="00785714" w:rsidP="00785714">
      <w:pPr>
        <w:rPr>
          <w:rFonts w:cs="Arial"/>
        </w:rPr>
      </w:pPr>
    </w:p>
    <w:p w14:paraId="4FB6DC07" w14:textId="77777777" w:rsidR="00785714" w:rsidRPr="00E07F1A" w:rsidRDefault="00785714" w:rsidP="00785714">
      <w:pPr>
        <w:tabs>
          <w:tab w:val="left" w:pos="709"/>
        </w:tabs>
        <w:rPr>
          <w:rFonts w:cs="Arial"/>
        </w:rPr>
      </w:pPr>
      <w:r w:rsidRPr="003F3D20">
        <w:rPr>
          <w:rFonts w:cs="Arial"/>
        </w:rPr>
        <w:t xml:space="preserve">Within the </w:t>
      </w:r>
      <w:r w:rsidRPr="00E87BDE">
        <w:rPr>
          <w:rFonts w:cs="Arial"/>
          <w:i/>
        </w:rPr>
        <w:t>Dairy products (excluding butter and butter fats)</w:t>
      </w:r>
      <w:r w:rsidRPr="00E87BDE">
        <w:rPr>
          <w:rFonts w:cs="Arial"/>
        </w:rPr>
        <w:t xml:space="preserve"> food category, Plain milk (</w:t>
      </w:r>
      <w:r w:rsidRPr="009D6A34">
        <w:rPr>
          <w:rFonts w:cs="Arial"/>
        </w:rPr>
        <w:t>Au</w:t>
      </w:r>
      <w:r w:rsidRPr="00BB4775">
        <w:rPr>
          <w:rFonts w:cs="Arial"/>
        </w:rPr>
        <w:t> </w:t>
      </w:r>
      <w:r w:rsidRPr="002A7CCB">
        <w:rPr>
          <w:rFonts w:cs="Arial"/>
        </w:rPr>
        <w:t>6</w:t>
      </w:r>
      <w:r w:rsidRPr="0004727B">
        <w:rPr>
          <w:rFonts w:cs="Arial"/>
        </w:rPr>
        <w:t>%</w:t>
      </w:r>
      <w:r w:rsidRPr="00E07F1A">
        <w:rPr>
          <w:rFonts w:cs="Arial"/>
        </w:rPr>
        <w:t>; NZ 14%</w:t>
      </w:r>
      <w:r w:rsidRPr="003F3D20">
        <w:rPr>
          <w:rFonts w:cs="Arial"/>
        </w:rPr>
        <w:t>)</w:t>
      </w:r>
      <w:r w:rsidRPr="00E87BDE">
        <w:rPr>
          <w:rFonts w:cs="Arial"/>
        </w:rPr>
        <w:t xml:space="preserve"> is the major contributing food group</w:t>
      </w:r>
      <w:r w:rsidRPr="009D6A34">
        <w:rPr>
          <w:rFonts w:cs="Arial"/>
        </w:rPr>
        <w:t xml:space="preserve"> to L-carniti</w:t>
      </w:r>
      <w:r w:rsidRPr="00BB4775">
        <w:rPr>
          <w:rFonts w:cs="Arial"/>
        </w:rPr>
        <w:t>ne dietary intake</w:t>
      </w:r>
      <w:r w:rsidRPr="002A7CCB">
        <w:rPr>
          <w:rFonts w:cs="Arial"/>
        </w:rPr>
        <w:t>s</w:t>
      </w:r>
      <w:r w:rsidRPr="0004727B">
        <w:rPr>
          <w:rFonts w:cs="Arial"/>
        </w:rPr>
        <w:t xml:space="preserve"> for Australian sports food/ beverage consumers aged 2 years and above.</w:t>
      </w:r>
    </w:p>
    <w:p w14:paraId="3523D12F" w14:textId="77777777" w:rsidR="00785714" w:rsidRPr="00E07F1A" w:rsidRDefault="00785714" w:rsidP="00785714">
      <w:pPr>
        <w:rPr>
          <w:rFonts w:cs="Arial"/>
        </w:rPr>
      </w:pPr>
    </w:p>
    <w:p w14:paraId="3A1CCD58" w14:textId="77777777" w:rsidR="00785714" w:rsidRPr="003F3D20" w:rsidRDefault="00785714" w:rsidP="00785714">
      <w:pPr>
        <w:rPr>
          <w:rFonts w:cs="Arial"/>
        </w:rPr>
      </w:pPr>
      <w:r w:rsidRPr="003F3D20">
        <w:rPr>
          <w:rFonts w:cs="Arial"/>
        </w:rPr>
        <w:t xml:space="preserve">Within the </w:t>
      </w:r>
      <w:r w:rsidRPr="00E87BDE">
        <w:rPr>
          <w:rFonts w:cs="Arial"/>
          <w:i/>
        </w:rPr>
        <w:t xml:space="preserve">Meat &amp; meat products </w:t>
      </w:r>
      <w:r w:rsidRPr="00E87BDE">
        <w:rPr>
          <w:rFonts w:cs="Arial"/>
        </w:rPr>
        <w:t>food category, Red meat excludin</w:t>
      </w:r>
      <w:r w:rsidRPr="009D6A34">
        <w:rPr>
          <w:rFonts w:cs="Arial"/>
        </w:rPr>
        <w:t xml:space="preserve">g game </w:t>
      </w:r>
      <w:r w:rsidRPr="00BB4775">
        <w:rPr>
          <w:rFonts w:cs="Arial"/>
        </w:rPr>
        <w:t>(Au </w:t>
      </w:r>
      <w:r w:rsidRPr="00E07F1A">
        <w:rPr>
          <w:rFonts w:cs="Arial"/>
        </w:rPr>
        <w:t>31</w:t>
      </w:r>
      <w:r w:rsidRPr="00E87BDE">
        <w:rPr>
          <w:rFonts w:cs="Arial"/>
        </w:rPr>
        <w:t>%; NZ </w:t>
      </w:r>
      <w:r w:rsidRPr="00E07F1A">
        <w:rPr>
          <w:rFonts w:cs="Arial"/>
        </w:rPr>
        <w:t>34</w:t>
      </w:r>
      <w:r w:rsidRPr="00E87BDE">
        <w:rPr>
          <w:rFonts w:cs="Arial"/>
        </w:rPr>
        <w:t>%)</w:t>
      </w:r>
      <w:r w:rsidRPr="00E07F1A">
        <w:rPr>
          <w:rFonts w:cs="Arial"/>
        </w:rPr>
        <w:t xml:space="preserve"> is</w:t>
      </w:r>
      <w:r w:rsidRPr="00E134BA">
        <w:rPr>
          <w:rFonts w:cs="Arial"/>
        </w:rPr>
        <w:t xml:space="preserve"> the major contributing food group to L-carnitine dietary intakes for</w:t>
      </w:r>
      <w:r w:rsidRPr="00EF6549">
        <w:rPr>
          <w:rFonts w:cs="Arial"/>
        </w:rPr>
        <w:t xml:space="preserve"> sports food/ </w:t>
      </w:r>
      <w:r w:rsidRPr="00EF6549">
        <w:rPr>
          <w:rFonts w:cs="Arial"/>
        </w:rPr>
        <w:lastRenderedPageBreak/>
        <w:t>beverage consumers</w:t>
      </w:r>
      <w:r w:rsidRPr="00E07F1A">
        <w:rPr>
          <w:rFonts w:cs="Arial"/>
        </w:rPr>
        <w:t xml:space="preserve"> for both countries</w:t>
      </w:r>
      <w:r w:rsidRPr="003F3D20">
        <w:rPr>
          <w:rFonts w:cs="Arial"/>
        </w:rPr>
        <w:t>.</w:t>
      </w:r>
      <w:r w:rsidRPr="00E07F1A">
        <w:rPr>
          <w:rFonts w:cs="Arial"/>
        </w:rPr>
        <w:t xml:space="preserve"> Processed comminuted meat, poultry and game products except sausages and sausage meat is a major contributor for New Zealand (NZ 5%)</w:t>
      </w:r>
      <w:r>
        <w:rPr>
          <w:rFonts w:cs="Arial"/>
        </w:rPr>
        <w:t>.</w:t>
      </w:r>
    </w:p>
    <w:p w14:paraId="7DFE7791" w14:textId="77777777" w:rsidR="00785714" w:rsidRPr="00E07F1A" w:rsidRDefault="00785714" w:rsidP="00785714">
      <w:pPr>
        <w:rPr>
          <w:rFonts w:cs="Arial"/>
        </w:rPr>
      </w:pPr>
    </w:p>
    <w:p w14:paraId="263DE446" w14:textId="77777777" w:rsidR="00785714" w:rsidRPr="00BB4775" w:rsidRDefault="00785714" w:rsidP="00785714">
      <w:pPr>
        <w:rPr>
          <w:rFonts w:cs="Arial"/>
        </w:rPr>
      </w:pPr>
      <w:r w:rsidRPr="00E87BDE">
        <w:rPr>
          <w:rFonts w:cs="Arial"/>
        </w:rPr>
        <w:t>Within the</w:t>
      </w:r>
      <w:r w:rsidRPr="00E87BDE">
        <w:rPr>
          <w:rFonts w:cs="Arial"/>
          <w:i/>
        </w:rPr>
        <w:t xml:space="preserve"> </w:t>
      </w:r>
      <w:r w:rsidRPr="009D6A34">
        <w:rPr>
          <w:rFonts w:cs="Arial"/>
          <w:i/>
        </w:rPr>
        <w:t>Foods intended for p</w:t>
      </w:r>
      <w:r w:rsidRPr="00BB4775">
        <w:rPr>
          <w:rFonts w:cs="Arial"/>
          <w:i/>
        </w:rPr>
        <w:t>articular dietary uses</w:t>
      </w:r>
      <w:r w:rsidRPr="002A7CCB">
        <w:rPr>
          <w:rFonts w:cs="Arial"/>
        </w:rPr>
        <w:t xml:space="preserve"> </w:t>
      </w:r>
      <w:r w:rsidRPr="0004727B">
        <w:rPr>
          <w:rFonts w:cs="Arial"/>
        </w:rPr>
        <w:t xml:space="preserve">category, </w:t>
      </w:r>
      <w:r w:rsidRPr="00E134BA">
        <w:rPr>
          <w:rFonts w:cs="Arial"/>
        </w:rPr>
        <w:t xml:space="preserve">Liquid formulated supplementary sports foods (Au </w:t>
      </w:r>
      <w:r w:rsidRPr="00E07F1A">
        <w:rPr>
          <w:rFonts w:cs="Arial"/>
        </w:rPr>
        <w:t>3</w:t>
      </w:r>
      <w:r w:rsidRPr="003F3D20">
        <w:rPr>
          <w:rFonts w:cs="Arial"/>
        </w:rPr>
        <w:t xml:space="preserve">7%; NZ </w:t>
      </w:r>
      <w:r w:rsidRPr="00E07F1A">
        <w:rPr>
          <w:rFonts w:cs="Arial"/>
        </w:rPr>
        <w:t>21</w:t>
      </w:r>
      <w:r w:rsidRPr="003F3D20">
        <w:rPr>
          <w:rFonts w:cs="Arial"/>
        </w:rPr>
        <w:t>%)</w:t>
      </w:r>
      <w:r w:rsidRPr="00E07F1A">
        <w:rPr>
          <w:rFonts w:cs="Arial"/>
        </w:rPr>
        <w:t xml:space="preserve"> is a major contributing food group for both Australian and New Zealand sports food/beverage consumers. For Australian sports food/beverage consumers, </w:t>
      </w:r>
      <w:r w:rsidRPr="003F3D20">
        <w:rPr>
          <w:rFonts w:cs="Arial"/>
        </w:rPr>
        <w:t>Sol</w:t>
      </w:r>
      <w:r w:rsidRPr="00E87BDE">
        <w:rPr>
          <w:rFonts w:cs="Arial"/>
        </w:rPr>
        <w:t>id formulated supplement</w:t>
      </w:r>
      <w:r w:rsidRPr="009D6A34">
        <w:rPr>
          <w:rFonts w:cs="Arial"/>
        </w:rPr>
        <w:t>ary sports foods (</w:t>
      </w:r>
      <w:r w:rsidRPr="00E07F1A">
        <w:rPr>
          <w:rFonts w:cs="Arial"/>
        </w:rPr>
        <w:t>Au 7%)</w:t>
      </w:r>
      <w:r w:rsidRPr="009D6A34">
        <w:rPr>
          <w:rFonts w:cs="Arial"/>
        </w:rPr>
        <w:t xml:space="preserve"> </w:t>
      </w:r>
      <w:r w:rsidRPr="00E07F1A">
        <w:rPr>
          <w:rFonts w:cs="Arial"/>
        </w:rPr>
        <w:t>is a</w:t>
      </w:r>
      <w:r w:rsidRPr="00E87BDE">
        <w:rPr>
          <w:rFonts w:cs="Arial"/>
        </w:rPr>
        <w:t xml:space="preserve"> major contributing food group</w:t>
      </w:r>
      <w:r w:rsidRPr="00BB4775">
        <w:rPr>
          <w:rFonts w:cs="Arial"/>
        </w:rPr>
        <w:t>.</w:t>
      </w:r>
    </w:p>
    <w:p w14:paraId="2F6B08CE" w14:textId="77777777" w:rsidR="00785714" w:rsidRPr="002A7CCB" w:rsidRDefault="00785714" w:rsidP="00785714">
      <w:pPr>
        <w:rPr>
          <w:rFonts w:cs="Arial"/>
        </w:rPr>
      </w:pPr>
    </w:p>
    <w:p w14:paraId="383D833B" w14:textId="130ECD47" w:rsidR="00785714" w:rsidRPr="00EB0D98" w:rsidRDefault="00785714" w:rsidP="00785714">
      <w:r w:rsidRPr="00EB0D98">
        <w:t xml:space="preserve">See </w:t>
      </w:r>
      <w:r w:rsidRPr="00EB0D98">
        <w:fldChar w:fldCharType="begin"/>
      </w:r>
      <w:r w:rsidRPr="00EB0D98">
        <w:instrText xml:space="preserve"> REF _Ref512528881 \h </w:instrText>
      </w:r>
      <w:r w:rsidRPr="00E07F1A">
        <w:instrText xml:space="preserve"> \* MERGEFORMAT </w:instrText>
      </w:r>
      <w:r w:rsidRPr="00EB0D98">
        <w:fldChar w:fldCharType="separate"/>
      </w:r>
      <w:r w:rsidR="00872715" w:rsidRPr="00B83846">
        <w:t>Table A</w:t>
      </w:r>
      <w:r w:rsidR="00872715">
        <w:t>3.3</w:t>
      </w:r>
      <w:r w:rsidRPr="00EB0D98">
        <w:fldChar w:fldCharType="end"/>
      </w:r>
      <w:r w:rsidRPr="00EB0D98">
        <w:t xml:space="preserve"> and </w:t>
      </w:r>
      <w:r w:rsidRPr="00EB0D98">
        <w:fldChar w:fldCharType="begin"/>
      </w:r>
      <w:r w:rsidRPr="00EB0D98">
        <w:instrText xml:space="preserve"> REF _Ref512528943 \h </w:instrText>
      </w:r>
      <w:r w:rsidRPr="00E07F1A">
        <w:instrText xml:space="preserve"> \* MERGEFORMAT </w:instrText>
      </w:r>
      <w:r w:rsidRPr="00EB0D98">
        <w:fldChar w:fldCharType="separate"/>
      </w:r>
      <w:r w:rsidR="00872715" w:rsidRPr="00B83846">
        <w:t>Table A</w:t>
      </w:r>
      <w:r w:rsidR="00872715">
        <w:t>3.7</w:t>
      </w:r>
      <w:r w:rsidRPr="00EB0D98">
        <w:fldChar w:fldCharType="end"/>
      </w:r>
      <w:r w:rsidRPr="00EB0D98">
        <w:t xml:space="preserve"> in</w:t>
      </w:r>
      <w:r w:rsidR="00161F83">
        <w:t xml:space="preserve"> Appendix 3</w:t>
      </w:r>
      <w:r w:rsidRPr="00EB0D98">
        <w:t xml:space="preserve"> for further details.</w:t>
      </w:r>
    </w:p>
    <w:p w14:paraId="2AE03159" w14:textId="77777777" w:rsidR="00785714" w:rsidRPr="00005E43" w:rsidRDefault="00785714" w:rsidP="00785714">
      <w:pPr>
        <w:pStyle w:val="Heading5"/>
      </w:pPr>
      <w:r w:rsidRPr="00005E43">
        <w:t>Sports food increase scenario</w:t>
      </w:r>
    </w:p>
    <w:p w14:paraId="75D1DEAC" w14:textId="77777777" w:rsidR="00785714" w:rsidRPr="00E07F1A" w:rsidRDefault="00785714" w:rsidP="00785714">
      <w:pPr>
        <w:rPr>
          <w:rFonts w:cs="Arial"/>
        </w:rPr>
      </w:pPr>
      <w:r w:rsidRPr="003F3D20">
        <w:rPr>
          <w:rFonts w:cs="Arial"/>
        </w:rPr>
        <w:t xml:space="preserve">Under the </w:t>
      </w:r>
      <w:r w:rsidRPr="00E87BDE">
        <w:rPr>
          <w:rFonts w:cs="Arial"/>
          <w:i/>
        </w:rPr>
        <w:t>Sports food increase</w:t>
      </w:r>
      <w:r w:rsidRPr="00E87BDE">
        <w:rPr>
          <w:rFonts w:cs="Arial"/>
        </w:rPr>
        <w:t xml:space="preserve"> scenario, </w:t>
      </w:r>
      <w:r w:rsidRPr="009D6A34">
        <w:rPr>
          <w:rFonts w:cs="Arial"/>
          <w:i/>
        </w:rPr>
        <w:t>Foods intended for particular dietary uses</w:t>
      </w:r>
      <w:r w:rsidRPr="00BB4775">
        <w:rPr>
          <w:rFonts w:cs="Arial"/>
        </w:rPr>
        <w:t xml:space="preserve"> (Au 8</w:t>
      </w:r>
      <w:r w:rsidRPr="00E07F1A">
        <w:rPr>
          <w:rFonts w:cs="Arial"/>
        </w:rPr>
        <w:t>0</w:t>
      </w:r>
      <w:r w:rsidRPr="003F3D20">
        <w:rPr>
          <w:rFonts w:cs="Arial"/>
        </w:rPr>
        <w:t>%; NZ </w:t>
      </w:r>
      <w:r w:rsidRPr="00E07F1A">
        <w:rPr>
          <w:rFonts w:cs="Arial"/>
        </w:rPr>
        <w:t>62</w:t>
      </w:r>
      <w:r w:rsidRPr="003F3D20">
        <w:rPr>
          <w:rFonts w:cs="Arial"/>
        </w:rPr>
        <w:t>%),</w:t>
      </w:r>
      <w:r w:rsidRPr="00E87BDE">
        <w:rPr>
          <w:rFonts w:cs="Arial"/>
        </w:rPr>
        <w:t xml:space="preserve"> and </w:t>
      </w:r>
      <w:r w:rsidRPr="009D6A34">
        <w:rPr>
          <w:rFonts w:cs="Arial"/>
          <w:i/>
        </w:rPr>
        <w:t xml:space="preserve">Meat and meat products (including poultry and game) </w:t>
      </w:r>
      <w:r w:rsidRPr="00BB4775">
        <w:rPr>
          <w:rFonts w:cs="Arial"/>
        </w:rPr>
        <w:t>(Au </w:t>
      </w:r>
      <w:r w:rsidRPr="002A7CCB">
        <w:rPr>
          <w:rFonts w:cs="Arial"/>
        </w:rPr>
        <w:t>1</w:t>
      </w:r>
      <w:r w:rsidRPr="00E07F1A">
        <w:rPr>
          <w:rFonts w:cs="Arial"/>
        </w:rPr>
        <w:t>6</w:t>
      </w:r>
      <w:r w:rsidRPr="003F3D20">
        <w:rPr>
          <w:rFonts w:cs="Arial"/>
        </w:rPr>
        <w:t>%; NZ </w:t>
      </w:r>
      <w:r w:rsidRPr="00E07F1A">
        <w:rPr>
          <w:rFonts w:cs="Arial"/>
        </w:rPr>
        <w:t>26</w:t>
      </w:r>
      <w:r w:rsidRPr="00E87BDE">
        <w:rPr>
          <w:rFonts w:cs="Arial"/>
        </w:rPr>
        <w:t>%) are the major contributing food categories to L-carnitine dietary intakes for Australian aged 2 years and above and New Zealanders aged 15 years and above who consume sports foods/ beverages.</w:t>
      </w:r>
      <w:r>
        <w:rPr>
          <w:rFonts w:cs="Arial"/>
        </w:rPr>
        <w:t xml:space="preserve"> For New Zealand sports food/beverage consumers, </w:t>
      </w:r>
      <w:r>
        <w:rPr>
          <w:rFonts w:cs="Arial"/>
          <w:i/>
        </w:rPr>
        <w:t>Dairy products</w:t>
      </w:r>
      <w:r>
        <w:rPr>
          <w:rFonts w:cs="Arial"/>
        </w:rPr>
        <w:t xml:space="preserve"> (NZ 8%) was also a major contributing food category.</w:t>
      </w:r>
    </w:p>
    <w:p w14:paraId="0F58674C" w14:textId="77777777" w:rsidR="00785714" w:rsidRPr="00E07F1A" w:rsidRDefault="00785714" w:rsidP="00785714">
      <w:pPr>
        <w:rPr>
          <w:rFonts w:cs="Arial"/>
        </w:rPr>
      </w:pPr>
    </w:p>
    <w:p w14:paraId="4D7F76FF" w14:textId="77777777" w:rsidR="00785714" w:rsidRPr="00E87BDE" w:rsidRDefault="00785714" w:rsidP="00785714">
      <w:pPr>
        <w:rPr>
          <w:rFonts w:cs="Arial"/>
        </w:rPr>
      </w:pPr>
      <w:r w:rsidRPr="003F3D20">
        <w:rPr>
          <w:rFonts w:cs="Arial"/>
        </w:rPr>
        <w:t xml:space="preserve">Within the </w:t>
      </w:r>
      <w:r w:rsidRPr="00E87BDE">
        <w:rPr>
          <w:rFonts w:cs="Arial"/>
          <w:i/>
        </w:rPr>
        <w:t xml:space="preserve">Meat &amp; meat products </w:t>
      </w:r>
      <w:r w:rsidRPr="00E87BDE">
        <w:rPr>
          <w:rFonts w:cs="Arial"/>
        </w:rPr>
        <w:t>food category, Red meat excluding game (Au </w:t>
      </w:r>
      <w:r w:rsidRPr="00E07F1A">
        <w:rPr>
          <w:rFonts w:cs="Arial"/>
        </w:rPr>
        <w:t>11</w:t>
      </w:r>
      <w:r w:rsidRPr="003F3D20">
        <w:rPr>
          <w:rFonts w:cs="Arial"/>
        </w:rPr>
        <w:t>%</w:t>
      </w:r>
      <w:r w:rsidRPr="00E07F1A">
        <w:rPr>
          <w:rFonts w:cs="Arial"/>
        </w:rPr>
        <w:t>; NZ 17%</w:t>
      </w:r>
      <w:r w:rsidRPr="003F3D20">
        <w:rPr>
          <w:rFonts w:cs="Arial"/>
        </w:rPr>
        <w:t xml:space="preserve">), </w:t>
      </w:r>
      <w:r w:rsidRPr="00E87BDE">
        <w:rPr>
          <w:rFonts w:cs="Arial"/>
        </w:rPr>
        <w:t xml:space="preserve">is the major contributing food group to L-carnitine dietary intakes for </w:t>
      </w:r>
      <w:r w:rsidRPr="009D6A34">
        <w:rPr>
          <w:rFonts w:cs="Arial"/>
        </w:rPr>
        <w:t xml:space="preserve">Australian </w:t>
      </w:r>
      <w:r w:rsidRPr="00E07F1A">
        <w:rPr>
          <w:rFonts w:cs="Arial"/>
        </w:rPr>
        <w:t xml:space="preserve">and New Zealand </w:t>
      </w:r>
      <w:r w:rsidRPr="003F3D20">
        <w:rPr>
          <w:rFonts w:cs="Arial"/>
        </w:rPr>
        <w:t>sports food/ beverage consumers</w:t>
      </w:r>
      <w:r w:rsidRPr="00E87BDE">
        <w:rPr>
          <w:rFonts w:cs="Arial"/>
        </w:rPr>
        <w:t>.</w:t>
      </w:r>
    </w:p>
    <w:p w14:paraId="2E04EACE" w14:textId="77777777" w:rsidR="00785714" w:rsidRPr="009D6A34" w:rsidRDefault="00785714" w:rsidP="00785714">
      <w:pPr>
        <w:rPr>
          <w:rFonts w:cs="Arial"/>
        </w:rPr>
      </w:pPr>
    </w:p>
    <w:p w14:paraId="0DB0B655" w14:textId="77777777" w:rsidR="00785714" w:rsidRPr="003F3D20" w:rsidRDefault="00785714" w:rsidP="00785714">
      <w:pPr>
        <w:rPr>
          <w:rFonts w:cs="Arial"/>
        </w:rPr>
      </w:pPr>
      <w:r w:rsidRPr="00BB4775">
        <w:rPr>
          <w:rFonts w:cs="Arial"/>
        </w:rPr>
        <w:t>Within the</w:t>
      </w:r>
      <w:r w:rsidRPr="002A7CCB">
        <w:rPr>
          <w:rFonts w:cs="Arial"/>
          <w:i/>
        </w:rPr>
        <w:t xml:space="preserve"> Foods intended for particular dietary uses</w:t>
      </w:r>
      <w:r w:rsidRPr="0004727B">
        <w:rPr>
          <w:rFonts w:cs="Arial"/>
        </w:rPr>
        <w:t xml:space="preserve"> category, Liquid formulated supplementary sports foods </w:t>
      </w:r>
      <w:r w:rsidRPr="00E134BA">
        <w:rPr>
          <w:rFonts w:cs="Arial"/>
        </w:rPr>
        <w:t xml:space="preserve">(Au </w:t>
      </w:r>
      <w:r w:rsidRPr="00E07F1A">
        <w:rPr>
          <w:rFonts w:cs="Arial"/>
        </w:rPr>
        <w:t>6</w:t>
      </w:r>
      <w:r w:rsidRPr="003F3D20">
        <w:rPr>
          <w:rFonts w:cs="Arial"/>
        </w:rPr>
        <w:t>8</w:t>
      </w:r>
      <w:r w:rsidRPr="00E87BDE">
        <w:rPr>
          <w:rFonts w:cs="Arial"/>
        </w:rPr>
        <w:t>%; NZ</w:t>
      </w:r>
      <w:r w:rsidRPr="009D6A34">
        <w:rPr>
          <w:rFonts w:cs="Arial"/>
        </w:rPr>
        <w:t xml:space="preserve"> </w:t>
      </w:r>
      <w:r w:rsidRPr="00E07F1A">
        <w:rPr>
          <w:rFonts w:cs="Arial"/>
        </w:rPr>
        <w:t>53</w:t>
      </w:r>
      <w:r w:rsidRPr="003F3D20">
        <w:rPr>
          <w:rFonts w:cs="Arial"/>
        </w:rPr>
        <w:t xml:space="preserve">%) </w:t>
      </w:r>
      <w:r w:rsidRPr="00E87BDE">
        <w:rPr>
          <w:rFonts w:cs="Arial"/>
        </w:rPr>
        <w:t>and Solid formulated supplementary sports foods (</w:t>
      </w:r>
      <w:r w:rsidRPr="00E07F1A">
        <w:rPr>
          <w:rFonts w:cs="Arial"/>
        </w:rPr>
        <w:t xml:space="preserve">Au 12%; </w:t>
      </w:r>
      <w:r w:rsidRPr="003F3D20">
        <w:rPr>
          <w:rFonts w:cs="Arial"/>
        </w:rPr>
        <w:t>NZ </w:t>
      </w:r>
      <w:r w:rsidRPr="00E07F1A">
        <w:rPr>
          <w:rFonts w:cs="Arial"/>
        </w:rPr>
        <w:t>9</w:t>
      </w:r>
      <w:r w:rsidRPr="003F3D20">
        <w:rPr>
          <w:rFonts w:cs="Arial"/>
        </w:rPr>
        <w:t>%) are the major contributing food groups.</w:t>
      </w:r>
    </w:p>
    <w:p w14:paraId="4F4F9805" w14:textId="77777777" w:rsidR="00785714" w:rsidRDefault="00785714" w:rsidP="00785714">
      <w:pPr>
        <w:rPr>
          <w:rFonts w:cs="Arial"/>
          <w:highlight w:val="yellow"/>
        </w:rPr>
      </w:pPr>
    </w:p>
    <w:p w14:paraId="3B87DA0C" w14:textId="77777777" w:rsidR="00785714" w:rsidRPr="00AB0483" w:rsidRDefault="00785714" w:rsidP="00785714">
      <w:pPr>
        <w:rPr>
          <w:rFonts w:cs="Arial"/>
        </w:rPr>
      </w:pPr>
      <w:r w:rsidRPr="00AB0483">
        <w:rPr>
          <w:rFonts w:cs="Arial"/>
        </w:rPr>
        <w:t xml:space="preserve">Within </w:t>
      </w:r>
      <w:r w:rsidRPr="003F3D20">
        <w:rPr>
          <w:rFonts w:cs="Arial"/>
        </w:rPr>
        <w:t>the</w:t>
      </w:r>
      <w:r w:rsidRPr="003F3D20">
        <w:rPr>
          <w:rFonts w:cs="Arial"/>
          <w:i/>
        </w:rPr>
        <w:t xml:space="preserve"> </w:t>
      </w:r>
      <w:r w:rsidRPr="00E07F1A">
        <w:rPr>
          <w:rFonts w:cs="Arial"/>
          <w:i/>
        </w:rPr>
        <w:t xml:space="preserve">Dairy products (excluding butter and butter fats) </w:t>
      </w:r>
      <w:r w:rsidRPr="003F3D20">
        <w:rPr>
          <w:rFonts w:cs="Arial"/>
        </w:rPr>
        <w:t xml:space="preserve">category, Plain </w:t>
      </w:r>
      <w:r w:rsidRPr="00E87BDE">
        <w:rPr>
          <w:rFonts w:cs="Arial"/>
        </w:rPr>
        <w:t>milk (</w:t>
      </w:r>
      <w:r w:rsidRPr="009D6A34">
        <w:rPr>
          <w:rFonts w:cs="Arial"/>
        </w:rPr>
        <w:t>A</w:t>
      </w:r>
      <w:r w:rsidRPr="00BB4775">
        <w:rPr>
          <w:rFonts w:cs="Arial"/>
        </w:rPr>
        <w:t>u </w:t>
      </w:r>
      <w:r w:rsidRPr="002A7CCB">
        <w:rPr>
          <w:rFonts w:cs="Arial"/>
        </w:rPr>
        <w:t>2</w:t>
      </w:r>
      <w:r w:rsidRPr="0004727B">
        <w:rPr>
          <w:rFonts w:cs="Arial"/>
        </w:rPr>
        <w:t xml:space="preserve">%; </w:t>
      </w:r>
      <w:r w:rsidRPr="00E134BA">
        <w:rPr>
          <w:rFonts w:cs="Arial"/>
        </w:rPr>
        <w:t>NZ </w:t>
      </w:r>
      <w:r w:rsidRPr="00EF6549">
        <w:rPr>
          <w:rFonts w:cs="Arial"/>
        </w:rPr>
        <w:t>7%) is</w:t>
      </w:r>
      <w:r>
        <w:rPr>
          <w:rFonts w:cs="Arial"/>
        </w:rPr>
        <w:t xml:space="preserve"> a major contributing food group for New Zealand sports food/beverage consumers</w:t>
      </w:r>
      <w:r w:rsidRPr="00AB0483">
        <w:rPr>
          <w:rFonts w:cs="Arial"/>
        </w:rPr>
        <w:t>.</w:t>
      </w:r>
    </w:p>
    <w:p w14:paraId="65C4DD37" w14:textId="77777777" w:rsidR="00785714" w:rsidRPr="00E07F1A" w:rsidRDefault="00785714" w:rsidP="00785714">
      <w:pPr>
        <w:rPr>
          <w:rFonts w:cs="Arial"/>
        </w:rPr>
      </w:pPr>
    </w:p>
    <w:p w14:paraId="4C678589" w14:textId="41B27888" w:rsidR="00785714" w:rsidRPr="00EB0D98" w:rsidRDefault="00785714" w:rsidP="00785714">
      <w:r w:rsidRPr="00EB0D98">
        <w:t xml:space="preserve">See </w:t>
      </w:r>
      <w:r w:rsidRPr="00EB0D98">
        <w:fldChar w:fldCharType="begin"/>
      </w:r>
      <w:r w:rsidRPr="00EB0D98">
        <w:instrText xml:space="preserve"> REF _Ref512528881 \h </w:instrText>
      </w:r>
      <w:r w:rsidRPr="00E07F1A">
        <w:instrText xml:space="preserve"> \* MERGEFORMAT </w:instrText>
      </w:r>
      <w:r w:rsidRPr="00EB0D98">
        <w:fldChar w:fldCharType="separate"/>
      </w:r>
      <w:r w:rsidR="00872715" w:rsidRPr="00B83846">
        <w:t>Table A</w:t>
      </w:r>
      <w:r w:rsidR="00872715">
        <w:t>3.3</w:t>
      </w:r>
      <w:r w:rsidRPr="00EB0D98">
        <w:fldChar w:fldCharType="end"/>
      </w:r>
      <w:r w:rsidRPr="00EB0D98">
        <w:t xml:space="preserve"> and </w:t>
      </w:r>
      <w:r w:rsidRPr="00EB0D98">
        <w:fldChar w:fldCharType="begin"/>
      </w:r>
      <w:r w:rsidRPr="00EB0D98">
        <w:instrText xml:space="preserve"> REF _Ref512528943 \h </w:instrText>
      </w:r>
      <w:r w:rsidRPr="00E07F1A">
        <w:instrText xml:space="preserve"> \* MERGEFORMAT </w:instrText>
      </w:r>
      <w:r w:rsidRPr="00EB0D98">
        <w:fldChar w:fldCharType="separate"/>
      </w:r>
      <w:r w:rsidR="00872715" w:rsidRPr="00B83846">
        <w:t>Table A</w:t>
      </w:r>
      <w:r w:rsidR="00872715">
        <w:t>3.7</w:t>
      </w:r>
      <w:r w:rsidRPr="00EB0D98">
        <w:fldChar w:fldCharType="end"/>
      </w:r>
      <w:r w:rsidRPr="00EB0D98">
        <w:t xml:space="preserve"> in</w:t>
      </w:r>
      <w:r w:rsidR="00161F83">
        <w:t xml:space="preserve"> Appendix 3</w:t>
      </w:r>
      <w:r w:rsidRPr="00EB0D98">
        <w:t xml:space="preserve"> for further details.</w:t>
      </w:r>
    </w:p>
    <w:p w14:paraId="3A7AAA98" w14:textId="77777777" w:rsidR="00785714" w:rsidRPr="00005E43" w:rsidRDefault="00785714" w:rsidP="00785714">
      <w:pPr>
        <w:pStyle w:val="Heading5"/>
      </w:pPr>
      <w:r w:rsidRPr="00005E43">
        <w:t>Consumer behaviour scenario</w:t>
      </w:r>
    </w:p>
    <w:p w14:paraId="0EEF4A2F" w14:textId="77777777" w:rsidR="00785714" w:rsidRPr="003F3D20" w:rsidRDefault="00785714" w:rsidP="00785714">
      <w:pPr>
        <w:rPr>
          <w:rFonts w:cs="Arial"/>
        </w:rPr>
      </w:pPr>
      <w:r w:rsidRPr="003F3D20">
        <w:rPr>
          <w:rFonts w:cs="Arial"/>
        </w:rPr>
        <w:t xml:space="preserve">The food categories that contribute to L-carnitine dietary intakes change under the </w:t>
      </w:r>
      <w:r w:rsidRPr="00E87BDE">
        <w:rPr>
          <w:rFonts w:cs="Arial"/>
          <w:i/>
        </w:rPr>
        <w:t>Consumer behaviour</w:t>
      </w:r>
      <w:r w:rsidRPr="00E87BDE">
        <w:rPr>
          <w:rFonts w:cs="Arial"/>
        </w:rPr>
        <w:t xml:space="preserve"> scenario in comparison to the </w:t>
      </w:r>
      <w:r w:rsidRPr="009D6A34">
        <w:rPr>
          <w:rFonts w:cs="Arial"/>
          <w:i/>
        </w:rPr>
        <w:t>Baseline</w:t>
      </w:r>
      <w:r w:rsidRPr="00BB4775">
        <w:rPr>
          <w:rFonts w:cs="Arial"/>
        </w:rPr>
        <w:t xml:space="preserve">. </w:t>
      </w:r>
      <w:r w:rsidRPr="002A7CCB">
        <w:rPr>
          <w:rFonts w:cs="Arial"/>
          <w:i/>
        </w:rPr>
        <w:t>Foods intended for particular dietary</w:t>
      </w:r>
      <w:r w:rsidRPr="0004727B">
        <w:rPr>
          <w:rFonts w:cs="Arial"/>
          <w:i/>
        </w:rPr>
        <w:t xml:space="preserve"> uses</w:t>
      </w:r>
      <w:r w:rsidRPr="00E134BA">
        <w:rPr>
          <w:rFonts w:cs="Arial"/>
        </w:rPr>
        <w:t xml:space="preserve"> (Au 4</w:t>
      </w:r>
      <w:r w:rsidRPr="00E07F1A">
        <w:rPr>
          <w:rFonts w:cs="Arial"/>
        </w:rPr>
        <w:t>0</w:t>
      </w:r>
      <w:r w:rsidRPr="003F3D20">
        <w:rPr>
          <w:rFonts w:cs="Arial"/>
        </w:rPr>
        <w:t>%; NZ </w:t>
      </w:r>
      <w:r w:rsidRPr="00E87BDE">
        <w:rPr>
          <w:rFonts w:cs="Arial"/>
        </w:rPr>
        <w:t>2</w:t>
      </w:r>
      <w:r w:rsidRPr="00E07F1A">
        <w:rPr>
          <w:rFonts w:cs="Arial"/>
        </w:rPr>
        <w:t>0</w:t>
      </w:r>
      <w:r w:rsidRPr="003F3D20">
        <w:rPr>
          <w:rFonts w:cs="Arial"/>
        </w:rPr>
        <w:t xml:space="preserve">%), </w:t>
      </w:r>
      <w:r w:rsidRPr="003F3D20">
        <w:rPr>
          <w:rFonts w:cs="Arial"/>
          <w:i/>
        </w:rPr>
        <w:t>Non-alcoholic and alcoholic beverages</w:t>
      </w:r>
      <w:r w:rsidRPr="003F3D20">
        <w:rPr>
          <w:rFonts w:cs="Arial"/>
        </w:rPr>
        <w:t xml:space="preserve"> (</w:t>
      </w:r>
      <w:r w:rsidRPr="00E87BDE">
        <w:rPr>
          <w:rFonts w:cs="Arial"/>
        </w:rPr>
        <w:t>Au 2</w:t>
      </w:r>
      <w:r w:rsidRPr="00E07F1A">
        <w:rPr>
          <w:rFonts w:cs="Arial"/>
        </w:rPr>
        <w:t>4</w:t>
      </w:r>
      <w:r w:rsidRPr="003F3D20">
        <w:rPr>
          <w:rFonts w:cs="Arial"/>
        </w:rPr>
        <w:t>%; NZ</w:t>
      </w:r>
      <w:r w:rsidRPr="00E87BDE">
        <w:rPr>
          <w:rFonts w:cs="Arial"/>
        </w:rPr>
        <w:t> </w:t>
      </w:r>
      <w:r w:rsidRPr="00E07F1A">
        <w:rPr>
          <w:rFonts w:cs="Arial"/>
        </w:rPr>
        <w:t>22</w:t>
      </w:r>
      <w:r w:rsidRPr="003F3D20">
        <w:rPr>
          <w:rFonts w:cs="Arial"/>
        </w:rPr>
        <w:t>%)</w:t>
      </w:r>
      <w:r w:rsidRPr="00E87BDE">
        <w:rPr>
          <w:rFonts w:cs="Arial"/>
        </w:rPr>
        <w:t xml:space="preserve">, </w:t>
      </w:r>
      <w:r w:rsidRPr="00E87BDE">
        <w:rPr>
          <w:rFonts w:cs="Arial"/>
          <w:i/>
        </w:rPr>
        <w:t>Commercial mixed foods</w:t>
      </w:r>
      <w:r w:rsidRPr="009D6A34">
        <w:rPr>
          <w:rFonts w:cs="Arial"/>
        </w:rPr>
        <w:t xml:space="preserve"> (Au 12%; NZ </w:t>
      </w:r>
      <w:r w:rsidRPr="00E07F1A">
        <w:rPr>
          <w:rFonts w:cs="Arial"/>
        </w:rPr>
        <w:t>18</w:t>
      </w:r>
      <w:r w:rsidRPr="003F3D20">
        <w:rPr>
          <w:rFonts w:cs="Arial"/>
        </w:rPr>
        <w:t xml:space="preserve">%), </w:t>
      </w:r>
      <w:r w:rsidRPr="003F3D20">
        <w:rPr>
          <w:rFonts w:cs="Arial"/>
          <w:i/>
        </w:rPr>
        <w:t xml:space="preserve">Dairy products (excluding butter and butter fats) </w:t>
      </w:r>
      <w:r w:rsidRPr="00E87BDE">
        <w:rPr>
          <w:rFonts w:cs="Arial"/>
        </w:rPr>
        <w:t>(Au </w:t>
      </w:r>
      <w:r w:rsidRPr="00E07F1A">
        <w:rPr>
          <w:rFonts w:cs="Arial"/>
        </w:rPr>
        <w:t>10</w:t>
      </w:r>
      <w:r w:rsidRPr="003F3D20">
        <w:rPr>
          <w:rFonts w:cs="Arial"/>
        </w:rPr>
        <w:t>%; NZ 15</w:t>
      </w:r>
      <w:r w:rsidRPr="00E87BDE">
        <w:rPr>
          <w:rFonts w:cs="Arial"/>
        </w:rPr>
        <w:t xml:space="preserve">%), </w:t>
      </w:r>
      <w:r w:rsidRPr="009D6A34">
        <w:rPr>
          <w:rFonts w:cs="Arial"/>
        </w:rPr>
        <w:t>and</w:t>
      </w:r>
      <w:r w:rsidRPr="00BB4775">
        <w:rPr>
          <w:rFonts w:cs="Arial"/>
        </w:rPr>
        <w:t xml:space="preserve"> </w:t>
      </w:r>
      <w:r w:rsidRPr="002A7CCB">
        <w:rPr>
          <w:rFonts w:cs="Arial"/>
          <w:i/>
        </w:rPr>
        <w:t xml:space="preserve">Meat &amp; meat products (including poultry and game) </w:t>
      </w:r>
      <w:r w:rsidRPr="0004727B">
        <w:rPr>
          <w:rFonts w:cs="Arial"/>
        </w:rPr>
        <w:t>(</w:t>
      </w:r>
      <w:r w:rsidRPr="00E134BA">
        <w:rPr>
          <w:rFonts w:cs="Arial"/>
        </w:rPr>
        <w:t>Au </w:t>
      </w:r>
      <w:r w:rsidRPr="00E07F1A">
        <w:rPr>
          <w:rFonts w:cs="Arial"/>
        </w:rPr>
        <w:t>7</w:t>
      </w:r>
      <w:r w:rsidRPr="003F3D20">
        <w:rPr>
          <w:rFonts w:cs="Arial"/>
        </w:rPr>
        <w:t>%</w:t>
      </w:r>
      <w:r w:rsidRPr="00E07F1A">
        <w:rPr>
          <w:rFonts w:cs="Arial"/>
        </w:rPr>
        <w:t>; NZ 8%</w:t>
      </w:r>
      <w:r w:rsidRPr="003F3D20">
        <w:rPr>
          <w:rFonts w:cs="Arial"/>
        </w:rPr>
        <w:t>) are the major contributing food categories for sports food/ beverage consumers</w:t>
      </w:r>
      <w:r w:rsidRPr="00E87BDE">
        <w:rPr>
          <w:rFonts w:cs="Arial"/>
        </w:rPr>
        <w:t>.</w:t>
      </w:r>
      <w:r>
        <w:rPr>
          <w:rFonts w:cs="Arial"/>
        </w:rPr>
        <w:t xml:space="preserve"> For New Zealanders, </w:t>
      </w:r>
      <w:r>
        <w:rPr>
          <w:rFonts w:cs="Arial"/>
          <w:i/>
        </w:rPr>
        <w:t>Cereals and cereal products</w:t>
      </w:r>
      <w:r>
        <w:rPr>
          <w:rFonts w:cs="Arial"/>
        </w:rPr>
        <w:t xml:space="preserve"> (NZ 10%) and </w:t>
      </w:r>
      <w:r>
        <w:rPr>
          <w:rFonts w:cs="Arial"/>
          <w:i/>
        </w:rPr>
        <w:t xml:space="preserve">Confectionary </w:t>
      </w:r>
      <w:r>
        <w:rPr>
          <w:rFonts w:cs="Arial"/>
        </w:rPr>
        <w:t>(NZ 6%) are also major contributing food categories.</w:t>
      </w:r>
    </w:p>
    <w:p w14:paraId="0CFDB310" w14:textId="77777777" w:rsidR="00785714" w:rsidRPr="00E87BDE" w:rsidRDefault="00785714" w:rsidP="00785714">
      <w:pPr>
        <w:rPr>
          <w:rFonts w:cs="Arial"/>
        </w:rPr>
      </w:pPr>
    </w:p>
    <w:p w14:paraId="7BCB12F3" w14:textId="77777777" w:rsidR="00785714" w:rsidRPr="00E87BDE" w:rsidRDefault="00785714" w:rsidP="00785714">
      <w:pPr>
        <w:rPr>
          <w:rFonts w:cs="Arial"/>
        </w:rPr>
      </w:pPr>
      <w:r w:rsidRPr="00E87BDE">
        <w:rPr>
          <w:rFonts w:cs="Arial"/>
        </w:rPr>
        <w:t xml:space="preserve">Within the </w:t>
      </w:r>
      <w:r w:rsidRPr="009D6A34">
        <w:rPr>
          <w:rFonts w:cs="Arial"/>
          <w:i/>
        </w:rPr>
        <w:t>Foods intended for particular dietary uses</w:t>
      </w:r>
      <w:r w:rsidRPr="00BB4775">
        <w:rPr>
          <w:rFonts w:cs="Arial"/>
        </w:rPr>
        <w:t xml:space="preserve"> food category, </w:t>
      </w:r>
      <w:r w:rsidRPr="002A7CCB">
        <w:rPr>
          <w:rFonts w:cs="Arial"/>
        </w:rPr>
        <w:t>Liquid formulated supplementary sports foods (Au 3</w:t>
      </w:r>
      <w:r w:rsidRPr="00E07F1A">
        <w:rPr>
          <w:rFonts w:cs="Arial"/>
        </w:rPr>
        <w:t>2</w:t>
      </w:r>
      <w:r w:rsidRPr="003F3D20">
        <w:rPr>
          <w:rFonts w:cs="Arial"/>
        </w:rPr>
        <w:t>%; NZ </w:t>
      </w:r>
      <w:r w:rsidRPr="00E07F1A">
        <w:rPr>
          <w:rFonts w:cs="Arial"/>
        </w:rPr>
        <w:t>16</w:t>
      </w:r>
      <w:r w:rsidRPr="003F3D20">
        <w:rPr>
          <w:rFonts w:cs="Arial"/>
        </w:rPr>
        <w:t>%) and Solid formulated supplementary</w:t>
      </w:r>
      <w:r w:rsidRPr="00E87BDE">
        <w:rPr>
          <w:rFonts w:cs="Arial"/>
        </w:rPr>
        <w:t xml:space="preserve"> sports foods (</w:t>
      </w:r>
      <w:r>
        <w:rPr>
          <w:rFonts w:cs="Arial"/>
        </w:rPr>
        <w:t>Au 6%</w:t>
      </w:r>
      <w:r w:rsidRPr="003F3D20">
        <w:rPr>
          <w:rFonts w:cs="Arial"/>
        </w:rPr>
        <w:t>) are the major contributing food groups to L-carnitine dietary intakes</w:t>
      </w:r>
      <w:r w:rsidRPr="00E87BDE">
        <w:rPr>
          <w:rFonts w:cs="Arial"/>
        </w:rPr>
        <w:t>.</w:t>
      </w:r>
    </w:p>
    <w:p w14:paraId="38A2DF93" w14:textId="77777777" w:rsidR="00785714" w:rsidRPr="00E07F1A" w:rsidRDefault="00785714" w:rsidP="00785714">
      <w:pPr>
        <w:rPr>
          <w:rFonts w:cs="Arial"/>
        </w:rPr>
      </w:pPr>
    </w:p>
    <w:p w14:paraId="5B67E870" w14:textId="77777777" w:rsidR="00785714" w:rsidRPr="00E87BDE" w:rsidRDefault="00785714" w:rsidP="00785714">
      <w:pPr>
        <w:rPr>
          <w:rFonts w:cs="Arial"/>
        </w:rPr>
      </w:pPr>
      <w:r w:rsidRPr="003F3D20">
        <w:rPr>
          <w:rFonts w:cs="Arial"/>
        </w:rPr>
        <w:t xml:space="preserve">Within the </w:t>
      </w:r>
      <w:r w:rsidRPr="003F3D20">
        <w:rPr>
          <w:rFonts w:cs="Arial"/>
          <w:i/>
        </w:rPr>
        <w:t>Non-alcoholic and alcoholic beverages</w:t>
      </w:r>
      <w:r w:rsidRPr="003F3D20">
        <w:rPr>
          <w:rFonts w:cs="Arial"/>
        </w:rPr>
        <w:t xml:space="preserve"> food category, </w:t>
      </w:r>
      <w:r w:rsidRPr="00E87BDE">
        <w:rPr>
          <w:rFonts w:cs="Arial"/>
        </w:rPr>
        <w:t xml:space="preserve">Soft </w:t>
      </w:r>
      <w:r w:rsidRPr="009D6A34">
        <w:rPr>
          <w:rFonts w:cs="Arial"/>
        </w:rPr>
        <w:t xml:space="preserve">drinks (except </w:t>
      </w:r>
      <w:r w:rsidRPr="00BB4775">
        <w:rPr>
          <w:rFonts w:cs="Arial"/>
        </w:rPr>
        <w:t>i</w:t>
      </w:r>
      <w:r w:rsidRPr="002A7CCB">
        <w:rPr>
          <w:rFonts w:cs="Arial"/>
        </w:rPr>
        <w:t>ntensely sweetened</w:t>
      </w:r>
      <w:r w:rsidRPr="0004727B">
        <w:rPr>
          <w:rFonts w:cs="Arial"/>
        </w:rPr>
        <w:t>)</w:t>
      </w:r>
      <w:r w:rsidRPr="00E134BA">
        <w:rPr>
          <w:rFonts w:cs="Arial"/>
          <w:i/>
        </w:rPr>
        <w:t xml:space="preserve"> </w:t>
      </w:r>
      <w:r w:rsidRPr="00EF6549">
        <w:rPr>
          <w:rFonts w:cs="Arial"/>
        </w:rPr>
        <w:t>(Au 1</w:t>
      </w:r>
      <w:r>
        <w:rPr>
          <w:rFonts w:cs="Arial"/>
        </w:rPr>
        <w:t>5</w:t>
      </w:r>
      <w:r w:rsidRPr="00EF6549">
        <w:rPr>
          <w:rFonts w:cs="Arial"/>
        </w:rPr>
        <w:t>%; NZ 1</w:t>
      </w:r>
      <w:r w:rsidRPr="00E07F1A">
        <w:rPr>
          <w:rFonts w:cs="Arial"/>
        </w:rPr>
        <w:t>1</w:t>
      </w:r>
      <w:r w:rsidRPr="003F3D20">
        <w:rPr>
          <w:rFonts w:cs="Arial"/>
        </w:rPr>
        <w:t xml:space="preserve">%) and </w:t>
      </w:r>
      <w:r w:rsidRPr="00E07F1A">
        <w:rPr>
          <w:rFonts w:cs="Arial"/>
        </w:rPr>
        <w:t>Energy drink</w:t>
      </w:r>
      <w:r w:rsidRPr="003F3D20">
        <w:rPr>
          <w:rFonts w:cs="Arial"/>
        </w:rPr>
        <w:t>s (</w:t>
      </w:r>
      <w:r w:rsidRPr="00E07F1A">
        <w:rPr>
          <w:rFonts w:cs="Arial"/>
        </w:rPr>
        <w:t>NZ 6%</w:t>
      </w:r>
      <w:r w:rsidRPr="003F3D20">
        <w:rPr>
          <w:rFonts w:cs="Arial"/>
        </w:rPr>
        <w:t>) are the major contributing food groups</w:t>
      </w:r>
      <w:r w:rsidRPr="00E87BDE">
        <w:rPr>
          <w:rFonts w:cs="Arial"/>
        </w:rPr>
        <w:t>.</w:t>
      </w:r>
    </w:p>
    <w:p w14:paraId="3C4CE8F4" w14:textId="77777777" w:rsidR="00785714" w:rsidRPr="00E87BDE" w:rsidRDefault="00785714" w:rsidP="00785714">
      <w:pPr>
        <w:rPr>
          <w:rFonts w:cs="Arial"/>
        </w:rPr>
      </w:pPr>
    </w:p>
    <w:p w14:paraId="6D91B16E" w14:textId="77777777" w:rsidR="00785714" w:rsidRPr="003F3D20" w:rsidRDefault="00785714" w:rsidP="00785714">
      <w:pPr>
        <w:rPr>
          <w:rFonts w:cs="Arial"/>
        </w:rPr>
      </w:pPr>
      <w:r w:rsidRPr="009D6A34">
        <w:t xml:space="preserve">For </w:t>
      </w:r>
      <w:r w:rsidRPr="00E07F1A">
        <w:t xml:space="preserve">Australia and </w:t>
      </w:r>
      <w:r w:rsidRPr="003F3D20">
        <w:t xml:space="preserve">New Zealand, </w:t>
      </w:r>
      <w:r w:rsidRPr="00E07F1A">
        <w:t xml:space="preserve">Ready-to-eat muesli </w:t>
      </w:r>
      <w:r w:rsidRPr="003F3D20">
        <w:t xml:space="preserve">is a major contributing food group </w:t>
      </w:r>
      <w:r w:rsidRPr="003F3D20">
        <w:lastRenderedPageBreak/>
        <w:t>(</w:t>
      </w:r>
      <w:r w:rsidRPr="00E07F1A">
        <w:t xml:space="preserve">Au 8%; </w:t>
      </w:r>
      <w:r w:rsidRPr="003F3D20">
        <w:t>NZ </w:t>
      </w:r>
      <w:r w:rsidRPr="00E07F1A">
        <w:t>9</w:t>
      </w:r>
      <w:r w:rsidRPr="003F3D20">
        <w:t>%)</w:t>
      </w:r>
      <w:r w:rsidRPr="003F3D20">
        <w:rPr>
          <w:rFonts w:cs="Arial"/>
        </w:rPr>
        <w:t xml:space="preserve"> group within the </w:t>
      </w:r>
      <w:r w:rsidRPr="003F3D20">
        <w:rPr>
          <w:rFonts w:cs="Arial"/>
          <w:i/>
        </w:rPr>
        <w:t xml:space="preserve">Commercial mixed foods </w:t>
      </w:r>
      <w:r w:rsidRPr="00E87BDE">
        <w:rPr>
          <w:rFonts w:cs="Arial"/>
        </w:rPr>
        <w:t>food category</w:t>
      </w:r>
      <w:r w:rsidRPr="008C7998">
        <w:t xml:space="preserve">. </w:t>
      </w:r>
      <w:r w:rsidRPr="00E07F1A">
        <w:rPr>
          <w:rFonts w:cs="Arial"/>
        </w:rPr>
        <w:t>Cereal bars are also a major contributing food group for New Zealand sports food/beverage consumers (NZ 9%).</w:t>
      </w:r>
    </w:p>
    <w:p w14:paraId="0950AC2B" w14:textId="77777777" w:rsidR="00785714" w:rsidRPr="00E07F1A" w:rsidRDefault="00785714" w:rsidP="00785714">
      <w:pPr>
        <w:rPr>
          <w:rFonts w:cs="Arial"/>
        </w:rPr>
      </w:pPr>
    </w:p>
    <w:p w14:paraId="76E9B3FA" w14:textId="77777777" w:rsidR="00785714" w:rsidRDefault="00785714" w:rsidP="00785714">
      <w:pPr>
        <w:rPr>
          <w:rFonts w:cs="Arial"/>
        </w:rPr>
      </w:pPr>
      <w:r w:rsidRPr="00E07F1A">
        <w:rPr>
          <w:rFonts w:cs="Arial"/>
        </w:rPr>
        <w:t xml:space="preserve">Within the </w:t>
      </w:r>
      <w:r w:rsidRPr="00E07F1A">
        <w:rPr>
          <w:rFonts w:cs="Arial"/>
          <w:i/>
        </w:rPr>
        <w:t>Cereals &amp; cereal products</w:t>
      </w:r>
      <w:r w:rsidRPr="00E07F1A">
        <w:rPr>
          <w:rFonts w:cs="Arial"/>
        </w:rPr>
        <w:t xml:space="preserve"> food category, </w:t>
      </w:r>
      <w:r w:rsidRPr="003F3D20">
        <w:rPr>
          <w:rFonts w:cs="Arial"/>
        </w:rPr>
        <w:t xml:space="preserve">Plain oats (NZ 10%) is the major contributing food group for </w:t>
      </w:r>
      <w:r>
        <w:rPr>
          <w:rFonts w:cs="Arial"/>
        </w:rPr>
        <w:t>New Zealand</w:t>
      </w:r>
      <w:r w:rsidRPr="003F3D20">
        <w:rPr>
          <w:rFonts w:cs="Arial"/>
        </w:rPr>
        <w:t>.</w:t>
      </w:r>
    </w:p>
    <w:p w14:paraId="7EAA6D29" w14:textId="77777777" w:rsidR="00785714" w:rsidRPr="00E07F1A" w:rsidRDefault="00785714" w:rsidP="00785714">
      <w:pPr>
        <w:rPr>
          <w:rFonts w:cs="Arial"/>
        </w:rPr>
      </w:pPr>
    </w:p>
    <w:p w14:paraId="6B2ABB19" w14:textId="77777777" w:rsidR="00785714" w:rsidRPr="00E07F1A" w:rsidRDefault="00785714" w:rsidP="00785714">
      <w:pPr>
        <w:rPr>
          <w:rFonts w:cs="Arial"/>
        </w:rPr>
      </w:pPr>
      <w:r w:rsidRPr="003F3D20">
        <w:rPr>
          <w:rFonts w:cs="Arial"/>
        </w:rPr>
        <w:t xml:space="preserve">Within the </w:t>
      </w:r>
      <w:r w:rsidRPr="003F3D20">
        <w:rPr>
          <w:rFonts w:cs="Arial"/>
          <w:i/>
        </w:rPr>
        <w:t>Dairy products (excluding butter and butter fats)</w:t>
      </w:r>
      <w:r w:rsidRPr="003F3D20">
        <w:rPr>
          <w:rFonts w:cs="Arial"/>
        </w:rPr>
        <w:t xml:space="preserve"> food </w:t>
      </w:r>
      <w:r w:rsidRPr="00E87BDE">
        <w:rPr>
          <w:rFonts w:cs="Arial"/>
        </w:rPr>
        <w:t xml:space="preserve">category, </w:t>
      </w:r>
      <w:r w:rsidRPr="009D6A34">
        <w:rPr>
          <w:rFonts w:cs="Arial"/>
        </w:rPr>
        <w:t>Liquid milk product</w:t>
      </w:r>
      <w:r w:rsidRPr="00BB4775">
        <w:rPr>
          <w:rFonts w:cs="Arial"/>
        </w:rPr>
        <w:t xml:space="preserve">s and flavoured </w:t>
      </w:r>
      <w:r w:rsidRPr="002A7CCB">
        <w:rPr>
          <w:rFonts w:cs="Arial"/>
        </w:rPr>
        <w:t xml:space="preserve">liquid milk </w:t>
      </w:r>
      <w:r w:rsidRPr="00EF6549">
        <w:rPr>
          <w:rFonts w:cs="Arial"/>
        </w:rPr>
        <w:t>is the major contributing food group to L-carnitine dietary intakes</w:t>
      </w:r>
      <w:r w:rsidRPr="00E07F1A">
        <w:rPr>
          <w:rFonts w:cs="Arial"/>
        </w:rPr>
        <w:t xml:space="preserve"> for New Zealand sports food/beverage consumers (NZ 8%)</w:t>
      </w:r>
      <w:r w:rsidRPr="003F3D20">
        <w:rPr>
          <w:rFonts w:cs="Arial"/>
        </w:rPr>
        <w:t>.</w:t>
      </w:r>
      <w:r w:rsidRPr="00E07F1A">
        <w:rPr>
          <w:rFonts w:cs="Arial"/>
        </w:rPr>
        <w:t xml:space="preserve"> </w:t>
      </w:r>
      <w:r w:rsidRPr="003F3D20">
        <w:rPr>
          <w:rFonts w:cs="Arial"/>
        </w:rPr>
        <w:t>Flavoured</w:t>
      </w:r>
      <w:r w:rsidRPr="00CA57A0">
        <w:rPr>
          <w:rFonts w:cs="Arial"/>
        </w:rPr>
        <w:t xml:space="preserve"> fermented &amp; renne</w:t>
      </w:r>
      <w:r w:rsidRPr="0029603E">
        <w:rPr>
          <w:rFonts w:cs="Arial"/>
        </w:rPr>
        <w:t>tted milk products (e.g. flavoured yoghurt)</w:t>
      </w:r>
      <w:r>
        <w:rPr>
          <w:rFonts w:cs="Arial"/>
        </w:rPr>
        <w:t xml:space="preserve"> is a major contributing food group for Australian sports food/beverage consumers (Au 5%).</w:t>
      </w:r>
    </w:p>
    <w:p w14:paraId="61589C00" w14:textId="77777777" w:rsidR="00785714" w:rsidRDefault="00785714" w:rsidP="00785714">
      <w:pPr>
        <w:rPr>
          <w:rFonts w:cs="Arial"/>
        </w:rPr>
      </w:pPr>
    </w:p>
    <w:p w14:paraId="1F6597D3" w14:textId="77777777" w:rsidR="00785714" w:rsidRPr="003F3D20" w:rsidRDefault="00785714" w:rsidP="00785714">
      <w:pPr>
        <w:rPr>
          <w:rFonts w:cs="Arial"/>
        </w:rPr>
      </w:pPr>
      <w:r>
        <w:rPr>
          <w:rFonts w:cs="Arial"/>
        </w:rPr>
        <w:t xml:space="preserve">Within the </w:t>
      </w:r>
      <w:r w:rsidRPr="00AB0483">
        <w:rPr>
          <w:rFonts w:cs="Arial"/>
          <w:i/>
        </w:rPr>
        <w:t>Meat &amp; meat products (including poultry and game)</w:t>
      </w:r>
      <w:r>
        <w:rPr>
          <w:rFonts w:cs="Arial"/>
        </w:rPr>
        <w:t xml:space="preserve"> food category, </w:t>
      </w:r>
      <w:r w:rsidRPr="0029603E">
        <w:rPr>
          <w:rFonts w:cs="Arial"/>
        </w:rPr>
        <w:t>Red meat excluding game</w:t>
      </w:r>
      <w:r>
        <w:rPr>
          <w:rFonts w:cs="Arial"/>
        </w:rPr>
        <w:t xml:space="preserve"> is the major contributing food group for both countries (Au 5%; NZ 5%).</w:t>
      </w:r>
    </w:p>
    <w:p w14:paraId="177E3BBE" w14:textId="77777777" w:rsidR="00785714" w:rsidRPr="00EB0D98" w:rsidRDefault="00785714" w:rsidP="00785714">
      <w:pPr>
        <w:rPr>
          <w:rFonts w:cs="Arial"/>
        </w:rPr>
      </w:pPr>
    </w:p>
    <w:p w14:paraId="60C6A371" w14:textId="569C8A36" w:rsidR="00785714" w:rsidRPr="00EB0D98" w:rsidRDefault="00785714" w:rsidP="00785714">
      <w:r w:rsidRPr="00EB0D98">
        <w:t xml:space="preserve">See </w:t>
      </w:r>
      <w:r w:rsidRPr="00EB0D98">
        <w:fldChar w:fldCharType="begin"/>
      </w:r>
      <w:r w:rsidRPr="00EB0D98">
        <w:instrText xml:space="preserve"> REF _Ref512528881 \h </w:instrText>
      </w:r>
      <w:r w:rsidRPr="00E07F1A">
        <w:instrText xml:space="preserve"> \* MERGEFORMAT </w:instrText>
      </w:r>
      <w:r w:rsidRPr="00EB0D98">
        <w:fldChar w:fldCharType="separate"/>
      </w:r>
      <w:r w:rsidR="00872715" w:rsidRPr="00B83846">
        <w:t>Table A</w:t>
      </w:r>
      <w:r w:rsidR="00872715">
        <w:t>3.3</w:t>
      </w:r>
      <w:r w:rsidRPr="00EB0D98">
        <w:fldChar w:fldCharType="end"/>
      </w:r>
      <w:r w:rsidRPr="00EB0D98">
        <w:t xml:space="preserve"> and </w:t>
      </w:r>
      <w:r w:rsidRPr="00EB0D98">
        <w:fldChar w:fldCharType="begin"/>
      </w:r>
      <w:r w:rsidRPr="00EB0D98">
        <w:instrText xml:space="preserve"> REF _Ref512528943 \h </w:instrText>
      </w:r>
      <w:r w:rsidRPr="00E07F1A">
        <w:instrText xml:space="preserve"> \* MERGEFORMAT </w:instrText>
      </w:r>
      <w:r w:rsidRPr="00EB0D98">
        <w:fldChar w:fldCharType="separate"/>
      </w:r>
      <w:r w:rsidR="00872715" w:rsidRPr="00B83846">
        <w:t>Table A</w:t>
      </w:r>
      <w:r w:rsidR="00872715">
        <w:t>3.7</w:t>
      </w:r>
      <w:r w:rsidRPr="00EB0D98">
        <w:fldChar w:fldCharType="end"/>
      </w:r>
      <w:r w:rsidRPr="00EB0D98">
        <w:t xml:space="preserve"> in</w:t>
      </w:r>
      <w:r w:rsidR="00F02B41">
        <w:t xml:space="preserve"> Appendix 3</w:t>
      </w:r>
      <w:r w:rsidRPr="00EB0D98">
        <w:t xml:space="preserve"> for further details.</w:t>
      </w:r>
    </w:p>
    <w:p w14:paraId="3F790177" w14:textId="77777777" w:rsidR="00785714" w:rsidRPr="00EB0D98" w:rsidRDefault="00785714" w:rsidP="00785714">
      <w:pPr>
        <w:pStyle w:val="Heading4"/>
      </w:pPr>
      <w:r w:rsidRPr="00EB0D98">
        <w:t>People who consume weight management or meal replacement products</w:t>
      </w:r>
    </w:p>
    <w:p w14:paraId="2039FCC9" w14:textId="77777777" w:rsidR="00785714" w:rsidRPr="00005E43" w:rsidRDefault="00785714" w:rsidP="00785714">
      <w:pPr>
        <w:pStyle w:val="Heading5"/>
      </w:pPr>
      <w:r w:rsidRPr="00005E43">
        <w:t>Baseline</w:t>
      </w:r>
    </w:p>
    <w:p w14:paraId="6BA37A97" w14:textId="77777777" w:rsidR="00785714" w:rsidRPr="00EF6549" w:rsidRDefault="00785714" w:rsidP="00785714">
      <w:pPr>
        <w:rPr>
          <w:rFonts w:cs="Arial"/>
        </w:rPr>
      </w:pPr>
      <w:r w:rsidRPr="003F3D20">
        <w:rPr>
          <w:rFonts w:cs="Arial"/>
        </w:rPr>
        <w:t xml:space="preserve">At </w:t>
      </w:r>
      <w:r w:rsidRPr="003F3D20">
        <w:rPr>
          <w:rFonts w:cs="Arial"/>
          <w:i/>
        </w:rPr>
        <w:t>Baseline</w:t>
      </w:r>
      <w:r w:rsidRPr="00E87BDE">
        <w:rPr>
          <w:rFonts w:cs="Arial"/>
        </w:rPr>
        <w:t xml:space="preserve">, </w:t>
      </w:r>
      <w:r w:rsidRPr="00E87BDE">
        <w:rPr>
          <w:rFonts w:cs="Arial"/>
          <w:i/>
        </w:rPr>
        <w:t xml:space="preserve">Meat &amp; meat products (including poultry and game) </w:t>
      </w:r>
      <w:r w:rsidRPr="00E87BDE">
        <w:rPr>
          <w:rFonts w:cs="Arial"/>
        </w:rPr>
        <w:t>(Au </w:t>
      </w:r>
      <w:r w:rsidRPr="00EF6549">
        <w:rPr>
          <w:rFonts w:cs="Arial"/>
        </w:rPr>
        <w:t>50</w:t>
      </w:r>
      <w:r w:rsidRPr="00E87BDE">
        <w:rPr>
          <w:rFonts w:cs="Arial"/>
        </w:rPr>
        <w:t>%; NZ </w:t>
      </w:r>
      <w:r w:rsidRPr="00EF6549">
        <w:rPr>
          <w:rFonts w:cs="Arial"/>
        </w:rPr>
        <w:t>56</w:t>
      </w:r>
      <w:r w:rsidRPr="003F3D20">
        <w:rPr>
          <w:rFonts w:cs="Arial"/>
        </w:rPr>
        <w:t>%)</w:t>
      </w:r>
      <w:r w:rsidRPr="00E87BDE">
        <w:rPr>
          <w:rFonts w:cs="Arial"/>
        </w:rPr>
        <w:t xml:space="preserve">, </w:t>
      </w:r>
      <w:r w:rsidRPr="00EF6549">
        <w:rPr>
          <w:rFonts w:cs="Arial"/>
          <w:i/>
        </w:rPr>
        <w:t>Foods intended for particular dietary uses</w:t>
      </w:r>
      <w:r w:rsidRPr="00EF6549">
        <w:rPr>
          <w:rFonts w:cs="Arial"/>
        </w:rPr>
        <w:t xml:space="preserve"> (Au 37%; NZ 20%) and </w:t>
      </w:r>
      <w:r w:rsidRPr="003F3D20">
        <w:rPr>
          <w:rFonts w:cs="Arial"/>
          <w:i/>
        </w:rPr>
        <w:t xml:space="preserve">Dairy products (excluding butter and butter fats) </w:t>
      </w:r>
      <w:r w:rsidRPr="003F3D20">
        <w:rPr>
          <w:rFonts w:cs="Arial"/>
        </w:rPr>
        <w:t>(</w:t>
      </w:r>
      <w:r w:rsidRPr="00E87BDE">
        <w:rPr>
          <w:rFonts w:cs="Arial"/>
        </w:rPr>
        <w:t>Au </w:t>
      </w:r>
      <w:r w:rsidRPr="00EF6549">
        <w:rPr>
          <w:rFonts w:cs="Arial"/>
        </w:rPr>
        <w:t>9</w:t>
      </w:r>
      <w:r w:rsidRPr="00E87BDE">
        <w:rPr>
          <w:rFonts w:cs="Arial"/>
        </w:rPr>
        <w:t>%</w:t>
      </w:r>
      <w:r w:rsidRPr="00EF6549">
        <w:rPr>
          <w:rFonts w:cs="Arial"/>
        </w:rPr>
        <w:t>; NZ 17%</w:t>
      </w:r>
      <w:r w:rsidRPr="003F3D20">
        <w:rPr>
          <w:rFonts w:cs="Arial"/>
        </w:rPr>
        <w:t>)</w:t>
      </w:r>
      <w:r w:rsidRPr="00E87BDE">
        <w:rPr>
          <w:rFonts w:cs="Arial"/>
        </w:rPr>
        <w:t xml:space="preserve"> </w:t>
      </w:r>
      <w:r w:rsidRPr="00EF6549">
        <w:rPr>
          <w:rFonts w:cs="Arial"/>
        </w:rPr>
        <w:t>are the major contributing food categories to L-carnitine dietary intakes for Australians and New Zealanders who consume weight management or meal replacement products.</w:t>
      </w:r>
    </w:p>
    <w:p w14:paraId="79A2EF4F" w14:textId="77777777" w:rsidR="00785714" w:rsidRPr="00EF6549" w:rsidRDefault="00785714" w:rsidP="00785714">
      <w:pPr>
        <w:rPr>
          <w:rFonts w:cs="Arial"/>
        </w:rPr>
      </w:pPr>
    </w:p>
    <w:p w14:paraId="7AC39EA9" w14:textId="77777777" w:rsidR="00785714" w:rsidRPr="003F3D20" w:rsidRDefault="00785714" w:rsidP="00785714">
      <w:pPr>
        <w:rPr>
          <w:rFonts w:cs="Arial"/>
        </w:rPr>
      </w:pPr>
      <w:r w:rsidRPr="003F3D20">
        <w:rPr>
          <w:rFonts w:cs="Arial"/>
        </w:rPr>
        <w:t xml:space="preserve">Within the </w:t>
      </w:r>
      <w:r w:rsidRPr="003F3D20">
        <w:rPr>
          <w:rFonts w:cs="Arial"/>
          <w:i/>
        </w:rPr>
        <w:t xml:space="preserve">Meat &amp; meat products </w:t>
      </w:r>
      <w:r w:rsidRPr="00E87BDE">
        <w:rPr>
          <w:rFonts w:cs="Arial"/>
        </w:rPr>
        <w:t>food category, Red meat excluding game is the major contributing food group (Au </w:t>
      </w:r>
      <w:r w:rsidRPr="00EF6549">
        <w:rPr>
          <w:rFonts w:cs="Arial"/>
        </w:rPr>
        <w:t>37</w:t>
      </w:r>
      <w:r w:rsidRPr="003F3D20">
        <w:rPr>
          <w:rFonts w:cs="Arial"/>
        </w:rPr>
        <w:t>%; NZ </w:t>
      </w:r>
      <w:r w:rsidRPr="00EF6549">
        <w:rPr>
          <w:rFonts w:cs="Arial"/>
        </w:rPr>
        <w:t>41</w:t>
      </w:r>
      <w:r w:rsidRPr="003F3D20">
        <w:rPr>
          <w:rFonts w:cs="Arial"/>
        </w:rPr>
        <w:t>%) to L-carnitine dietary intakes for Australians aged 2 years and above and New Zealanders aged 15 years and above who consume weight management or meal replacement pr</w:t>
      </w:r>
      <w:r w:rsidRPr="00E87BDE">
        <w:rPr>
          <w:rFonts w:cs="Arial"/>
        </w:rPr>
        <w:t>oducts. Poultry (Au </w:t>
      </w:r>
      <w:r w:rsidRPr="00EF6549">
        <w:rPr>
          <w:rFonts w:cs="Arial"/>
        </w:rPr>
        <w:t>5</w:t>
      </w:r>
      <w:r w:rsidRPr="003F3D20">
        <w:rPr>
          <w:rFonts w:cs="Arial"/>
        </w:rPr>
        <w:t>%) is a major contributor for Australia.</w:t>
      </w:r>
      <w:r>
        <w:rPr>
          <w:rFonts w:cs="Arial"/>
        </w:rPr>
        <w:t xml:space="preserve"> </w:t>
      </w:r>
      <w:r w:rsidRPr="00B67959">
        <w:rPr>
          <w:rFonts w:cs="Arial"/>
        </w:rPr>
        <w:t>Processed meat/ poultry/ game products in whole/ cut pieces (e.g. ham, bacon, smoked chicken) is a major contributor to L-carnitine intakes</w:t>
      </w:r>
      <w:r>
        <w:rPr>
          <w:rFonts w:cs="Arial"/>
        </w:rPr>
        <w:t xml:space="preserve"> for New Zealand consumers of weight management or meal replacement products (NZ 5%).</w:t>
      </w:r>
    </w:p>
    <w:p w14:paraId="3DAAA810" w14:textId="77777777" w:rsidR="00785714" w:rsidRPr="00E87BDE" w:rsidRDefault="00785714" w:rsidP="00785714">
      <w:pPr>
        <w:rPr>
          <w:rFonts w:cs="Arial"/>
        </w:rPr>
      </w:pPr>
    </w:p>
    <w:p w14:paraId="56FE5297" w14:textId="77777777" w:rsidR="00785714" w:rsidRPr="00EF6549" w:rsidRDefault="00785714" w:rsidP="00785714">
      <w:pPr>
        <w:rPr>
          <w:rFonts w:cs="Arial"/>
        </w:rPr>
      </w:pPr>
      <w:r w:rsidRPr="00E87BDE">
        <w:rPr>
          <w:rFonts w:cs="Arial"/>
        </w:rPr>
        <w:t xml:space="preserve">Within the </w:t>
      </w:r>
      <w:r w:rsidRPr="009D6A34">
        <w:rPr>
          <w:rFonts w:cs="Arial"/>
          <w:i/>
        </w:rPr>
        <w:t>Dairy products (excluding butter and butter fats)</w:t>
      </w:r>
      <w:r w:rsidRPr="00BB4775">
        <w:rPr>
          <w:rFonts w:cs="Arial"/>
        </w:rPr>
        <w:t xml:space="preserve"> food category, Plain milk </w:t>
      </w:r>
      <w:r w:rsidRPr="002A7CCB">
        <w:rPr>
          <w:rFonts w:cs="Arial"/>
        </w:rPr>
        <w:t>is</w:t>
      </w:r>
      <w:r w:rsidRPr="0004727B">
        <w:rPr>
          <w:rFonts w:cs="Arial"/>
        </w:rPr>
        <w:t xml:space="preserve"> the major contributing food group (</w:t>
      </w:r>
      <w:r w:rsidRPr="00E134BA">
        <w:rPr>
          <w:rFonts w:cs="Arial"/>
        </w:rPr>
        <w:t>Au </w:t>
      </w:r>
      <w:r w:rsidRPr="00EF6549">
        <w:rPr>
          <w:rFonts w:cs="Arial"/>
        </w:rPr>
        <w:t>7</w:t>
      </w:r>
      <w:r w:rsidRPr="003F3D20">
        <w:rPr>
          <w:rFonts w:cs="Arial"/>
        </w:rPr>
        <w:t>%</w:t>
      </w:r>
      <w:r w:rsidRPr="00EF6549">
        <w:rPr>
          <w:rFonts w:cs="Arial"/>
        </w:rPr>
        <w:t>; NZ 15%</w:t>
      </w:r>
      <w:r w:rsidRPr="003F3D20">
        <w:rPr>
          <w:rFonts w:cs="Arial"/>
        </w:rPr>
        <w:t>) to L-carnitine dietary intakes</w:t>
      </w:r>
      <w:r w:rsidRPr="002A7CCB">
        <w:rPr>
          <w:rFonts w:cs="Arial"/>
        </w:rPr>
        <w:t>.</w:t>
      </w:r>
    </w:p>
    <w:p w14:paraId="75B35075" w14:textId="77777777" w:rsidR="00785714" w:rsidRPr="00EF6549" w:rsidRDefault="00785714" w:rsidP="00785714">
      <w:pPr>
        <w:rPr>
          <w:rFonts w:cs="Arial"/>
        </w:rPr>
      </w:pPr>
    </w:p>
    <w:p w14:paraId="7B227E07" w14:textId="77777777" w:rsidR="00785714" w:rsidRPr="003F3D20" w:rsidRDefault="00785714" w:rsidP="00785714">
      <w:pPr>
        <w:rPr>
          <w:rFonts w:cs="Arial"/>
        </w:rPr>
      </w:pPr>
      <w:r w:rsidRPr="00EF6549">
        <w:rPr>
          <w:rFonts w:cs="Arial"/>
        </w:rPr>
        <w:t>Within the</w:t>
      </w:r>
      <w:r w:rsidRPr="00EF6549">
        <w:t xml:space="preserve"> </w:t>
      </w:r>
      <w:r w:rsidRPr="00EF6549">
        <w:rPr>
          <w:rFonts w:cs="Arial"/>
          <w:i/>
        </w:rPr>
        <w:t>Foods intended for particular dietary uses</w:t>
      </w:r>
      <w:r w:rsidRPr="00EF6549">
        <w:rPr>
          <w:rFonts w:cs="Arial"/>
        </w:rPr>
        <w:t xml:space="preserve"> category, </w:t>
      </w:r>
      <w:r>
        <w:rPr>
          <w:rFonts w:cs="Arial"/>
        </w:rPr>
        <w:t>Liqu</w:t>
      </w:r>
      <w:r w:rsidRPr="003F3D20">
        <w:rPr>
          <w:rFonts w:cs="Arial"/>
        </w:rPr>
        <w:t>id formulated sup</w:t>
      </w:r>
      <w:r w:rsidRPr="00E87BDE">
        <w:rPr>
          <w:rFonts w:cs="Arial"/>
        </w:rPr>
        <w:t xml:space="preserve">plementary sports foods </w:t>
      </w:r>
      <w:r w:rsidRPr="009D6A34">
        <w:rPr>
          <w:rFonts w:cs="Arial"/>
        </w:rPr>
        <w:t>is the major contributing food group (</w:t>
      </w:r>
      <w:r w:rsidRPr="00BB4775">
        <w:rPr>
          <w:rFonts w:cs="Arial"/>
        </w:rPr>
        <w:t>Au </w:t>
      </w:r>
      <w:r w:rsidRPr="00EF6549">
        <w:rPr>
          <w:rFonts w:cs="Arial"/>
        </w:rPr>
        <w:t>19</w:t>
      </w:r>
      <w:r w:rsidRPr="003F3D20">
        <w:rPr>
          <w:rFonts w:cs="Arial"/>
        </w:rPr>
        <w:t>%</w:t>
      </w:r>
      <w:r w:rsidRPr="00EF6549">
        <w:rPr>
          <w:rFonts w:cs="Arial"/>
        </w:rPr>
        <w:t>; NZ 15%</w:t>
      </w:r>
      <w:r w:rsidRPr="003F3D20">
        <w:rPr>
          <w:rFonts w:cs="Arial"/>
        </w:rPr>
        <w:t>)</w:t>
      </w:r>
      <w:r w:rsidRPr="00EF6549">
        <w:rPr>
          <w:rFonts w:cs="Arial"/>
        </w:rPr>
        <w:t>.</w:t>
      </w:r>
      <w:r w:rsidRPr="003F3D20">
        <w:rPr>
          <w:rFonts w:cs="Arial"/>
        </w:rPr>
        <w:t xml:space="preserve"> </w:t>
      </w:r>
      <w:r w:rsidRPr="00EF6549">
        <w:rPr>
          <w:rFonts w:cs="Arial"/>
        </w:rPr>
        <w:t>Solid formulated supplementary sports foods is a major contributing food group for Australian consumers of weight management or meal replacement products (Au 14%)</w:t>
      </w:r>
      <w:r>
        <w:rPr>
          <w:rFonts w:cs="Arial"/>
        </w:rPr>
        <w:t>.</w:t>
      </w:r>
    </w:p>
    <w:p w14:paraId="7549D78A" w14:textId="77777777" w:rsidR="00785714" w:rsidRPr="00EB0D98" w:rsidRDefault="00785714" w:rsidP="00785714">
      <w:pPr>
        <w:rPr>
          <w:rFonts w:cs="Arial"/>
        </w:rPr>
      </w:pPr>
    </w:p>
    <w:p w14:paraId="2CDEB2DC" w14:textId="60E8915C" w:rsidR="00785714" w:rsidRPr="00EB0D98" w:rsidRDefault="00785714" w:rsidP="00785714">
      <w:r w:rsidRPr="00005E43">
        <w:t xml:space="preserve">See </w:t>
      </w:r>
      <w:r w:rsidRPr="00005E43">
        <w:fldChar w:fldCharType="begin"/>
      </w:r>
      <w:r w:rsidRPr="00EB0D98">
        <w:instrText xml:space="preserve"> REF _Ref512528881 \h </w:instrText>
      </w:r>
      <w:r w:rsidRPr="00EF6549">
        <w:instrText xml:space="preserve"> \* MERGEFORMAT </w:instrText>
      </w:r>
      <w:r w:rsidRPr="00005E43">
        <w:fldChar w:fldCharType="separate"/>
      </w:r>
      <w:r w:rsidR="00872715" w:rsidRPr="00B83846">
        <w:t>Table A</w:t>
      </w:r>
      <w:r w:rsidR="00872715">
        <w:t>3.3</w:t>
      </w:r>
      <w:r w:rsidRPr="00005E43">
        <w:fldChar w:fldCharType="end"/>
      </w:r>
      <w:r w:rsidRPr="00EB0D98">
        <w:t xml:space="preserve"> and </w:t>
      </w:r>
      <w:r w:rsidRPr="00005E43">
        <w:fldChar w:fldCharType="begin"/>
      </w:r>
      <w:r w:rsidRPr="00EB0D98">
        <w:instrText xml:space="preserve"> REF _Ref512528943 \h </w:instrText>
      </w:r>
      <w:r w:rsidRPr="00EF6549">
        <w:instrText xml:space="preserve"> \* MERGEFORMAT </w:instrText>
      </w:r>
      <w:r w:rsidRPr="00005E43">
        <w:fldChar w:fldCharType="separate"/>
      </w:r>
      <w:r w:rsidR="00872715" w:rsidRPr="00B83846">
        <w:t>Table A</w:t>
      </w:r>
      <w:r w:rsidR="00872715">
        <w:t>3.7</w:t>
      </w:r>
      <w:r w:rsidRPr="00005E43">
        <w:fldChar w:fldCharType="end"/>
      </w:r>
      <w:r w:rsidRPr="00EB0D98">
        <w:t xml:space="preserve"> in</w:t>
      </w:r>
      <w:r w:rsidR="00F02B41">
        <w:t xml:space="preserve"> Appendix 3</w:t>
      </w:r>
      <w:r w:rsidRPr="00EB0D98">
        <w:t xml:space="preserve"> for further details.</w:t>
      </w:r>
    </w:p>
    <w:p w14:paraId="768060C9" w14:textId="77777777" w:rsidR="00785714" w:rsidRPr="00005E43" w:rsidRDefault="00785714" w:rsidP="00785714">
      <w:pPr>
        <w:pStyle w:val="Heading5"/>
      </w:pPr>
      <w:r w:rsidRPr="00005E43">
        <w:t>Sports food increase scenario</w:t>
      </w:r>
    </w:p>
    <w:p w14:paraId="360DE812" w14:textId="77777777" w:rsidR="00785714" w:rsidRPr="00E87BDE" w:rsidRDefault="00785714" w:rsidP="00785714">
      <w:pPr>
        <w:rPr>
          <w:rFonts w:cs="Arial"/>
        </w:rPr>
      </w:pPr>
      <w:r w:rsidRPr="00E87BDE">
        <w:rPr>
          <w:rFonts w:cs="Arial"/>
        </w:rPr>
        <w:t xml:space="preserve">Under the </w:t>
      </w:r>
      <w:r w:rsidRPr="00E87BDE">
        <w:rPr>
          <w:rFonts w:cs="Arial"/>
          <w:i/>
        </w:rPr>
        <w:t>Sports food increase</w:t>
      </w:r>
      <w:r w:rsidRPr="00E87BDE">
        <w:rPr>
          <w:rFonts w:cs="Arial"/>
        </w:rPr>
        <w:t xml:space="preserve"> scenario,</w:t>
      </w:r>
      <w:r w:rsidRPr="00EF6549">
        <w:rPr>
          <w:rFonts w:cs="Arial"/>
        </w:rPr>
        <w:t xml:space="preserve"> </w:t>
      </w:r>
      <w:r w:rsidRPr="00EF6549">
        <w:rPr>
          <w:rFonts w:cs="Arial"/>
          <w:i/>
        </w:rPr>
        <w:t>Foods intended for particular dietary uses</w:t>
      </w:r>
      <w:r w:rsidRPr="00EF6549">
        <w:rPr>
          <w:rFonts w:cs="Arial"/>
        </w:rPr>
        <w:t xml:space="preserve"> (Au 73%; NZ 55%) and</w:t>
      </w:r>
      <w:r w:rsidRPr="00E87BDE">
        <w:rPr>
          <w:rFonts w:cs="Arial"/>
        </w:rPr>
        <w:t xml:space="preserve"> </w:t>
      </w:r>
      <w:r w:rsidRPr="00E87BDE">
        <w:rPr>
          <w:rFonts w:cs="Arial"/>
          <w:i/>
        </w:rPr>
        <w:t xml:space="preserve">Meat &amp; meat products (including poultry and game) </w:t>
      </w:r>
      <w:r w:rsidRPr="00E87BDE">
        <w:rPr>
          <w:rFonts w:cs="Arial"/>
        </w:rPr>
        <w:t>(Au </w:t>
      </w:r>
      <w:r w:rsidRPr="00EF6549">
        <w:rPr>
          <w:rFonts w:cs="Arial"/>
        </w:rPr>
        <w:t>21</w:t>
      </w:r>
      <w:r w:rsidRPr="00E87BDE">
        <w:rPr>
          <w:rFonts w:cs="Arial"/>
        </w:rPr>
        <w:t>%; NZ </w:t>
      </w:r>
      <w:r w:rsidRPr="00EF6549">
        <w:rPr>
          <w:rFonts w:cs="Arial"/>
        </w:rPr>
        <w:t>32</w:t>
      </w:r>
      <w:r w:rsidRPr="00E87BDE">
        <w:rPr>
          <w:rFonts w:cs="Arial"/>
        </w:rPr>
        <w:t xml:space="preserve">%) </w:t>
      </w:r>
      <w:r w:rsidRPr="00EF6549">
        <w:rPr>
          <w:rFonts w:cs="Arial"/>
        </w:rPr>
        <w:t>are the major contributing food categories to L-carnitine dietary intakes for Australians and New Zealanders who consume weight management or meal replacement products.</w:t>
      </w:r>
      <w:r>
        <w:rPr>
          <w:rFonts w:cs="Arial"/>
        </w:rPr>
        <w:t xml:space="preserve"> For New Zealanders, </w:t>
      </w:r>
      <w:r w:rsidRPr="00AB0483">
        <w:rPr>
          <w:rFonts w:cs="Arial"/>
          <w:i/>
        </w:rPr>
        <w:t>Dairy products (excluding butter and butter fats)</w:t>
      </w:r>
      <w:r w:rsidRPr="00AB0483">
        <w:rPr>
          <w:rFonts w:cs="Arial"/>
        </w:rPr>
        <w:t xml:space="preserve"> </w:t>
      </w:r>
      <w:r>
        <w:rPr>
          <w:rFonts w:cs="Arial"/>
        </w:rPr>
        <w:t xml:space="preserve">is a major contributing </w:t>
      </w:r>
      <w:r w:rsidRPr="00AB0483">
        <w:rPr>
          <w:rFonts w:cs="Arial"/>
        </w:rPr>
        <w:t>food category</w:t>
      </w:r>
      <w:r>
        <w:rPr>
          <w:rFonts w:cs="Arial"/>
        </w:rPr>
        <w:t xml:space="preserve"> (NZ 10%).</w:t>
      </w:r>
    </w:p>
    <w:p w14:paraId="4E8CC77D" w14:textId="77777777" w:rsidR="00785714" w:rsidRPr="00E87BDE" w:rsidRDefault="00785714" w:rsidP="00785714">
      <w:pPr>
        <w:rPr>
          <w:rFonts w:cs="Arial"/>
        </w:rPr>
      </w:pPr>
    </w:p>
    <w:p w14:paraId="09CDF528" w14:textId="77777777" w:rsidR="00785714" w:rsidRPr="00EF6549" w:rsidRDefault="00785714" w:rsidP="00785714">
      <w:pPr>
        <w:rPr>
          <w:rFonts w:cs="Arial"/>
        </w:rPr>
      </w:pPr>
      <w:r w:rsidRPr="00EF6549">
        <w:rPr>
          <w:rFonts w:cs="Arial"/>
        </w:rPr>
        <w:lastRenderedPageBreak/>
        <w:t>Within the</w:t>
      </w:r>
      <w:r w:rsidRPr="00EF6549">
        <w:t xml:space="preserve"> </w:t>
      </w:r>
      <w:r w:rsidRPr="00EF6549">
        <w:rPr>
          <w:rFonts w:cs="Arial"/>
          <w:i/>
        </w:rPr>
        <w:t>Foods intended for particular dietary uses</w:t>
      </w:r>
      <w:r w:rsidRPr="00EF6549">
        <w:rPr>
          <w:rFonts w:cs="Arial"/>
        </w:rPr>
        <w:t xml:space="preserve"> category, Liquid formulated supplementary sports foods</w:t>
      </w:r>
      <w:r w:rsidRPr="00EF6549" w:rsidDel="00A974BD">
        <w:rPr>
          <w:rFonts w:cs="Arial"/>
        </w:rPr>
        <w:t xml:space="preserve"> </w:t>
      </w:r>
      <w:r w:rsidRPr="00EF6549">
        <w:rPr>
          <w:rFonts w:cs="Arial"/>
        </w:rPr>
        <w:t xml:space="preserve">(Au 41%; NZ 43%) and Solid formulated supplementary sports foods (Au 30%; NZ 11%) are the major contributing food groups for Australian and New Zealand weight management or meal replacement product consumers. </w:t>
      </w:r>
    </w:p>
    <w:p w14:paraId="3D42C4D7" w14:textId="77777777" w:rsidR="00785714" w:rsidRPr="00EB0D98" w:rsidRDefault="00785714" w:rsidP="00785714">
      <w:pPr>
        <w:rPr>
          <w:rFonts w:cs="Arial"/>
        </w:rPr>
      </w:pPr>
    </w:p>
    <w:p w14:paraId="4586469E" w14:textId="77777777" w:rsidR="00785714" w:rsidRPr="009D6A34" w:rsidRDefault="00785714" w:rsidP="00785714">
      <w:pPr>
        <w:rPr>
          <w:rFonts w:cs="Arial"/>
        </w:rPr>
      </w:pPr>
      <w:r w:rsidRPr="00E87BDE">
        <w:rPr>
          <w:rFonts w:cs="Arial"/>
        </w:rPr>
        <w:t xml:space="preserve">Within the </w:t>
      </w:r>
      <w:r w:rsidRPr="00E87BDE">
        <w:rPr>
          <w:rFonts w:cs="Arial"/>
          <w:i/>
        </w:rPr>
        <w:t xml:space="preserve">Meat &amp; meat products </w:t>
      </w:r>
      <w:r w:rsidRPr="00E87BDE">
        <w:rPr>
          <w:rFonts w:cs="Arial"/>
        </w:rPr>
        <w:t>food category, Red meat excluding game is the major contributing food group (Au </w:t>
      </w:r>
      <w:r w:rsidRPr="00E07F1A">
        <w:rPr>
          <w:rFonts w:cs="Arial"/>
        </w:rPr>
        <w:t>16</w:t>
      </w:r>
      <w:r w:rsidRPr="00E87BDE">
        <w:rPr>
          <w:rFonts w:cs="Arial"/>
        </w:rPr>
        <w:t>%; NZ 2</w:t>
      </w:r>
      <w:r w:rsidRPr="00E07F1A">
        <w:rPr>
          <w:rFonts w:cs="Arial"/>
        </w:rPr>
        <w:t>3</w:t>
      </w:r>
      <w:r w:rsidRPr="00E87BDE">
        <w:rPr>
          <w:rFonts w:cs="Arial"/>
        </w:rPr>
        <w:t>%) to L-carnitine dietary intakes for Australians aged 2 years and above and New Zealanders aged 15 years and above who consume weight management or meal replacement products.</w:t>
      </w:r>
    </w:p>
    <w:p w14:paraId="4B50056C" w14:textId="77777777" w:rsidR="00785714" w:rsidRPr="00BB4775" w:rsidRDefault="00785714" w:rsidP="00785714">
      <w:pPr>
        <w:rPr>
          <w:rFonts w:cs="Arial"/>
        </w:rPr>
      </w:pPr>
    </w:p>
    <w:p w14:paraId="57ECDAE5" w14:textId="77777777" w:rsidR="00785714" w:rsidRPr="009D6A34" w:rsidRDefault="00785714" w:rsidP="00785714">
      <w:pPr>
        <w:rPr>
          <w:rFonts w:cs="Arial"/>
        </w:rPr>
      </w:pPr>
      <w:r w:rsidRPr="002A7CCB">
        <w:rPr>
          <w:rFonts w:cs="Arial"/>
        </w:rPr>
        <w:t xml:space="preserve">Within the </w:t>
      </w:r>
      <w:r w:rsidRPr="0004727B">
        <w:rPr>
          <w:rFonts w:cs="Arial"/>
          <w:i/>
        </w:rPr>
        <w:t>Dairy products (excluding butter and butter fats)</w:t>
      </w:r>
      <w:r w:rsidRPr="00E134BA">
        <w:rPr>
          <w:rFonts w:cs="Arial"/>
        </w:rPr>
        <w:t xml:space="preserve"> food category, Plain milk is the major contributing food group (</w:t>
      </w:r>
      <w:r w:rsidRPr="00E07F1A">
        <w:rPr>
          <w:rFonts w:cs="Arial"/>
        </w:rPr>
        <w:t>NZ</w:t>
      </w:r>
      <w:r w:rsidRPr="00E87BDE">
        <w:rPr>
          <w:rFonts w:cs="Arial"/>
        </w:rPr>
        <w:t> </w:t>
      </w:r>
      <w:r w:rsidRPr="00E07F1A">
        <w:rPr>
          <w:rFonts w:cs="Arial"/>
        </w:rPr>
        <w:t>8</w:t>
      </w:r>
      <w:r w:rsidRPr="00E87BDE">
        <w:rPr>
          <w:rFonts w:cs="Arial"/>
        </w:rPr>
        <w:t xml:space="preserve">%) to L-carnitine dietary intakes for </w:t>
      </w:r>
      <w:r w:rsidRPr="00E07F1A">
        <w:rPr>
          <w:rFonts w:cs="Arial"/>
        </w:rPr>
        <w:t>New Zealander</w:t>
      </w:r>
      <w:r w:rsidRPr="00E87BDE">
        <w:rPr>
          <w:rFonts w:cs="Arial"/>
        </w:rPr>
        <w:t xml:space="preserve">s aged </w:t>
      </w:r>
      <w:r w:rsidRPr="00E07F1A">
        <w:rPr>
          <w:rFonts w:cs="Arial"/>
        </w:rPr>
        <w:t>15</w:t>
      </w:r>
      <w:r w:rsidRPr="00E87BDE">
        <w:rPr>
          <w:rFonts w:cs="Arial"/>
        </w:rPr>
        <w:t xml:space="preserve"> years and above who consume weight management or meal replacement products. The </w:t>
      </w:r>
      <w:r w:rsidRPr="009D6A34">
        <w:rPr>
          <w:rFonts w:cs="Arial"/>
          <w:i/>
        </w:rPr>
        <w:t>Dairy products (excluding butter and butter fats)</w:t>
      </w:r>
      <w:r w:rsidRPr="009D6A34">
        <w:rPr>
          <w:rFonts w:cs="Arial"/>
        </w:rPr>
        <w:t xml:space="preserve"> food category is not a major contributor for </w:t>
      </w:r>
      <w:r w:rsidRPr="00E07F1A">
        <w:rPr>
          <w:rFonts w:cs="Arial"/>
        </w:rPr>
        <w:t>Australian</w:t>
      </w:r>
      <w:r w:rsidRPr="00E87BDE">
        <w:rPr>
          <w:rFonts w:cs="Arial"/>
        </w:rPr>
        <w:t xml:space="preserve"> weight management or meal replacement product consumers under the </w:t>
      </w:r>
      <w:r w:rsidRPr="00E87BDE">
        <w:rPr>
          <w:rFonts w:cs="Arial"/>
          <w:i/>
        </w:rPr>
        <w:t>Sports food increase</w:t>
      </w:r>
      <w:r w:rsidRPr="009D6A34">
        <w:rPr>
          <w:rFonts w:cs="Arial"/>
        </w:rPr>
        <w:t xml:space="preserve"> scenario.</w:t>
      </w:r>
    </w:p>
    <w:p w14:paraId="34967B27" w14:textId="77777777" w:rsidR="00785714" w:rsidRPr="00EF6549" w:rsidRDefault="00785714" w:rsidP="00785714">
      <w:pPr>
        <w:rPr>
          <w:rFonts w:cs="Arial"/>
        </w:rPr>
      </w:pPr>
    </w:p>
    <w:p w14:paraId="0BFF5998" w14:textId="46E2F579" w:rsidR="00785714" w:rsidRPr="00EB0D98" w:rsidRDefault="00785714" w:rsidP="00785714">
      <w:r w:rsidRPr="00EB0D98">
        <w:t xml:space="preserve">See </w:t>
      </w:r>
      <w:r w:rsidRPr="00EB0D98">
        <w:fldChar w:fldCharType="begin"/>
      </w:r>
      <w:r w:rsidRPr="00EB0D98">
        <w:instrText xml:space="preserve"> REF _Ref512528881 \h </w:instrText>
      </w:r>
      <w:r w:rsidRPr="00397B5D">
        <w:instrText xml:space="preserve"> \* MERGEFORMAT </w:instrText>
      </w:r>
      <w:r w:rsidRPr="00EB0D98">
        <w:fldChar w:fldCharType="separate"/>
      </w:r>
      <w:r w:rsidR="00872715" w:rsidRPr="00B83846">
        <w:t>Table A</w:t>
      </w:r>
      <w:r w:rsidR="00872715">
        <w:t>3.3</w:t>
      </w:r>
      <w:r w:rsidRPr="00EB0D98">
        <w:fldChar w:fldCharType="end"/>
      </w:r>
      <w:r w:rsidRPr="00EB0D98">
        <w:t xml:space="preserve"> and </w:t>
      </w:r>
      <w:r w:rsidRPr="00EB0D98">
        <w:fldChar w:fldCharType="begin"/>
      </w:r>
      <w:r w:rsidRPr="00EB0D98">
        <w:instrText xml:space="preserve"> REF _Ref512528943 \h </w:instrText>
      </w:r>
      <w:r w:rsidRPr="00397B5D">
        <w:instrText xml:space="preserve"> \* MERGEFORMAT </w:instrText>
      </w:r>
      <w:r w:rsidRPr="00EB0D98">
        <w:fldChar w:fldCharType="separate"/>
      </w:r>
      <w:r w:rsidR="00872715" w:rsidRPr="00B83846">
        <w:t>Table A</w:t>
      </w:r>
      <w:r w:rsidR="00872715">
        <w:t>3.7</w:t>
      </w:r>
      <w:r w:rsidRPr="00EB0D98">
        <w:fldChar w:fldCharType="end"/>
      </w:r>
      <w:r w:rsidRPr="00EB0D98">
        <w:t xml:space="preserve"> in</w:t>
      </w:r>
      <w:r w:rsidR="00D96C50">
        <w:t xml:space="preserve"> Appendix 3</w:t>
      </w:r>
      <w:r w:rsidRPr="00EB0D98">
        <w:t xml:space="preserve"> for further details.</w:t>
      </w:r>
    </w:p>
    <w:p w14:paraId="5E1CC833" w14:textId="77777777" w:rsidR="00785714" w:rsidRPr="00005E43" w:rsidRDefault="00785714" w:rsidP="008D5447">
      <w:pPr>
        <w:pStyle w:val="Heading5"/>
        <w:keepLines/>
        <w:widowControl/>
      </w:pPr>
      <w:r w:rsidRPr="00005E43">
        <w:t>Consumer behaviour scenario</w:t>
      </w:r>
    </w:p>
    <w:p w14:paraId="11393E46" w14:textId="77777777" w:rsidR="00785714" w:rsidRPr="00E87BDE" w:rsidRDefault="00785714" w:rsidP="008D5447">
      <w:pPr>
        <w:keepNext/>
        <w:keepLines/>
        <w:widowControl/>
        <w:rPr>
          <w:rFonts w:cs="Arial"/>
        </w:rPr>
      </w:pPr>
      <w:r w:rsidRPr="00E87BDE">
        <w:rPr>
          <w:rFonts w:cs="Arial"/>
        </w:rPr>
        <w:t xml:space="preserve">The food categories that contribute to L-carnitine dietary intakes change under the </w:t>
      </w:r>
      <w:r w:rsidRPr="00E87BDE">
        <w:rPr>
          <w:rFonts w:cs="Arial"/>
          <w:i/>
        </w:rPr>
        <w:t>Consumer behaviour</w:t>
      </w:r>
      <w:r w:rsidRPr="00E87BDE">
        <w:rPr>
          <w:rFonts w:cs="Arial"/>
        </w:rPr>
        <w:t xml:space="preserve"> scenario in comparison to the </w:t>
      </w:r>
      <w:r w:rsidRPr="009D6A34">
        <w:rPr>
          <w:rFonts w:cs="Arial"/>
          <w:i/>
        </w:rPr>
        <w:t>Baseline</w:t>
      </w:r>
      <w:r w:rsidRPr="009D6A34">
        <w:rPr>
          <w:rFonts w:cs="Arial"/>
        </w:rPr>
        <w:t xml:space="preserve">. </w:t>
      </w:r>
      <w:r w:rsidRPr="009D6A34">
        <w:rPr>
          <w:rFonts w:cs="Arial"/>
          <w:i/>
        </w:rPr>
        <w:t>Foods intended for particular dietary uses</w:t>
      </w:r>
      <w:r w:rsidRPr="00BB4775">
        <w:rPr>
          <w:rFonts w:cs="Arial"/>
        </w:rPr>
        <w:t xml:space="preserve"> (Au </w:t>
      </w:r>
      <w:r w:rsidRPr="00397B5D">
        <w:rPr>
          <w:rFonts w:cs="Arial"/>
        </w:rPr>
        <w:t>42</w:t>
      </w:r>
      <w:r w:rsidRPr="00E87BDE">
        <w:rPr>
          <w:rFonts w:cs="Arial"/>
        </w:rPr>
        <w:t>%; NZ </w:t>
      </w:r>
      <w:r w:rsidRPr="00397B5D">
        <w:rPr>
          <w:rFonts w:cs="Arial"/>
        </w:rPr>
        <w:t>19</w:t>
      </w:r>
      <w:r w:rsidRPr="00E87BDE">
        <w:rPr>
          <w:rFonts w:cs="Arial"/>
        </w:rPr>
        <w:t xml:space="preserve">%) is the major contributing food category for weight management or meal replacement product consumers, followed by </w:t>
      </w:r>
      <w:r w:rsidRPr="009D6A34">
        <w:rPr>
          <w:rFonts w:cs="Arial"/>
          <w:i/>
        </w:rPr>
        <w:t>Non-alcoholic and alcoholic beverages</w:t>
      </w:r>
      <w:r w:rsidRPr="009D6A34">
        <w:rPr>
          <w:rFonts w:cs="Arial"/>
        </w:rPr>
        <w:t xml:space="preserve"> (Au 2</w:t>
      </w:r>
      <w:r w:rsidRPr="00397B5D">
        <w:rPr>
          <w:rFonts w:cs="Arial"/>
        </w:rPr>
        <w:t>2</w:t>
      </w:r>
      <w:r w:rsidRPr="00E87BDE">
        <w:rPr>
          <w:rFonts w:cs="Arial"/>
        </w:rPr>
        <w:t>%; NZ </w:t>
      </w:r>
      <w:r w:rsidRPr="00397B5D">
        <w:rPr>
          <w:rFonts w:cs="Arial"/>
        </w:rPr>
        <w:t>21</w:t>
      </w:r>
      <w:r w:rsidRPr="00E87BDE">
        <w:rPr>
          <w:rFonts w:cs="Arial"/>
        </w:rPr>
        <w:t xml:space="preserve">%), </w:t>
      </w:r>
      <w:r w:rsidRPr="00E87BDE">
        <w:rPr>
          <w:rFonts w:cs="Arial"/>
          <w:i/>
        </w:rPr>
        <w:t xml:space="preserve">Dairy products (excluding butter and butter fats) </w:t>
      </w:r>
      <w:r w:rsidRPr="00E87BDE">
        <w:rPr>
          <w:rFonts w:cs="Arial"/>
        </w:rPr>
        <w:t xml:space="preserve">(Au 10%; NZ 14%), </w:t>
      </w:r>
      <w:r w:rsidRPr="00E87BDE">
        <w:rPr>
          <w:rFonts w:cs="Arial"/>
          <w:i/>
        </w:rPr>
        <w:t>Commercial mixed foods</w:t>
      </w:r>
      <w:r w:rsidRPr="00E87BDE">
        <w:rPr>
          <w:rFonts w:cs="Arial"/>
        </w:rPr>
        <w:t xml:space="preserve"> (Au 1</w:t>
      </w:r>
      <w:r w:rsidRPr="00397B5D">
        <w:rPr>
          <w:rFonts w:cs="Arial"/>
        </w:rPr>
        <w:t>0</w:t>
      </w:r>
      <w:r w:rsidRPr="00E87BDE">
        <w:rPr>
          <w:rFonts w:cs="Arial"/>
        </w:rPr>
        <w:t>%; NZ 1</w:t>
      </w:r>
      <w:r w:rsidRPr="00397B5D">
        <w:rPr>
          <w:rFonts w:cs="Arial"/>
        </w:rPr>
        <w:t>9</w:t>
      </w:r>
      <w:r w:rsidRPr="00E87BDE">
        <w:rPr>
          <w:rFonts w:cs="Arial"/>
        </w:rPr>
        <w:t>%)</w:t>
      </w:r>
      <w:r w:rsidRPr="00397B5D">
        <w:rPr>
          <w:rFonts w:cs="Arial"/>
        </w:rPr>
        <w:t xml:space="preserve"> and</w:t>
      </w:r>
      <w:r w:rsidRPr="00E87BDE">
        <w:rPr>
          <w:rFonts w:cs="Arial"/>
        </w:rPr>
        <w:t xml:space="preserve"> </w:t>
      </w:r>
      <w:r w:rsidRPr="00E87BDE">
        <w:rPr>
          <w:rFonts w:cs="Arial"/>
          <w:i/>
        </w:rPr>
        <w:t xml:space="preserve">Meat &amp; meat products (including poultry and game) </w:t>
      </w:r>
      <w:r w:rsidRPr="00E87BDE">
        <w:rPr>
          <w:rFonts w:cs="Arial"/>
        </w:rPr>
        <w:t xml:space="preserve">(Au 8%; NZ 8%), and </w:t>
      </w:r>
      <w:r w:rsidRPr="00E87BDE">
        <w:rPr>
          <w:rFonts w:cs="Arial"/>
          <w:i/>
        </w:rPr>
        <w:t>Cereals and cereal products</w:t>
      </w:r>
      <w:r w:rsidRPr="00E87BDE">
        <w:rPr>
          <w:rFonts w:cs="Arial"/>
        </w:rPr>
        <w:t xml:space="preserve"> (NZ </w:t>
      </w:r>
      <w:r>
        <w:rPr>
          <w:rFonts w:cs="Arial"/>
        </w:rPr>
        <w:t>11</w:t>
      </w:r>
      <w:r w:rsidRPr="00E87BDE">
        <w:rPr>
          <w:rFonts w:cs="Arial"/>
        </w:rPr>
        <w:t>%).</w:t>
      </w:r>
      <w:r>
        <w:rPr>
          <w:rFonts w:cs="Arial"/>
        </w:rPr>
        <w:t xml:space="preserve"> For New Zealanders, </w:t>
      </w:r>
      <w:r>
        <w:rPr>
          <w:rFonts w:cs="Arial"/>
          <w:i/>
        </w:rPr>
        <w:t xml:space="preserve">Confectionary </w:t>
      </w:r>
      <w:r>
        <w:rPr>
          <w:rFonts w:cs="Arial"/>
        </w:rPr>
        <w:t>(7%) is a major contributing food category.</w:t>
      </w:r>
    </w:p>
    <w:p w14:paraId="5C16AC90" w14:textId="77777777" w:rsidR="00785714" w:rsidRPr="00E87BDE" w:rsidRDefault="00785714" w:rsidP="00785714">
      <w:pPr>
        <w:rPr>
          <w:rFonts w:cs="Arial"/>
        </w:rPr>
      </w:pPr>
    </w:p>
    <w:p w14:paraId="6CE705CC" w14:textId="77777777" w:rsidR="00785714" w:rsidRPr="00397B5D" w:rsidRDefault="00785714" w:rsidP="00785714">
      <w:pPr>
        <w:rPr>
          <w:rFonts w:cs="Arial"/>
        </w:rPr>
      </w:pPr>
      <w:r>
        <w:rPr>
          <w:rFonts w:cs="Arial"/>
        </w:rPr>
        <w:t>Liqu</w:t>
      </w:r>
      <w:r w:rsidRPr="00AB0483">
        <w:rPr>
          <w:rFonts w:cs="Arial"/>
        </w:rPr>
        <w:t>id formulated s</w:t>
      </w:r>
      <w:r>
        <w:rPr>
          <w:rFonts w:cs="Arial"/>
        </w:rPr>
        <w:t>upplementary sports foods (Au 16</w:t>
      </w:r>
      <w:r w:rsidRPr="00AB0483">
        <w:rPr>
          <w:rFonts w:cs="Arial"/>
        </w:rPr>
        <w:t>%</w:t>
      </w:r>
      <w:r>
        <w:rPr>
          <w:rFonts w:cs="Arial"/>
        </w:rPr>
        <w:t>; NZ 11</w:t>
      </w:r>
      <w:r w:rsidRPr="00AB0483">
        <w:rPr>
          <w:rFonts w:cs="Arial"/>
        </w:rPr>
        <w:t>%)</w:t>
      </w:r>
      <w:r>
        <w:rPr>
          <w:rFonts w:cs="Arial"/>
        </w:rPr>
        <w:t>,</w:t>
      </w:r>
      <w:r w:rsidRPr="00AB0483">
        <w:rPr>
          <w:rFonts w:cs="Arial"/>
        </w:rPr>
        <w:t xml:space="preserve"> </w:t>
      </w:r>
      <w:r w:rsidRPr="00397B5D">
        <w:rPr>
          <w:rFonts w:cs="Arial"/>
        </w:rPr>
        <w:t xml:space="preserve">Solid formulated supplementary sports foods (Au 12%) </w:t>
      </w:r>
      <w:r w:rsidRPr="00E87BDE">
        <w:rPr>
          <w:rFonts w:cs="Arial"/>
        </w:rPr>
        <w:t>and Liquid formula meal replacements and formulated supplementary foods (Au </w:t>
      </w:r>
      <w:r w:rsidRPr="00397B5D">
        <w:rPr>
          <w:rFonts w:cs="Arial"/>
        </w:rPr>
        <w:t>12</w:t>
      </w:r>
      <w:r w:rsidRPr="00E87BDE">
        <w:rPr>
          <w:rFonts w:cs="Arial"/>
        </w:rPr>
        <w:t>%) are the major contributing food groups within the</w:t>
      </w:r>
      <w:r w:rsidRPr="00E87BDE">
        <w:t xml:space="preserve"> </w:t>
      </w:r>
      <w:r w:rsidRPr="00E87BDE">
        <w:rPr>
          <w:rFonts w:cs="Arial"/>
          <w:i/>
        </w:rPr>
        <w:t>Foods intended for particular dietary uses</w:t>
      </w:r>
      <w:r w:rsidRPr="00E87BDE">
        <w:rPr>
          <w:rFonts w:cs="Arial"/>
        </w:rPr>
        <w:t xml:space="preserve"> category.</w:t>
      </w:r>
    </w:p>
    <w:p w14:paraId="75D65C1E" w14:textId="77777777" w:rsidR="00785714" w:rsidRPr="00E87BDE" w:rsidRDefault="00785714" w:rsidP="00785714">
      <w:pPr>
        <w:rPr>
          <w:rFonts w:cs="Arial"/>
        </w:rPr>
      </w:pPr>
    </w:p>
    <w:p w14:paraId="3B98D23A" w14:textId="77777777" w:rsidR="00785714" w:rsidRPr="00E87BDE" w:rsidRDefault="00785714" w:rsidP="00785714">
      <w:pPr>
        <w:rPr>
          <w:rFonts w:cs="Arial"/>
        </w:rPr>
      </w:pPr>
      <w:r w:rsidRPr="00E87BDE">
        <w:rPr>
          <w:rFonts w:cs="Arial"/>
        </w:rPr>
        <w:t xml:space="preserve">Within the </w:t>
      </w:r>
      <w:r w:rsidRPr="00E87BDE">
        <w:rPr>
          <w:rFonts w:cs="Arial"/>
          <w:i/>
        </w:rPr>
        <w:t>Non-alcoholic and alcoholic beverages</w:t>
      </w:r>
      <w:r w:rsidRPr="009D6A34">
        <w:rPr>
          <w:rFonts w:cs="Arial"/>
        </w:rPr>
        <w:t xml:space="preserve"> food category, Soft drinks (except intensely sweetened</w:t>
      </w:r>
      <w:r w:rsidRPr="00BB4775">
        <w:rPr>
          <w:rFonts w:cs="Arial"/>
        </w:rPr>
        <w:t>)</w:t>
      </w:r>
      <w:r w:rsidRPr="002A7CCB">
        <w:rPr>
          <w:rFonts w:cs="Arial"/>
          <w:i/>
        </w:rPr>
        <w:t xml:space="preserve"> </w:t>
      </w:r>
      <w:r w:rsidRPr="0004727B">
        <w:rPr>
          <w:rFonts w:cs="Arial"/>
        </w:rPr>
        <w:t>(</w:t>
      </w:r>
      <w:r w:rsidRPr="00E134BA">
        <w:rPr>
          <w:rFonts w:cs="Arial"/>
        </w:rPr>
        <w:t>Au </w:t>
      </w:r>
      <w:r w:rsidRPr="00EF6549">
        <w:rPr>
          <w:rFonts w:cs="Arial"/>
        </w:rPr>
        <w:t>1</w:t>
      </w:r>
      <w:r w:rsidRPr="00397B5D">
        <w:rPr>
          <w:rFonts w:cs="Arial"/>
        </w:rPr>
        <w:t>4</w:t>
      </w:r>
      <w:r w:rsidRPr="00E87BDE">
        <w:rPr>
          <w:rFonts w:cs="Arial"/>
        </w:rPr>
        <w:t>%; NZ </w:t>
      </w:r>
      <w:r w:rsidRPr="00397B5D">
        <w:rPr>
          <w:rFonts w:cs="Arial"/>
        </w:rPr>
        <w:t>10</w:t>
      </w:r>
      <w:r w:rsidRPr="00E87BDE">
        <w:rPr>
          <w:rFonts w:cs="Arial"/>
        </w:rPr>
        <w:t>%) is the major contributing food group.</w:t>
      </w:r>
      <w:r>
        <w:rPr>
          <w:rFonts w:cs="Arial"/>
        </w:rPr>
        <w:t xml:space="preserve"> For New Zealanders, Energy drinks (NZ 6%) is also a major contributor.</w:t>
      </w:r>
    </w:p>
    <w:p w14:paraId="70C5C120" w14:textId="77777777" w:rsidR="00785714" w:rsidRPr="00397B5D" w:rsidRDefault="00785714" w:rsidP="00785714">
      <w:pPr>
        <w:rPr>
          <w:rFonts w:cs="Arial"/>
        </w:rPr>
      </w:pPr>
    </w:p>
    <w:p w14:paraId="6D8EE275" w14:textId="77777777" w:rsidR="00785714" w:rsidRPr="00E87BDE" w:rsidRDefault="00785714" w:rsidP="00785714">
      <w:pPr>
        <w:rPr>
          <w:rFonts w:cs="Arial"/>
        </w:rPr>
      </w:pPr>
      <w:r w:rsidRPr="00E87BDE">
        <w:rPr>
          <w:rFonts w:cs="Arial"/>
        </w:rPr>
        <w:t xml:space="preserve">Within the </w:t>
      </w:r>
      <w:r w:rsidRPr="00E87BDE">
        <w:rPr>
          <w:rFonts w:cs="Arial"/>
          <w:i/>
        </w:rPr>
        <w:t>Dairy products (excluding butter and butter fats)</w:t>
      </w:r>
      <w:r w:rsidRPr="00E87BDE">
        <w:rPr>
          <w:rFonts w:cs="Arial"/>
        </w:rPr>
        <w:t xml:space="preserve"> food category, Flavoured fermented &amp; rennetted milk products (e.g. flavoured yoghurt) (Au 5%) is a major contributing food group to L-carnitine dietary intakes for Australian consumers of weight management or meal replacement product consumers aged 2 years and above.</w:t>
      </w:r>
      <w:r>
        <w:rPr>
          <w:rFonts w:cs="Arial"/>
        </w:rPr>
        <w:t xml:space="preserve"> For New Zealanders, </w:t>
      </w:r>
      <w:r w:rsidRPr="004A0269">
        <w:rPr>
          <w:rFonts w:cs="Arial"/>
        </w:rPr>
        <w:t>Liquid milk products and flavoured liquid milk</w:t>
      </w:r>
      <w:r>
        <w:rPr>
          <w:rFonts w:cs="Arial"/>
        </w:rPr>
        <w:t xml:space="preserve"> (NZ 8%) was a major contributing food group.</w:t>
      </w:r>
    </w:p>
    <w:p w14:paraId="1D9289D5" w14:textId="77777777" w:rsidR="00785714" w:rsidRPr="00E87BDE" w:rsidRDefault="00785714" w:rsidP="00785714">
      <w:pPr>
        <w:rPr>
          <w:rFonts w:cs="Arial"/>
        </w:rPr>
      </w:pPr>
    </w:p>
    <w:p w14:paraId="19BE7671" w14:textId="77777777" w:rsidR="00785714" w:rsidRPr="00E87BDE" w:rsidRDefault="00785714" w:rsidP="00785714">
      <w:pPr>
        <w:rPr>
          <w:rFonts w:cs="Arial"/>
        </w:rPr>
      </w:pPr>
      <w:r w:rsidRPr="00397B5D">
        <w:t xml:space="preserve">Ready-to-eat muesli </w:t>
      </w:r>
      <w:r w:rsidRPr="00E87BDE">
        <w:rPr>
          <w:rFonts w:cs="Arial"/>
        </w:rPr>
        <w:t xml:space="preserve">is the major contributing food group within the </w:t>
      </w:r>
      <w:r w:rsidRPr="00E87BDE">
        <w:rPr>
          <w:rFonts w:cs="Arial"/>
          <w:i/>
        </w:rPr>
        <w:t>Commercial mixed foods</w:t>
      </w:r>
      <w:r w:rsidRPr="00E87BDE">
        <w:rPr>
          <w:rFonts w:cs="Arial"/>
        </w:rPr>
        <w:t xml:space="preserve"> category</w:t>
      </w:r>
      <w:r w:rsidRPr="00397B5D">
        <w:rPr>
          <w:rFonts w:cs="Arial"/>
        </w:rPr>
        <w:t xml:space="preserve"> (Au 7%; NZ 8%)</w:t>
      </w:r>
      <w:r w:rsidRPr="00E87BDE">
        <w:t>.</w:t>
      </w:r>
      <w:r>
        <w:t xml:space="preserve"> Cereal bars was the major contributing food group within this category for New Zealanders (11%).</w:t>
      </w:r>
    </w:p>
    <w:p w14:paraId="3AD27A29" w14:textId="77777777" w:rsidR="00785714" w:rsidRPr="00397B5D" w:rsidRDefault="00785714" w:rsidP="00785714">
      <w:pPr>
        <w:rPr>
          <w:rFonts w:cs="Arial"/>
        </w:rPr>
      </w:pPr>
    </w:p>
    <w:p w14:paraId="37A537B5" w14:textId="77777777" w:rsidR="00785714" w:rsidRPr="009D6A34" w:rsidRDefault="00785714" w:rsidP="00785714">
      <w:r w:rsidRPr="00E87BDE">
        <w:rPr>
          <w:rFonts w:cs="Arial"/>
        </w:rPr>
        <w:t xml:space="preserve">Within the </w:t>
      </w:r>
      <w:r w:rsidRPr="00E87BDE">
        <w:rPr>
          <w:rFonts w:cs="Arial"/>
          <w:i/>
        </w:rPr>
        <w:t xml:space="preserve">Meat &amp; meat products </w:t>
      </w:r>
      <w:r w:rsidRPr="00E87BDE">
        <w:rPr>
          <w:rFonts w:cs="Arial"/>
        </w:rPr>
        <w:t>food category, Red meat excluding game is the major contributing food group (Au 6%; NZ </w:t>
      </w:r>
      <w:r w:rsidRPr="00397B5D">
        <w:rPr>
          <w:rFonts w:cs="Arial"/>
        </w:rPr>
        <w:t>6</w:t>
      </w:r>
      <w:r w:rsidRPr="00E87BDE">
        <w:rPr>
          <w:rFonts w:cs="Arial"/>
        </w:rPr>
        <w:t>%) to L-carnitine dietary intakes for Australian and New Zealand weight management or meal replacement product</w:t>
      </w:r>
      <w:r w:rsidRPr="009D6A34">
        <w:rPr>
          <w:rFonts w:cs="Arial"/>
        </w:rPr>
        <w:t xml:space="preserve"> consumers aged 2 years and above and 15 years and above, respectively</w:t>
      </w:r>
      <w:r w:rsidRPr="009D6A34">
        <w:t>.</w:t>
      </w:r>
    </w:p>
    <w:p w14:paraId="5856F92A" w14:textId="77777777" w:rsidR="00785714" w:rsidRPr="00397B5D" w:rsidRDefault="00785714" w:rsidP="00785714">
      <w:pPr>
        <w:rPr>
          <w:rFonts w:cs="Arial"/>
        </w:rPr>
      </w:pPr>
    </w:p>
    <w:p w14:paraId="1BA19501" w14:textId="77777777" w:rsidR="00785714" w:rsidRPr="002A7CCB" w:rsidRDefault="00785714" w:rsidP="004D1902">
      <w:pPr>
        <w:widowControl/>
        <w:rPr>
          <w:rFonts w:cs="Arial"/>
        </w:rPr>
      </w:pPr>
      <w:r w:rsidRPr="00E87BDE">
        <w:rPr>
          <w:rFonts w:cs="Arial"/>
        </w:rPr>
        <w:lastRenderedPageBreak/>
        <w:t>Plain oats (NZ </w:t>
      </w:r>
      <w:r w:rsidRPr="00397B5D">
        <w:rPr>
          <w:rFonts w:cs="Arial"/>
        </w:rPr>
        <w:t>11</w:t>
      </w:r>
      <w:r w:rsidRPr="00E87BDE">
        <w:rPr>
          <w:rFonts w:cs="Arial"/>
        </w:rPr>
        <w:t xml:space="preserve">%) is a major contributor within the </w:t>
      </w:r>
      <w:r w:rsidRPr="00E87BDE">
        <w:rPr>
          <w:rFonts w:cs="Arial"/>
          <w:i/>
        </w:rPr>
        <w:t>Cereals and cereal products</w:t>
      </w:r>
      <w:r w:rsidRPr="009D6A34">
        <w:rPr>
          <w:rFonts w:cs="Arial"/>
        </w:rPr>
        <w:t xml:space="preserve"> food category</w:t>
      </w:r>
      <w:r w:rsidRPr="00397B5D">
        <w:rPr>
          <w:rFonts w:cs="Arial"/>
        </w:rPr>
        <w:t xml:space="preserve"> for</w:t>
      </w:r>
      <w:r w:rsidRPr="009D6A34">
        <w:rPr>
          <w:rFonts w:cs="Arial"/>
        </w:rPr>
        <w:t xml:space="preserve"> New Zealand consumers </w:t>
      </w:r>
      <w:r w:rsidRPr="00397B5D">
        <w:rPr>
          <w:rFonts w:cs="Arial"/>
        </w:rPr>
        <w:t>o</w:t>
      </w:r>
      <w:r>
        <w:rPr>
          <w:rFonts w:cs="Arial"/>
        </w:rPr>
        <w:t>f</w:t>
      </w:r>
      <w:r w:rsidRPr="00397B5D">
        <w:rPr>
          <w:rFonts w:cs="Arial"/>
        </w:rPr>
        <w:t xml:space="preserve"> weight management / meal replacement products</w:t>
      </w:r>
      <w:r w:rsidRPr="00E87BDE">
        <w:rPr>
          <w:rFonts w:cs="Arial"/>
        </w:rPr>
        <w:t xml:space="preserve">. </w:t>
      </w:r>
    </w:p>
    <w:p w14:paraId="20DE0B8D" w14:textId="77777777" w:rsidR="00785714" w:rsidRPr="00EB0D98" w:rsidRDefault="00785714" w:rsidP="00785714">
      <w:pPr>
        <w:rPr>
          <w:rFonts w:cs="Arial"/>
        </w:rPr>
      </w:pPr>
    </w:p>
    <w:p w14:paraId="016DDEF1" w14:textId="72D1736B" w:rsidR="00785714" w:rsidRPr="00EB0D98" w:rsidRDefault="00785714" w:rsidP="00785714">
      <w:r w:rsidRPr="00005E43">
        <w:t xml:space="preserve">See </w:t>
      </w:r>
      <w:r w:rsidRPr="00005E43">
        <w:fldChar w:fldCharType="begin"/>
      </w:r>
      <w:r w:rsidRPr="00EB0D98">
        <w:instrText xml:space="preserve"> REF _Ref512528881 \h </w:instrText>
      </w:r>
      <w:r w:rsidRPr="00397B5D">
        <w:instrText xml:space="preserve"> \* MERGEFORMAT </w:instrText>
      </w:r>
      <w:r w:rsidRPr="00005E43">
        <w:fldChar w:fldCharType="separate"/>
      </w:r>
      <w:r w:rsidR="00872715" w:rsidRPr="00B83846">
        <w:t>Table A</w:t>
      </w:r>
      <w:r w:rsidR="00872715">
        <w:t>3.3</w:t>
      </w:r>
      <w:r w:rsidRPr="00005E43">
        <w:fldChar w:fldCharType="end"/>
      </w:r>
      <w:r w:rsidRPr="00EB0D98">
        <w:t xml:space="preserve"> and </w:t>
      </w:r>
      <w:r w:rsidRPr="00005E43">
        <w:fldChar w:fldCharType="begin"/>
      </w:r>
      <w:r w:rsidRPr="00EB0D98">
        <w:instrText xml:space="preserve"> REF _Ref512528943 \h </w:instrText>
      </w:r>
      <w:r w:rsidRPr="00397B5D">
        <w:instrText xml:space="preserve"> \* MERGEFORMAT </w:instrText>
      </w:r>
      <w:r w:rsidRPr="00005E43">
        <w:fldChar w:fldCharType="separate"/>
      </w:r>
      <w:r w:rsidR="00872715" w:rsidRPr="00B83846">
        <w:t>Table A</w:t>
      </w:r>
      <w:r w:rsidR="00872715">
        <w:t>3.7</w:t>
      </w:r>
      <w:r w:rsidRPr="00005E43">
        <w:fldChar w:fldCharType="end"/>
      </w:r>
      <w:r w:rsidRPr="00EB0D98">
        <w:t xml:space="preserve"> in</w:t>
      </w:r>
      <w:r w:rsidR="00D96C50">
        <w:t xml:space="preserve"> Appendix 3</w:t>
      </w:r>
      <w:r w:rsidRPr="00EB0D98">
        <w:t xml:space="preserve"> for further details.</w:t>
      </w:r>
    </w:p>
    <w:p w14:paraId="6F0E784C" w14:textId="77777777" w:rsidR="00785714" w:rsidRPr="00EB0D98" w:rsidRDefault="00785714" w:rsidP="00785714">
      <w:pPr>
        <w:pStyle w:val="Heading4"/>
      </w:pPr>
      <w:r w:rsidRPr="00EB0D98">
        <w:t>People who don’t eat meat</w:t>
      </w:r>
    </w:p>
    <w:p w14:paraId="1929F705" w14:textId="77777777" w:rsidR="00785714" w:rsidRPr="00005E43" w:rsidRDefault="00785714" w:rsidP="00785714">
      <w:pPr>
        <w:pStyle w:val="Heading5"/>
      </w:pPr>
      <w:r w:rsidRPr="00005E43">
        <w:t>Baseline</w:t>
      </w:r>
    </w:p>
    <w:p w14:paraId="79F6401F" w14:textId="77777777" w:rsidR="00785714" w:rsidRPr="0004727B" w:rsidRDefault="00785714" w:rsidP="00785714">
      <w:pPr>
        <w:rPr>
          <w:rFonts w:cs="Arial"/>
        </w:rPr>
      </w:pPr>
      <w:r w:rsidRPr="009D6A34">
        <w:rPr>
          <w:rFonts w:cs="Arial"/>
        </w:rPr>
        <w:t xml:space="preserve">At Baseline, </w:t>
      </w:r>
      <w:r w:rsidRPr="009D6A34">
        <w:rPr>
          <w:rFonts w:cs="Arial"/>
          <w:i/>
        </w:rPr>
        <w:t xml:space="preserve">Dairy products (excluding butter and butter fats) </w:t>
      </w:r>
      <w:r w:rsidRPr="009D6A34">
        <w:rPr>
          <w:rFonts w:cs="Arial"/>
        </w:rPr>
        <w:t>(Au 7</w:t>
      </w:r>
      <w:r w:rsidRPr="00397B5D">
        <w:rPr>
          <w:rFonts w:cs="Arial"/>
        </w:rPr>
        <w:t>5</w:t>
      </w:r>
      <w:r w:rsidRPr="009D6A34">
        <w:rPr>
          <w:rFonts w:cs="Arial"/>
        </w:rPr>
        <w:t xml:space="preserve">%; NZ 75%), and </w:t>
      </w:r>
      <w:r w:rsidRPr="009D6A34">
        <w:rPr>
          <w:rFonts w:cs="Arial"/>
          <w:i/>
        </w:rPr>
        <w:t>Fruit and vegetables, including fungi, nuts, seeds, herbs, spices</w:t>
      </w:r>
      <w:r w:rsidRPr="009D6A34">
        <w:rPr>
          <w:rFonts w:cs="Arial"/>
        </w:rPr>
        <w:t xml:space="preserve"> (Au </w:t>
      </w:r>
      <w:r w:rsidRPr="00397B5D">
        <w:rPr>
          <w:rFonts w:cs="Arial"/>
        </w:rPr>
        <w:t>1</w:t>
      </w:r>
      <w:r>
        <w:rPr>
          <w:rFonts w:cs="Arial"/>
        </w:rPr>
        <w:t>1</w:t>
      </w:r>
      <w:r w:rsidRPr="009D6A34">
        <w:rPr>
          <w:rFonts w:cs="Arial"/>
        </w:rPr>
        <w:t>%; NZ 11%) are the major contributing food categories to L-carnitine dietary intakes for Australians</w:t>
      </w:r>
      <w:r w:rsidRPr="00BB4775">
        <w:rPr>
          <w:rFonts w:cs="Arial"/>
        </w:rPr>
        <w:t xml:space="preserve"> aged 2 years and above and New Zealanders aged 15 years and above who </w:t>
      </w:r>
      <w:r w:rsidRPr="002A7CCB">
        <w:rPr>
          <w:rFonts w:cs="Arial"/>
        </w:rPr>
        <w:t>did not consume meat on the day(s) of the NNSs</w:t>
      </w:r>
      <w:r w:rsidRPr="0004727B">
        <w:rPr>
          <w:rFonts w:cs="Arial"/>
        </w:rPr>
        <w:t>.</w:t>
      </w:r>
    </w:p>
    <w:p w14:paraId="7706E623" w14:textId="77777777" w:rsidR="00785714" w:rsidRPr="00397B5D" w:rsidRDefault="00785714" w:rsidP="00785714">
      <w:pPr>
        <w:rPr>
          <w:rFonts w:cs="Arial"/>
        </w:rPr>
      </w:pPr>
    </w:p>
    <w:p w14:paraId="5EB7B6BD" w14:textId="77777777" w:rsidR="00785714" w:rsidRPr="00BB4775" w:rsidRDefault="00785714" w:rsidP="00785714">
      <w:pPr>
        <w:rPr>
          <w:rFonts w:cs="Arial"/>
        </w:rPr>
      </w:pPr>
      <w:r w:rsidRPr="009D6A34">
        <w:rPr>
          <w:rFonts w:cs="Arial"/>
        </w:rPr>
        <w:t xml:space="preserve">Within the </w:t>
      </w:r>
      <w:r w:rsidRPr="009D6A34">
        <w:rPr>
          <w:rFonts w:cs="Arial"/>
          <w:i/>
        </w:rPr>
        <w:t>Dairy products (excluding butter and butter fats)</w:t>
      </w:r>
      <w:r w:rsidRPr="009D6A34">
        <w:rPr>
          <w:rFonts w:cs="Arial"/>
        </w:rPr>
        <w:t xml:space="preserve"> food category, Plain milk </w:t>
      </w:r>
      <w:r w:rsidRPr="00BB4775">
        <w:rPr>
          <w:rFonts w:cs="Arial"/>
        </w:rPr>
        <w:t>is the major contributing food group (Au </w:t>
      </w:r>
      <w:r w:rsidRPr="00397B5D">
        <w:rPr>
          <w:rFonts w:cs="Arial"/>
        </w:rPr>
        <w:t>6</w:t>
      </w:r>
      <w:r w:rsidRPr="009D6A34">
        <w:rPr>
          <w:rFonts w:cs="Arial"/>
        </w:rPr>
        <w:t>3%</w:t>
      </w:r>
      <w:r w:rsidRPr="00BB4775">
        <w:rPr>
          <w:rFonts w:cs="Arial"/>
        </w:rPr>
        <w:t>; NZ 4</w:t>
      </w:r>
      <w:r w:rsidRPr="00397B5D">
        <w:rPr>
          <w:rFonts w:cs="Arial"/>
        </w:rPr>
        <w:t>3</w:t>
      </w:r>
      <w:r w:rsidRPr="009D6A34">
        <w:rPr>
          <w:rFonts w:cs="Arial"/>
        </w:rPr>
        <w:t>%) to L-carnitine dietary intakes</w:t>
      </w:r>
      <w:r w:rsidRPr="00BB4775">
        <w:rPr>
          <w:rFonts w:cs="Arial"/>
        </w:rPr>
        <w:t xml:space="preserve">. </w:t>
      </w:r>
      <w:r w:rsidRPr="002A7CCB">
        <w:rPr>
          <w:rFonts w:cs="Arial"/>
        </w:rPr>
        <w:t>Milk powder (</w:t>
      </w:r>
      <w:r w:rsidRPr="009D6A34">
        <w:rPr>
          <w:rFonts w:cs="Arial"/>
        </w:rPr>
        <w:t>NZ </w:t>
      </w:r>
      <w:r w:rsidRPr="00397B5D">
        <w:rPr>
          <w:rFonts w:cs="Arial"/>
        </w:rPr>
        <w:t>10</w:t>
      </w:r>
      <w:r w:rsidRPr="009D6A34">
        <w:rPr>
          <w:rFonts w:cs="Arial"/>
        </w:rPr>
        <w:t>%), Liquid milk products &amp; flavoured liquid milk (NZ 8%)</w:t>
      </w:r>
      <w:r w:rsidRPr="00BB4775">
        <w:rPr>
          <w:rFonts w:cs="Arial"/>
        </w:rPr>
        <w:t xml:space="preserve"> and Flavoured fermented &amp; rennetted milk products (e.g. flavoured yoghurt) (</w:t>
      </w:r>
      <w:r w:rsidRPr="009D6A34">
        <w:rPr>
          <w:rFonts w:cs="Arial"/>
        </w:rPr>
        <w:t>NZ 7%) are major contributors for New Zealanders aged 15 years and above.</w:t>
      </w:r>
    </w:p>
    <w:p w14:paraId="48EA4B66" w14:textId="77777777" w:rsidR="00785714" w:rsidRPr="00EB0D98" w:rsidRDefault="00785714" w:rsidP="00785714">
      <w:pPr>
        <w:rPr>
          <w:rFonts w:cs="Arial"/>
        </w:rPr>
      </w:pPr>
    </w:p>
    <w:p w14:paraId="5F5B609E" w14:textId="49C32406" w:rsidR="00785714" w:rsidRPr="00EB0D98" w:rsidRDefault="00785714" w:rsidP="00785714">
      <w:r w:rsidRPr="00EB0D98">
        <w:t xml:space="preserve">See </w:t>
      </w:r>
      <w:r w:rsidRPr="00EB0D98">
        <w:fldChar w:fldCharType="begin"/>
      </w:r>
      <w:r w:rsidRPr="00EB0D98">
        <w:instrText xml:space="preserve"> REF _Ref512528881 \h </w:instrText>
      </w:r>
      <w:r w:rsidRPr="00397B5D">
        <w:instrText xml:space="preserve"> \* MERGEFORMAT </w:instrText>
      </w:r>
      <w:r w:rsidRPr="00EB0D98">
        <w:fldChar w:fldCharType="separate"/>
      </w:r>
      <w:r w:rsidR="00872715" w:rsidRPr="00B83846">
        <w:t>Table A</w:t>
      </w:r>
      <w:r w:rsidR="00872715">
        <w:t>3.3</w:t>
      </w:r>
      <w:r w:rsidRPr="00EB0D98">
        <w:fldChar w:fldCharType="end"/>
      </w:r>
      <w:r w:rsidRPr="00EB0D98">
        <w:t xml:space="preserve"> and </w:t>
      </w:r>
      <w:r w:rsidRPr="00EB0D98">
        <w:fldChar w:fldCharType="begin"/>
      </w:r>
      <w:r w:rsidRPr="00EB0D98">
        <w:instrText xml:space="preserve"> REF _Ref512528943 \h </w:instrText>
      </w:r>
      <w:r w:rsidRPr="00397B5D">
        <w:instrText xml:space="preserve"> \* MERGEFORMAT </w:instrText>
      </w:r>
      <w:r w:rsidRPr="00EB0D98">
        <w:fldChar w:fldCharType="separate"/>
      </w:r>
      <w:r w:rsidR="00872715" w:rsidRPr="00B83846">
        <w:t>Table A</w:t>
      </w:r>
      <w:r w:rsidR="00872715">
        <w:t>3.7</w:t>
      </w:r>
      <w:r w:rsidRPr="00EB0D98">
        <w:fldChar w:fldCharType="end"/>
      </w:r>
      <w:r w:rsidRPr="00EB0D98">
        <w:t xml:space="preserve"> in</w:t>
      </w:r>
      <w:r w:rsidR="00D96C50">
        <w:t xml:space="preserve"> Appendix 3</w:t>
      </w:r>
      <w:r w:rsidRPr="00EB0D98">
        <w:t xml:space="preserve"> for further details.</w:t>
      </w:r>
    </w:p>
    <w:p w14:paraId="4F968210" w14:textId="77777777" w:rsidR="00785714" w:rsidRPr="00005E43" w:rsidRDefault="00785714" w:rsidP="00785714">
      <w:pPr>
        <w:pStyle w:val="Heading5"/>
      </w:pPr>
      <w:r w:rsidRPr="00005E43">
        <w:t>Sports food increase scenario</w:t>
      </w:r>
    </w:p>
    <w:p w14:paraId="5C087288" w14:textId="77777777" w:rsidR="00785714" w:rsidRPr="0004727B" w:rsidRDefault="00785714" w:rsidP="00785714">
      <w:pPr>
        <w:rPr>
          <w:rFonts w:cs="Arial"/>
        </w:rPr>
      </w:pPr>
      <w:r w:rsidRPr="002A7CCB">
        <w:rPr>
          <w:rFonts w:cs="Arial"/>
        </w:rPr>
        <w:t xml:space="preserve">Under the </w:t>
      </w:r>
      <w:r w:rsidRPr="002A7CCB">
        <w:rPr>
          <w:rFonts w:cs="Arial"/>
          <w:i/>
          <w:lang w:val="en-AU"/>
        </w:rPr>
        <w:t>Sports food increase</w:t>
      </w:r>
      <w:r w:rsidRPr="002A7CCB">
        <w:rPr>
          <w:rFonts w:cs="Arial"/>
          <w:lang w:val="en-AU"/>
        </w:rPr>
        <w:t xml:space="preserve"> scenario</w:t>
      </w:r>
      <w:r w:rsidRPr="002A7CCB">
        <w:rPr>
          <w:rFonts w:cs="Arial"/>
        </w:rPr>
        <w:t xml:space="preserve">, </w:t>
      </w:r>
      <w:r w:rsidRPr="002A7CCB">
        <w:rPr>
          <w:rFonts w:cs="Arial"/>
          <w:i/>
        </w:rPr>
        <w:t xml:space="preserve">Dairy products (excluding butter and butter fats) </w:t>
      </w:r>
      <w:r w:rsidRPr="002A7CCB">
        <w:rPr>
          <w:rFonts w:cs="Arial"/>
        </w:rPr>
        <w:t>(Au 7</w:t>
      </w:r>
      <w:r w:rsidRPr="00397B5D">
        <w:rPr>
          <w:rFonts w:cs="Arial"/>
        </w:rPr>
        <w:t>5</w:t>
      </w:r>
      <w:r w:rsidRPr="002A7CCB">
        <w:rPr>
          <w:rFonts w:cs="Arial"/>
        </w:rPr>
        <w:t xml:space="preserve">%; NZ 75%), and </w:t>
      </w:r>
      <w:r w:rsidRPr="002A7CCB">
        <w:rPr>
          <w:rFonts w:cs="Arial"/>
          <w:i/>
        </w:rPr>
        <w:t>Fruit and vegetables, including fungi, nuts, seeds, herbs, spices</w:t>
      </w:r>
      <w:r w:rsidRPr="002A7CCB">
        <w:rPr>
          <w:rFonts w:cs="Arial"/>
        </w:rPr>
        <w:t xml:space="preserve"> (Au </w:t>
      </w:r>
      <w:r w:rsidRPr="00EF6549">
        <w:rPr>
          <w:rFonts w:cs="Arial"/>
        </w:rPr>
        <w:t>11</w:t>
      </w:r>
      <w:r w:rsidRPr="002A7CCB">
        <w:rPr>
          <w:rFonts w:cs="Arial"/>
        </w:rPr>
        <w:t xml:space="preserve">%; NZ 11%) are the major contributing food categories to L-carnitine dietary intakes for Australians aged 2 years and above and New Zealanders aged 15 years and above who did not consume meat on the day(s) of the NNSs. This is the same as at </w:t>
      </w:r>
      <w:r w:rsidRPr="002A7CCB">
        <w:rPr>
          <w:rFonts w:cs="Arial"/>
          <w:i/>
        </w:rPr>
        <w:t>Baseline</w:t>
      </w:r>
      <w:r w:rsidRPr="0004727B">
        <w:rPr>
          <w:rFonts w:cs="Arial"/>
        </w:rPr>
        <w:t>.</w:t>
      </w:r>
    </w:p>
    <w:p w14:paraId="4B1EB9A0" w14:textId="77777777" w:rsidR="00785714" w:rsidRPr="0004727B" w:rsidRDefault="00785714" w:rsidP="00785714">
      <w:pPr>
        <w:rPr>
          <w:rFonts w:cs="Arial"/>
        </w:rPr>
      </w:pPr>
    </w:p>
    <w:p w14:paraId="74C41061" w14:textId="77777777" w:rsidR="00785714" w:rsidRPr="0004727B" w:rsidRDefault="00785714" w:rsidP="00785714">
      <w:pPr>
        <w:rPr>
          <w:rFonts w:cs="Arial"/>
        </w:rPr>
      </w:pPr>
      <w:r w:rsidRPr="00E134BA">
        <w:rPr>
          <w:rFonts w:cs="Arial"/>
        </w:rPr>
        <w:t xml:space="preserve">Within the </w:t>
      </w:r>
      <w:r w:rsidRPr="00E134BA">
        <w:rPr>
          <w:rFonts w:cs="Arial"/>
          <w:i/>
        </w:rPr>
        <w:t>Dairy products (excluding butter and butter fats)</w:t>
      </w:r>
      <w:r w:rsidRPr="00EF6549">
        <w:rPr>
          <w:rFonts w:cs="Arial"/>
        </w:rPr>
        <w:t xml:space="preserve"> food category, Plain milk is the major contributing food group (Au 6</w:t>
      </w:r>
      <w:r w:rsidRPr="002A7CCB">
        <w:rPr>
          <w:rFonts w:cs="Arial"/>
        </w:rPr>
        <w:t>3%; NZ 4</w:t>
      </w:r>
      <w:r w:rsidRPr="00EF6549">
        <w:rPr>
          <w:rFonts w:cs="Arial"/>
        </w:rPr>
        <w:t>3</w:t>
      </w:r>
      <w:r w:rsidRPr="002A7CCB">
        <w:rPr>
          <w:rFonts w:cs="Arial"/>
        </w:rPr>
        <w:t>%) to L-carnitine dietary intakes. Milk powder (NZ </w:t>
      </w:r>
      <w:r w:rsidRPr="00EF6549">
        <w:rPr>
          <w:rFonts w:cs="Arial"/>
        </w:rPr>
        <w:t>10</w:t>
      </w:r>
      <w:r w:rsidRPr="002A7CCB">
        <w:rPr>
          <w:rFonts w:cs="Arial"/>
        </w:rPr>
        <w:t xml:space="preserve">%), Liquid milk products &amp; flavoured liquid milk (NZ 8%) and Flavoured fermented &amp; rennetted milk products (e.g. flavoured yoghurt) (NZ 7%) are major contributors for New Zealanders aged 15 years and above. This is the same as at </w:t>
      </w:r>
      <w:r w:rsidRPr="002A7CCB">
        <w:rPr>
          <w:rFonts w:cs="Arial"/>
          <w:i/>
        </w:rPr>
        <w:t>Baseline</w:t>
      </w:r>
      <w:r w:rsidRPr="002A7CCB">
        <w:rPr>
          <w:rFonts w:cs="Arial"/>
        </w:rPr>
        <w:t>.</w:t>
      </w:r>
    </w:p>
    <w:p w14:paraId="20B5509A" w14:textId="77777777" w:rsidR="00785714" w:rsidRPr="00EB0D98" w:rsidRDefault="00785714" w:rsidP="00785714">
      <w:pPr>
        <w:rPr>
          <w:rFonts w:cs="Arial"/>
        </w:rPr>
      </w:pPr>
    </w:p>
    <w:p w14:paraId="66E1E50E" w14:textId="63E24FCB" w:rsidR="00785714" w:rsidRPr="00EB0D98" w:rsidRDefault="00785714" w:rsidP="00785714">
      <w:r w:rsidRPr="00005E43">
        <w:t xml:space="preserve">See </w:t>
      </w:r>
      <w:r w:rsidRPr="00005E43">
        <w:fldChar w:fldCharType="begin"/>
      </w:r>
      <w:r w:rsidRPr="00EB0D98">
        <w:instrText xml:space="preserve"> REF _Ref512528881 \h </w:instrText>
      </w:r>
      <w:r w:rsidRPr="00397B5D">
        <w:instrText xml:space="preserve"> \* MERGEFORMAT </w:instrText>
      </w:r>
      <w:r w:rsidRPr="00005E43">
        <w:fldChar w:fldCharType="separate"/>
      </w:r>
      <w:r w:rsidR="00872715" w:rsidRPr="00B83846">
        <w:t>Table A</w:t>
      </w:r>
      <w:r w:rsidR="00872715">
        <w:t>3.3</w:t>
      </w:r>
      <w:r w:rsidRPr="00005E43">
        <w:fldChar w:fldCharType="end"/>
      </w:r>
      <w:r w:rsidRPr="00EB0D98">
        <w:t xml:space="preserve"> and </w:t>
      </w:r>
      <w:r w:rsidRPr="00005E43">
        <w:fldChar w:fldCharType="begin"/>
      </w:r>
      <w:r w:rsidRPr="00EB0D98">
        <w:instrText xml:space="preserve"> REF _Ref512528943 \h </w:instrText>
      </w:r>
      <w:r w:rsidRPr="00397B5D">
        <w:instrText xml:space="preserve"> \* MERGEFORMAT </w:instrText>
      </w:r>
      <w:r w:rsidRPr="00005E43">
        <w:fldChar w:fldCharType="separate"/>
      </w:r>
      <w:r w:rsidR="00872715" w:rsidRPr="00B83846">
        <w:t>Table A</w:t>
      </w:r>
      <w:r w:rsidR="00872715">
        <w:t>3.7</w:t>
      </w:r>
      <w:r w:rsidRPr="00005E43">
        <w:fldChar w:fldCharType="end"/>
      </w:r>
      <w:r w:rsidRPr="00EB0D98">
        <w:t xml:space="preserve"> in</w:t>
      </w:r>
      <w:r w:rsidR="00D96C50" w:rsidRPr="00D96C50">
        <w:t xml:space="preserve"> Appendix 3</w:t>
      </w:r>
      <w:r w:rsidRPr="00EB0D98">
        <w:t xml:space="preserve"> for further details.</w:t>
      </w:r>
    </w:p>
    <w:p w14:paraId="031D445F" w14:textId="77777777" w:rsidR="00785714" w:rsidRPr="00005E43" w:rsidRDefault="00785714" w:rsidP="00785714">
      <w:pPr>
        <w:pStyle w:val="Heading5"/>
      </w:pPr>
      <w:r w:rsidRPr="00005E43">
        <w:t>Consumer behaviour scenario</w:t>
      </w:r>
    </w:p>
    <w:p w14:paraId="14D4B4C6" w14:textId="77777777" w:rsidR="00785714" w:rsidRPr="00E134BA" w:rsidRDefault="00785714" w:rsidP="00785714">
      <w:pPr>
        <w:rPr>
          <w:rFonts w:cs="Arial"/>
        </w:rPr>
      </w:pPr>
      <w:r w:rsidRPr="0004727B">
        <w:rPr>
          <w:rFonts w:cs="Arial"/>
        </w:rPr>
        <w:t xml:space="preserve">The food categories that contribute to L-carnitine dietary intakes change under the </w:t>
      </w:r>
      <w:r w:rsidRPr="0004727B">
        <w:rPr>
          <w:rFonts w:cs="Arial"/>
          <w:i/>
        </w:rPr>
        <w:t>Consumer behaviour</w:t>
      </w:r>
      <w:r w:rsidRPr="0004727B">
        <w:rPr>
          <w:rFonts w:cs="Arial"/>
        </w:rPr>
        <w:t xml:space="preserve"> scenario in comparison to the </w:t>
      </w:r>
      <w:r w:rsidRPr="0004727B">
        <w:rPr>
          <w:rFonts w:cs="Arial"/>
          <w:i/>
        </w:rPr>
        <w:t>Baseline</w:t>
      </w:r>
      <w:r w:rsidRPr="00E134BA">
        <w:rPr>
          <w:rFonts w:cs="Arial"/>
        </w:rPr>
        <w:t xml:space="preserve">. </w:t>
      </w:r>
      <w:r w:rsidRPr="00E134BA">
        <w:rPr>
          <w:rFonts w:cs="Arial"/>
          <w:i/>
        </w:rPr>
        <w:t>Non-alcoholic and alcoholic beverages</w:t>
      </w:r>
      <w:r w:rsidRPr="00E134BA">
        <w:rPr>
          <w:rFonts w:cs="Arial"/>
        </w:rPr>
        <w:t xml:space="preserve"> (Au </w:t>
      </w:r>
      <w:r w:rsidRPr="00EF6549">
        <w:rPr>
          <w:rFonts w:cs="Arial"/>
        </w:rPr>
        <w:t xml:space="preserve">30%; NZ 43%) is the major contributing food category for Australians aged 2 years and above and New Zealanders aged 15 years and above who didn’t eat meat on the day(s) of the NNSs, followed by </w:t>
      </w:r>
      <w:r w:rsidRPr="00EF6549">
        <w:rPr>
          <w:rFonts w:cs="Arial"/>
          <w:i/>
        </w:rPr>
        <w:t>Commercial mixed foods</w:t>
      </w:r>
      <w:r w:rsidRPr="00EF6549">
        <w:rPr>
          <w:rFonts w:cs="Arial"/>
        </w:rPr>
        <w:t xml:space="preserve"> (Au 32%; NZ 17%), </w:t>
      </w:r>
      <w:r w:rsidRPr="00EF6549">
        <w:rPr>
          <w:rFonts w:cs="Arial"/>
          <w:i/>
        </w:rPr>
        <w:t>Dairy products (excluding butter and butter</w:t>
      </w:r>
      <w:r w:rsidRPr="0004727B">
        <w:rPr>
          <w:rFonts w:cs="Arial"/>
          <w:i/>
        </w:rPr>
        <w:t xml:space="preserve"> fats) </w:t>
      </w:r>
      <w:r w:rsidRPr="0004727B">
        <w:rPr>
          <w:rFonts w:cs="Arial"/>
        </w:rPr>
        <w:t xml:space="preserve">(Au 17%; NZ 26%), and </w:t>
      </w:r>
      <w:r w:rsidRPr="0004727B">
        <w:rPr>
          <w:rFonts w:cs="Arial"/>
          <w:i/>
        </w:rPr>
        <w:t>Cereals and cereal products</w:t>
      </w:r>
      <w:r w:rsidRPr="0004727B">
        <w:rPr>
          <w:rFonts w:cs="Arial"/>
        </w:rPr>
        <w:t xml:space="preserve"> (Au 1</w:t>
      </w:r>
      <w:r w:rsidRPr="00E134BA">
        <w:rPr>
          <w:rFonts w:cs="Arial"/>
        </w:rPr>
        <w:t>4%; NZ 8%).</w:t>
      </w:r>
    </w:p>
    <w:p w14:paraId="3F27D59E" w14:textId="77777777" w:rsidR="00785714" w:rsidRPr="00EF6549" w:rsidRDefault="00785714" w:rsidP="00785714">
      <w:pPr>
        <w:rPr>
          <w:rFonts w:cs="Arial"/>
        </w:rPr>
      </w:pPr>
    </w:p>
    <w:p w14:paraId="763AD607" w14:textId="77777777" w:rsidR="00785714" w:rsidRPr="00E134BA" w:rsidRDefault="00785714" w:rsidP="00785714">
      <w:pPr>
        <w:rPr>
          <w:rFonts w:cs="Arial"/>
        </w:rPr>
      </w:pPr>
      <w:r w:rsidRPr="00E134BA">
        <w:rPr>
          <w:rFonts w:cs="Arial"/>
        </w:rPr>
        <w:t xml:space="preserve">Within the </w:t>
      </w:r>
      <w:r w:rsidRPr="00E134BA">
        <w:rPr>
          <w:rFonts w:cs="Arial"/>
          <w:i/>
        </w:rPr>
        <w:t>Non-alcoholic and alcoholic beverages</w:t>
      </w:r>
      <w:r w:rsidRPr="00E134BA">
        <w:rPr>
          <w:rFonts w:cs="Arial"/>
        </w:rPr>
        <w:t xml:space="preserve"> food category, Soft drinks (except intensely sweetened)</w:t>
      </w:r>
      <w:r w:rsidRPr="00E134BA">
        <w:rPr>
          <w:rFonts w:cs="Arial"/>
          <w:i/>
        </w:rPr>
        <w:t xml:space="preserve"> </w:t>
      </w:r>
      <w:r w:rsidRPr="00E134BA">
        <w:rPr>
          <w:rFonts w:cs="Arial"/>
        </w:rPr>
        <w:t>(</w:t>
      </w:r>
      <w:r w:rsidRPr="00EF6549">
        <w:rPr>
          <w:rFonts w:cs="Arial"/>
        </w:rPr>
        <w:t>Au 16%; NZ 28%), Soy beverage (Au 12%; NZ 6%) and Fruit &amp; vegetable juices &amp; fruit &amp; vegetable juice products (</w:t>
      </w:r>
      <w:r w:rsidRPr="00E134BA">
        <w:rPr>
          <w:rFonts w:cs="Arial"/>
        </w:rPr>
        <w:t>NZ 7%) are the major contributing food groups.</w:t>
      </w:r>
    </w:p>
    <w:p w14:paraId="4A31BD42" w14:textId="77777777" w:rsidR="00785714" w:rsidRPr="00EF6549" w:rsidRDefault="00785714" w:rsidP="00785714">
      <w:pPr>
        <w:rPr>
          <w:rFonts w:cs="Arial"/>
        </w:rPr>
      </w:pPr>
    </w:p>
    <w:p w14:paraId="71366A69" w14:textId="77777777" w:rsidR="00785714" w:rsidRPr="00E134BA" w:rsidRDefault="00785714" w:rsidP="004D1902">
      <w:pPr>
        <w:widowControl/>
        <w:rPr>
          <w:rFonts w:cs="Arial"/>
        </w:rPr>
      </w:pPr>
      <w:r w:rsidRPr="00EF6549">
        <w:rPr>
          <w:rFonts w:cs="Arial"/>
        </w:rPr>
        <w:lastRenderedPageBreak/>
        <w:t>Ready-</w:t>
      </w:r>
      <w:r w:rsidRPr="0004727B">
        <w:rPr>
          <w:rFonts w:cs="Arial"/>
        </w:rPr>
        <w:t>to-eat muesli (Au 19%; NZ </w:t>
      </w:r>
      <w:r w:rsidRPr="00EF6549">
        <w:rPr>
          <w:rFonts w:cs="Arial"/>
        </w:rPr>
        <w:t>9</w:t>
      </w:r>
      <w:r w:rsidRPr="0004727B">
        <w:rPr>
          <w:rFonts w:cs="Arial"/>
        </w:rPr>
        <w:t xml:space="preserve">%), and Cereal bars (Au 11%; NZ 6%) are the major contributing food groups within the </w:t>
      </w:r>
      <w:r w:rsidRPr="0004727B">
        <w:rPr>
          <w:rFonts w:cs="Arial"/>
          <w:i/>
        </w:rPr>
        <w:t xml:space="preserve">Commercial mixed foods </w:t>
      </w:r>
      <w:r w:rsidRPr="00E134BA">
        <w:rPr>
          <w:rFonts w:cs="Arial"/>
        </w:rPr>
        <w:t>food category.</w:t>
      </w:r>
    </w:p>
    <w:p w14:paraId="4F9D2B64" w14:textId="77777777" w:rsidR="00785714" w:rsidRPr="00EF6549" w:rsidRDefault="00785714" w:rsidP="00785714">
      <w:pPr>
        <w:rPr>
          <w:rFonts w:cs="Arial"/>
        </w:rPr>
      </w:pPr>
    </w:p>
    <w:p w14:paraId="5B966EDF" w14:textId="77777777" w:rsidR="00785714" w:rsidRPr="00EF6549" w:rsidRDefault="00785714" w:rsidP="00785714">
      <w:r w:rsidRPr="00E134BA">
        <w:t xml:space="preserve">Within the </w:t>
      </w:r>
      <w:r w:rsidRPr="00E134BA">
        <w:rPr>
          <w:i/>
        </w:rPr>
        <w:t>Dairy products (excluding butter and butter fats)</w:t>
      </w:r>
      <w:r w:rsidRPr="00E134BA">
        <w:t xml:space="preserve"> food category, Flavoured fermented &amp; rennetted milk products (e.g. flavoured yoghurt) (NZ </w:t>
      </w:r>
      <w:r w:rsidRPr="00EF6549">
        <w:t>10</w:t>
      </w:r>
      <w:r w:rsidRPr="00E134BA">
        <w:t>%), Liquid milk products and flavoured liquid milk (NZ 11%), and U</w:t>
      </w:r>
      <w:r w:rsidRPr="00EF6549">
        <w:t>nflavoured fermented &amp; rennetted milk products (e.g. natural/ plain yoghurt) (Au 7%</w:t>
      </w:r>
      <w:r w:rsidRPr="00E134BA">
        <w:t>) are the major contributing food group</w:t>
      </w:r>
      <w:r w:rsidRPr="00EF6549">
        <w:t>s to L-carnitine dietary intakes.</w:t>
      </w:r>
    </w:p>
    <w:p w14:paraId="35284F28" w14:textId="77777777" w:rsidR="00785714" w:rsidRPr="00EF6549" w:rsidRDefault="00785714" w:rsidP="00785714">
      <w:pPr>
        <w:rPr>
          <w:rFonts w:cs="Arial"/>
        </w:rPr>
      </w:pPr>
    </w:p>
    <w:p w14:paraId="66718BD1" w14:textId="77777777" w:rsidR="00785714" w:rsidRPr="0021451F" w:rsidRDefault="00785714" w:rsidP="00785714">
      <w:pPr>
        <w:rPr>
          <w:rFonts w:cs="Arial"/>
        </w:rPr>
      </w:pPr>
      <w:r w:rsidRPr="00E134BA">
        <w:rPr>
          <w:rFonts w:cs="Arial"/>
        </w:rPr>
        <w:t xml:space="preserve">Within the </w:t>
      </w:r>
      <w:r w:rsidRPr="00E134BA">
        <w:rPr>
          <w:rFonts w:cs="Arial"/>
          <w:i/>
        </w:rPr>
        <w:t xml:space="preserve">Cereal and cereal products </w:t>
      </w:r>
      <w:r w:rsidRPr="00E134BA">
        <w:rPr>
          <w:rFonts w:cs="Arial"/>
        </w:rPr>
        <w:t>food category, Plain oats is the major contributing food group (Au 1</w:t>
      </w:r>
      <w:r w:rsidRPr="00EF6549">
        <w:rPr>
          <w:rFonts w:cs="Arial"/>
        </w:rPr>
        <w:t>4%; NZ 8%)</w:t>
      </w:r>
      <w:r w:rsidRPr="00EF6549">
        <w:t xml:space="preserve">. </w:t>
      </w:r>
    </w:p>
    <w:p w14:paraId="2D0DCC69" w14:textId="77777777" w:rsidR="00785714" w:rsidRPr="0021451F" w:rsidRDefault="00785714" w:rsidP="00785714">
      <w:pPr>
        <w:rPr>
          <w:rFonts w:cs="Arial"/>
        </w:rPr>
      </w:pPr>
    </w:p>
    <w:p w14:paraId="056798D0" w14:textId="5610CA73" w:rsidR="00785714" w:rsidRDefault="00785714" w:rsidP="00785714">
      <w:bookmarkStart w:id="59" w:name="_Toc415041934"/>
      <w:r w:rsidRPr="00BE6F07">
        <w:t>See</w:t>
      </w:r>
      <w:r>
        <w:t xml:space="preserve"> </w:t>
      </w:r>
      <w:r>
        <w:fldChar w:fldCharType="begin"/>
      </w:r>
      <w:r>
        <w:instrText xml:space="preserve"> REF _Ref512528881 \h </w:instrText>
      </w:r>
      <w:r w:rsidR="00645604">
        <w:instrText xml:space="preserve"> \* MERGEFORMAT </w:instrText>
      </w:r>
      <w:r>
        <w:fldChar w:fldCharType="separate"/>
      </w:r>
      <w:r w:rsidR="00872715" w:rsidRPr="00B83846">
        <w:t>Table A</w:t>
      </w:r>
      <w:r w:rsidR="00872715">
        <w:t>3.</w:t>
      </w:r>
      <w:r w:rsidR="00872715">
        <w:rPr>
          <w:noProof/>
        </w:rPr>
        <w:t>3</w:t>
      </w:r>
      <w:r>
        <w:fldChar w:fldCharType="end"/>
      </w:r>
      <w:r>
        <w:t xml:space="preserve"> </w:t>
      </w:r>
      <w:r w:rsidRPr="00BE6F07">
        <w:t>and</w:t>
      </w:r>
      <w:r>
        <w:t xml:space="preserve"> </w:t>
      </w:r>
      <w:r>
        <w:fldChar w:fldCharType="begin"/>
      </w:r>
      <w:r>
        <w:instrText xml:space="preserve"> REF _Ref512528943 \h </w:instrText>
      </w:r>
      <w:r w:rsidR="00645604">
        <w:instrText xml:space="preserve"> \* MERGEFORMAT </w:instrText>
      </w:r>
      <w:r>
        <w:fldChar w:fldCharType="separate"/>
      </w:r>
      <w:r w:rsidR="00872715" w:rsidRPr="00B83846">
        <w:t>Table A</w:t>
      </w:r>
      <w:r w:rsidR="00872715">
        <w:t>3.</w:t>
      </w:r>
      <w:r w:rsidR="00872715">
        <w:rPr>
          <w:noProof/>
        </w:rPr>
        <w:t>7</w:t>
      </w:r>
      <w:r>
        <w:fldChar w:fldCharType="end"/>
      </w:r>
      <w:r>
        <w:t xml:space="preserve"> i</w:t>
      </w:r>
      <w:r w:rsidRPr="00BE6F07">
        <w:t>n</w:t>
      </w:r>
      <w:r w:rsidR="00D96C50" w:rsidRPr="00D96C50">
        <w:t xml:space="preserve"> Appendix 3</w:t>
      </w:r>
      <w:r w:rsidRPr="00BE6F07">
        <w:t xml:space="preserve"> for further details.</w:t>
      </w:r>
    </w:p>
    <w:p w14:paraId="725E0DAB" w14:textId="77777777" w:rsidR="00785714" w:rsidRPr="00730981" w:rsidRDefault="00785714" w:rsidP="00785714">
      <w:pPr>
        <w:pStyle w:val="Heading3"/>
        <w:numPr>
          <w:ilvl w:val="2"/>
          <w:numId w:val="8"/>
        </w:numPr>
      </w:pPr>
      <w:bookmarkStart w:id="60" w:name="_Toc516654667"/>
      <w:bookmarkStart w:id="61" w:name="_Toc520888229"/>
      <w:bookmarkStart w:id="62" w:name="_Toc516587276"/>
      <w:r>
        <w:t>Dietary intake</w:t>
      </w:r>
      <w:r w:rsidRPr="00730981">
        <w:t xml:space="preserve"> assessment </w:t>
      </w:r>
      <w:r>
        <w:t>summary</w:t>
      </w:r>
      <w:bookmarkEnd w:id="60"/>
      <w:bookmarkEnd w:id="61"/>
    </w:p>
    <w:p w14:paraId="1D3F5C79" w14:textId="2EB1EE1E" w:rsidR="00785714" w:rsidRDefault="00785714" w:rsidP="00785714">
      <w:r w:rsidRPr="002C67FD">
        <w:t xml:space="preserve">At </w:t>
      </w:r>
      <w:r w:rsidRPr="002C67FD">
        <w:rPr>
          <w:i/>
        </w:rPr>
        <w:t>Baseline</w:t>
      </w:r>
      <w:r w:rsidRPr="002C67FD">
        <w:t xml:space="preserve">, estimated dietary intakes of </w:t>
      </w:r>
      <w:r w:rsidRPr="00061C3C">
        <w:t>L-carnitine for</w:t>
      </w:r>
      <w:r>
        <w:t xml:space="preserve"> the</w:t>
      </w:r>
      <w:r w:rsidRPr="00061C3C">
        <w:t xml:space="preserve"> Australian </w:t>
      </w:r>
      <w:r>
        <w:t xml:space="preserve">and New Zealander general and specific population groups examined </w:t>
      </w:r>
      <w:r w:rsidRPr="002C67FD">
        <w:t xml:space="preserve">are </w:t>
      </w:r>
      <w:r>
        <w:t>17</w:t>
      </w:r>
      <w:r w:rsidRPr="002C67FD">
        <w:t>–</w:t>
      </w:r>
      <w:r>
        <w:t>137 </w:t>
      </w:r>
      <w:r w:rsidRPr="002C67FD">
        <w:t xml:space="preserve">mg/day </w:t>
      </w:r>
      <w:r>
        <w:t xml:space="preserve">at the mean </w:t>
      </w:r>
      <w:r w:rsidRPr="002C67FD">
        <w:t xml:space="preserve">and </w:t>
      </w:r>
      <w:r>
        <w:t>33</w:t>
      </w:r>
      <w:r w:rsidRPr="002C67FD">
        <w:t>–</w:t>
      </w:r>
      <w:r>
        <w:t>268</w:t>
      </w:r>
      <w:r w:rsidRPr="002C67FD">
        <w:t xml:space="preserve"> mg/day </w:t>
      </w:r>
      <w:r>
        <w:t>at the P90</w:t>
      </w:r>
      <w:r w:rsidRPr="002C67FD">
        <w:t xml:space="preserve">. </w:t>
      </w:r>
      <w:r>
        <w:t xml:space="preserve">The lowest dietary intakes of L-carnitine at </w:t>
      </w:r>
      <w:r>
        <w:rPr>
          <w:i/>
        </w:rPr>
        <w:t>Baseline</w:t>
      </w:r>
      <w:r>
        <w:t xml:space="preserve"> are for New Zealand consumers aged 15 years and above who don’t eat meat.</w:t>
      </w:r>
    </w:p>
    <w:p w14:paraId="22CB5178" w14:textId="77777777" w:rsidR="00785714" w:rsidRPr="002C67FD" w:rsidRDefault="00785714" w:rsidP="00785714"/>
    <w:p w14:paraId="6D013551" w14:textId="7E01E481" w:rsidR="00785714" w:rsidRPr="00A53FC5" w:rsidRDefault="00785714" w:rsidP="00785714">
      <w:r>
        <w:t>Under</w:t>
      </w:r>
      <w:r w:rsidRPr="0095321F">
        <w:t xml:space="preserve"> the </w:t>
      </w:r>
      <w:r w:rsidRPr="008033EB">
        <w:rPr>
          <w:i/>
        </w:rPr>
        <w:t>Sport</w:t>
      </w:r>
      <w:r w:rsidRPr="00FD2D71">
        <w:rPr>
          <w:i/>
        </w:rPr>
        <w:t>s food increase</w:t>
      </w:r>
      <w:r w:rsidRPr="00077C33">
        <w:t xml:space="preserve"> scenario</w:t>
      </w:r>
      <w:r w:rsidRPr="00C86BD8">
        <w:t>,</w:t>
      </w:r>
      <w:r>
        <w:t xml:space="preserve"> </w:t>
      </w:r>
      <w:r w:rsidRPr="002C67FD">
        <w:t xml:space="preserve">estimated dietary intakes of </w:t>
      </w:r>
      <w:r w:rsidRPr="00061C3C">
        <w:t>L-carnitine for</w:t>
      </w:r>
      <w:r>
        <w:t xml:space="preserve"> the</w:t>
      </w:r>
      <w:r w:rsidRPr="00061C3C">
        <w:t xml:space="preserve"> Australian </w:t>
      </w:r>
      <w:r>
        <w:t xml:space="preserve">and New Zealander general and specific population groups examined </w:t>
      </w:r>
      <w:r w:rsidRPr="002C67FD">
        <w:t xml:space="preserve">are </w:t>
      </w:r>
      <w:r w:rsidR="004D1902">
        <w:br/>
      </w:r>
      <w:r>
        <w:t>17</w:t>
      </w:r>
      <w:r w:rsidR="004D1902">
        <w:t>–</w:t>
      </w:r>
      <w:r>
        <w:t>378 </w:t>
      </w:r>
      <w:r w:rsidRPr="002C67FD">
        <w:t xml:space="preserve">mg/day </w:t>
      </w:r>
      <w:r>
        <w:t xml:space="preserve">at the mean </w:t>
      </w:r>
      <w:r w:rsidRPr="002C67FD">
        <w:t xml:space="preserve">and </w:t>
      </w:r>
      <w:r>
        <w:t>33</w:t>
      </w:r>
      <w:r w:rsidRPr="002C67FD">
        <w:t>–</w:t>
      </w:r>
      <w:r>
        <w:t>801</w:t>
      </w:r>
      <w:r w:rsidRPr="002C67FD">
        <w:t xml:space="preserve"> mg/day </w:t>
      </w:r>
      <w:r>
        <w:t>at the P90</w:t>
      </w:r>
      <w:r w:rsidRPr="002C67FD">
        <w:t xml:space="preserve">. </w:t>
      </w:r>
      <w:r>
        <w:t>E</w:t>
      </w:r>
      <w:r w:rsidRPr="00C86BD8">
        <w:t xml:space="preserve">stimated mean and P90 consumer dietary </w:t>
      </w:r>
      <w:r w:rsidRPr="00B67959">
        <w:t>intakes of</w:t>
      </w:r>
      <w:r>
        <w:t xml:space="preserve"> L-carnitine</w:t>
      </w:r>
      <w:r w:rsidRPr="002C67FD">
        <w:t xml:space="preserve"> increase by 0–</w:t>
      </w:r>
      <w:r w:rsidRPr="00E00975">
        <w:t>2</w:t>
      </w:r>
      <w:r w:rsidRPr="002C67FD">
        <w:t xml:space="preserve">3% </w:t>
      </w:r>
      <w:r>
        <w:t xml:space="preserve">and </w:t>
      </w:r>
      <w:r w:rsidRPr="00E00975">
        <w:t>0</w:t>
      </w:r>
      <w:r w:rsidRPr="002C67FD">
        <w:t>–</w:t>
      </w:r>
      <w:r w:rsidRPr="00E00975">
        <w:t>3</w:t>
      </w:r>
      <w:r w:rsidRPr="002C67FD">
        <w:t xml:space="preserve">% from </w:t>
      </w:r>
      <w:r w:rsidRPr="002C67FD">
        <w:rPr>
          <w:i/>
        </w:rPr>
        <w:t>Baseline</w:t>
      </w:r>
      <w:r>
        <w:t xml:space="preserve"> for </w:t>
      </w:r>
      <w:r w:rsidRPr="0009360C">
        <w:t>Australian</w:t>
      </w:r>
      <w:r>
        <w:t xml:space="preserve"> and New Zealand</w:t>
      </w:r>
      <w:r w:rsidRPr="0009360C">
        <w:t xml:space="preserve"> general age groups </w:t>
      </w:r>
      <w:r w:rsidRPr="00724C75">
        <w:t xml:space="preserve">aged 2 years and above </w:t>
      </w:r>
      <w:r>
        <w:t>and 5 years and above, respectively</w:t>
      </w:r>
      <w:r w:rsidRPr="002C67FD">
        <w:t>.</w:t>
      </w:r>
      <w:r>
        <w:t xml:space="preserve"> For Australian and New Zealand elderly aged 71 years and above, dietary L-carnitine intakes increase by </w:t>
      </w:r>
      <w:r w:rsidRPr="0095321F">
        <w:t>0–</w:t>
      </w:r>
      <w:r w:rsidRPr="00E00975">
        <w:t>8</w:t>
      </w:r>
      <w:r w:rsidRPr="0095321F">
        <w:t>%</w:t>
      </w:r>
      <w:r w:rsidRPr="00A53FC5">
        <w:t xml:space="preserve"> </w:t>
      </w:r>
      <w:r w:rsidRPr="002C67FD">
        <w:t xml:space="preserve">from </w:t>
      </w:r>
      <w:r w:rsidRPr="002C67FD">
        <w:rPr>
          <w:i/>
        </w:rPr>
        <w:t>Baseline</w:t>
      </w:r>
      <w:r>
        <w:t xml:space="preserve">. For </w:t>
      </w:r>
      <w:r w:rsidRPr="00E00975">
        <w:t>sports food/beverage consumers</w:t>
      </w:r>
      <w:r>
        <w:t xml:space="preserve">, dietary L-carnitine intakes increase by </w:t>
      </w:r>
      <w:r w:rsidRPr="00E00975">
        <w:t>100</w:t>
      </w:r>
      <w:r w:rsidRPr="00510B28">
        <w:t>–</w:t>
      </w:r>
      <w:r w:rsidRPr="00E00975">
        <w:t>220</w:t>
      </w:r>
      <w:r w:rsidRPr="00510B28">
        <w:t xml:space="preserve">% from </w:t>
      </w:r>
      <w:r w:rsidRPr="00510B28">
        <w:rPr>
          <w:i/>
        </w:rPr>
        <w:t>Baseline</w:t>
      </w:r>
      <w:r>
        <w:t xml:space="preserve">, with </w:t>
      </w:r>
      <w:r w:rsidRPr="00077C33">
        <w:t>weight management or meal replacement product consumers</w:t>
      </w:r>
      <w:r>
        <w:t xml:space="preserve"> having </w:t>
      </w:r>
      <w:r w:rsidRPr="00E00975">
        <w:t>55</w:t>
      </w:r>
      <w:r w:rsidRPr="00077C33">
        <w:t>–</w:t>
      </w:r>
      <w:r w:rsidRPr="00E00975">
        <w:t>250</w:t>
      </w:r>
      <w:r w:rsidRPr="00077C33">
        <w:t>%</w:t>
      </w:r>
      <w:r>
        <w:t xml:space="preserve"> increases</w:t>
      </w:r>
      <w:r w:rsidRPr="00077C33">
        <w:t xml:space="preserve"> from </w:t>
      </w:r>
      <w:r w:rsidRPr="00077C33">
        <w:rPr>
          <w:i/>
        </w:rPr>
        <w:t>Baseline</w:t>
      </w:r>
      <w:r>
        <w:t xml:space="preserve">. </w:t>
      </w:r>
      <w:r w:rsidRPr="00C94C00">
        <w:t>L-carnitine dietary intakes increase by approximately 0–</w:t>
      </w:r>
      <w:r w:rsidRPr="00D67A8C">
        <w:t>50</w:t>
      </w:r>
      <w:r w:rsidRPr="00C94C00">
        <w:t xml:space="preserve">% from </w:t>
      </w:r>
      <w:r w:rsidRPr="00C94C00">
        <w:rPr>
          <w:i/>
        </w:rPr>
        <w:t>Baseline</w:t>
      </w:r>
      <w:r>
        <w:t xml:space="preserve"> for people who don’t eat meat. The lowest dietary intakes of L-carnitine under the </w:t>
      </w:r>
      <w:r>
        <w:rPr>
          <w:i/>
        </w:rPr>
        <w:t>Sports food increase</w:t>
      </w:r>
      <w:r>
        <w:t xml:space="preserve"> scenario are for New Zealand consumers aged 15 years and above who don’t eat meat.</w:t>
      </w:r>
    </w:p>
    <w:p w14:paraId="626764A0" w14:textId="77777777" w:rsidR="00785714" w:rsidRPr="002C67FD" w:rsidRDefault="00785714" w:rsidP="00785714"/>
    <w:p w14:paraId="338C463C" w14:textId="3147C353" w:rsidR="00785714" w:rsidRPr="002C67FD" w:rsidRDefault="00785714" w:rsidP="00785714">
      <w:r>
        <w:t>Under</w:t>
      </w:r>
      <w:r w:rsidRPr="0095321F">
        <w:t xml:space="preserve"> the </w:t>
      </w:r>
      <w:r w:rsidRPr="0095321F">
        <w:rPr>
          <w:i/>
        </w:rPr>
        <w:t>Consumer behaviour</w:t>
      </w:r>
      <w:r w:rsidRPr="0095321F">
        <w:t xml:space="preserve"> scenario</w:t>
      </w:r>
      <w:r w:rsidRPr="00C86BD8">
        <w:t xml:space="preserve">, </w:t>
      </w:r>
      <w:r w:rsidRPr="002C67FD">
        <w:t xml:space="preserve">estimated dietary intakes of </w:t>
      </w:r>
      <w:r w:rsidRPr="00061C3C">
        <w:t>L-carnitine for</w:t>
      </w:r>
      <w:r>
        <w:t xml:space="preserve"> the</w:t>
      </w:r>
      <w:r w:rsidRPr="00061C3C">
        <w:t xml:space="preserve"> Australian </w:t>
      </w:r>
      <w:r>
        <w:t xml:space="preserve">and New Zealander general and specific population groups examined </w:t>
      </w:r>
      <w:r w:rsidRPr="002C67FD">
        <w:t xml:space="preserve">are </w:t>
      </w:r>
      <w:r w:rsidR="004D1902">
        <w:br/>
      </w:r>
      <w:r>
        <w:t>288</w:t>
      </w:r>
      <w:r w:rsidRPr="002C67FD">
        <w:t>–</w:t>
      </w:r>
      <w:r>
        <w:t>806 </w:t>
      </w:r>
      <w:r w:rsidRPr="002C67FD">
        <w:t xml:space="preserve">mg/day </w:t>
      </w:r>
      <w:r>
        <w:t xml:space="preserve">at the mean </w:t>
      </w:r>
      <w:r w:rsidRPr="002C67FD">
        <w:t xml:space="preserve">and </w:t>
      </w:r>
      <w:r>
        <w:t>546</w:t>
      </w:r>
      <w:r w:rsidRPr="002C67FD">
        <w:t>–</w:t>
      </w:r>
      <w:r>
        <w:t>1,567</w:t>
      </w:r>
      <w:r w:rsidRPr="002C67FD">
        <w:t xml:space="preserve"> mg/day </w:t>
      </w:r>
      <w:r>
        <w:t>at the P90</w:t>
      </w:r>
      <w:r w:rsidRPr="002C67FD">
        <w:t xml:space="preserve">. </w:t>
      </w:r>
      <w:r>
        <w:t>E</w:t>
      </w:r>
      <w:r w:rsidRPr="00C86BD8">
        <w:t xml:space="preserve">stimated mean and P90 consumer dietary </w:t>
      </w:r>
      <w:r w:rsidRPr="00B67959">
        <w:t>intakes of</w:t>
      </w:r>
      <w:r>
        <w:t xml:space="preserve"> L-carnitine</w:t>
      </w:r>
      <w:r w:rsidRPr="002C67FD">
        <w:t xml:space="preserve"> increase by </w:t>
      </w:r>
      <w:r w:rsidRPr="00E00975">
        <w:t>53</w:t>
      </w:r>
      <w:r w:rsidRPr="002C67FD">
        <w:t xml:space="preserve">0–690% </w:t>
      </w:r>
      <w:r>
        <w:t xml:space="preserve">and </w:t>
      </w:r>
      <w:r w:rsidRPr="00E00975">
        <w:t>570</w:t>
      </w:r>
      <w:r w:rsidRPr="002C67FD">
        <w:t>–6</w:t>
      </w:r>
      <w:r w:rsidRPr="00E00975">
        <w:t>6</w:t>
      </w:r>
      <w:r w:rsidRPr="002C67FD">
        <w:t>0%</w:t>
      </w:r>
      <w:r>
        <w:t xml:space="preserve"> </w:t>
      </w:r>
      <w:r w:rsidRPr="002C67FD">
        <w:t xml:space="preserve">from </w:t>
      </w:r>
      <w:r w:rsidRPr="002C67FD">
        <w:rPr>
          <w:i/>
        </w:rPr>
        <w:t>Baseline</w:t>
      </w:r>
      <w:r>
        <w:t xml:space="preserve"> for </w:t>
      </w:r>
      <w:r w:rsidRPr="0009360C">
        <w:t xml:space="preserve">Australian </w:t>
      </w:r>
      <w:r>
        <w:t xml:space="preserve">and New Zealand </w:t>
      </w:r>
      <w:r w:rsidRPr="0009360C">
        <w:t xml:space="preserve">general age groups </w:t>
      </w:r>
      <w:r w:rsidRPr="00724C75">
        <w:t xml:space="preserve">aged 2 years and above </w:t>
      </w:r>
      <w:r>
        <w:t>5 years and above, respectively</w:t>
      </w:r>
      <w:r w:rsidRPr="002C67FD">
        <w:t>.</w:t>
      </w:r>
      <w:r>
        <w:t xml:space="preserve"> For Australian and New Zealand elderly aged 71 years and above, the increase is </w:t>
      </w:r>
      <w:r w:rsidRPr="00E00975">
        <w:t>400</w:t>
      </w:r>
      <w:r w:rsidRPr="0095321F">
        <w:t>–</w:t>
      </w:r>
      <w:r w:rsidRPr="00E00975">
        <w:t>430</w:t>
      </w:r>
      <w:r w:rsidRPr="0095321F">
        <w:t xml:space="preserve">% from </w:t>
      </w:r>
      <w:r w:rsidRPr="0095321F">
        <w:rPr>
          <w:i/>
        </w:rPr>
        <w:t>Baseline</w:t>
      </w:r>
      <w:r w:rsidRPr="008033EB">
        <w:t>.</w:t>
      </w:r>
      <w:r>
        <w:t xml:space="preserve"> The increase in L-carnitine dietary intakes from </w:t>
      </w:r>
      <w:r>
        <w:rPr>
          <w:i/>
        </w:rPr>
        <w:t>Baseline</w:t>
      </w:r>
      <w:r>
        <w:t xml:space="preserve"> is similar for sports food/beverage consumers (</w:t>
      </w:r>
      <w:r w:rsidRPr="00E00975">
        <w:t>480</w:t>
      </w:r>
      <w:r w:rsidRPr="00510B28">
        <w:t>–</w:t>
      </w:r>
      <w:r w:rsidRPr="00E00975">
        <w:t>560</w:t>
      </w:r>
      <w:r w:rsidRPr="00510B28">
        <w:t>%</w:t>
      </w:r>
      <w:r>
        <w:t>) and weight management or meal replacement product consumers (</w:t>
      </w:r>
      <w:r w:rsidRPr="00C94C00">
        <w:t>420–</w:t>
      </w:r>
      <w:r w:rsidRPr="00E00975">
        <w:t>58</w:t>
      </w:r>
      <w:r>
        <w:t xml:space="preserve">0%). The largest percentage increase in L-carnitine dietary intakes from </w:t>
      </w:r>
      <w:r>
        <w:rPr>
          <w:i/>
        </w:rPr>
        <w:t>Baseline</w:t>
      </w:r>
      <w:r>
        <w:t xml:space="preserve"> is for people who don’t eat meat </w:t>
      </w:r>
      <w:r w:rsidR="004D1902">
        <w:br/>
      </w:r>
      <w:r>
        <w:t>(</w:t>
      </w:r>
      <w:r w:rsidRPr="00C94C00">
        <w:t>1,</w:t>
      </w:r>
      <w:r w:rsidRPr="00D67A8C">
        <w:t>260</w:t>
      </w:r>
      <w:r w:rsidRPr="00C94C00">
        <w:t>–</w:t>
      </w:r>
      <w:r>
        <w:t>3,680</w:t>
      </w:r>
      <w:r w:rsidRPr="00C94C00">
        <w:t>%</w:t>
      </w:r>
      <w:r>
        <w:t>).</w:t>
      </w:r>
      <w:r w:rsidRPr="007874D4">
        <w:t xml:space="preserve"> </w:t>
      </w:r>
      <w:r>
        <w:t xml:space="preserve">The lowest dietary intakes of L-carnitine under the </w:t>
      </w:r>
      <w:r w:rsidRPr="007874D4">
        <w:rPr>
          <w:i/>
        </w:rPr>
        <w:t>Consumer behaviour</w:t>
      </w:r>
      <w:r>
        <w:t xml:space="preserve"> scenario are for Australian children aged 2-6 years.</w:t>
      </w:r>
    </w:p>
    <w:p w14:paraId="276F4C28" w14:textId="77777777" w:rsidR="00785714" w:rsidRDefault="00785714" w:rsidP="00785714"/>
    <w:p w14:paraId="73C964A2" w14:textId="46F688F2" w:rsidR="00785714" w:rsidRPr="001A56A7" w:rsidRDefault="00785714" w:rsidP="00785714">
      <w:r>
        <w:t xml:space="preserve">The impact of Australian (2 years and above) and New Zealand (15 years and above) sport food/beverage consumers consuming 2,000 mg L-carnitine per day from sports foods/beverages was assessed in addition to their intake from all other foods. </w:t>
      </w:r>
      <w:r>
        <w:rPr>
          <w:lang w:bidi="ar-SA"/>
        </w:rPr>
        <w:t>The mean and P90 dietary intakes in this scenario are 2,076–2,081 mg/day and 2,152–2,218 mg/day, respectively.</w:t>
      </w:r>
      <w:bookmarkEnd w:id="59"/>
      <w:bookmarkEnd w:id="62"/>
    </w:p>
    <w:p w14:paraId="10268D58" w14:textId="77777777" w:rsidR="00785714" w:rsidRPr="00E12CFA" w:rsidRDefault="00785714" w:rsidP="00785714">
      <w:pPr>
        <w:pStyle w:val="Heading2"/>
      </w:pPr>
      <w:bookmarkStart w:id="63" w:name="_Toc520888230"/>
      <w:r>
        <w:lastRenderedPageBreak/>
        <w:t>3.3</w:t>
      </w:r>
      <w:r>
        <w:tab/>
      </w:r>
      <w:r w:rsidRPr="00E12CFA">
        <w:t>Risk characterisation</w:t>
      </w:r>
      <w:bookmarkEnd w:id="63"/>
    </w:p>
    <w:p w14:paraId="3209316D" w14:textId="19FEA7F9" w:rsidR="00785714" w:rsidRPr="009B3944" w:rsidRDefault="00785714" w:rsidP="00785714">
      <w:pPr>
        <w:widowControl/>
      </w:pPr>
      <w:r>
        <w:t>The highest 90</w:t>
      </w:r>
      <w:r w:rsidRPr="009B3944">
        <w:rPr>
          <w:vertAlign w:val="superscript"/>
        </w:rPr>
        <w:t>th</w:t>
      </w:r>
      <w:r>
        <w:t xml:space="preserve">-percentile intake of L-carnitine estimated from the dietary intake assessment is approximately 2.4 g per day which comes from a scenario which adds </w:t>
      </w:r>
      <w:r w:rsidRPr="009B3944">
        <w:t xml:space="preserve">four serves per day </w:t>
      </w:r>
      <w:r>
        <w:t xml:space="preserve">of </w:t>
      </w:r>
      <w:r w:rsidRPr="009B3944">
        <w:t>sports food / beverages</w:t>
      </w:r>
      <w:r>
        <w:t xml:space="preserve"> containing L-carnitine at 500 mg/serve to the baseline L-carnitine intake. This highest estimated intake level is below 3 g/day, the highest </w:t>
      </w:r>
      <w:r w:rsidRPr="009B3944">
        <w:t xml:space="preserve">intake of L-carnitine </w:t>
      </w:r>
      <w:r>
        <w:t xml:space="preserve">that has not been associated with adverse effects. Therefore, there are no public health and safety concerns from the addition of L-carnitine / </w:t>
      </w:r>
      <w:r w:rsidRPr="009B3944">
        <w:t>L-carnitine-L-tartrate</w:t>
      </w:r>
      <w:r>
        <w:t xml:space="preserve"> </w:t>
      </w:r>
      <w:r w:rsidRPr="009B3944">
        <w:t>to a range of general pu</w:t>
      </w:r>
      <w:r>
        <w:t xml:space="preserve">rpose and special purpose foods, as requested in the </w:t>
      </w:r>
      <w:r w:rsidR="00E202CC">
        <w:t>application</w:t>
      </w:r>
      <w:r>
        <w:t>.</w:t>
      </w:r>
    </w:p>
    <w:p w14:paraId="25B9EEE0" w14:textId="77777777" w:rsidR="00785714" w:rsidRDefault="00785714" w:rsidP="00785714">
      <w:pPr>
        <w:widowControl/>
      </w:pPr>
    </w:p>
    <w:p w14:paraId="690DDDC4" w14:textId="77777777" w:rsidR="00785714" w:rsidRPr="00CF5BF5" w:rsidRDefault="00785714" w:rsidP="00785714">
      <w:pPr>
        <w:widowControl/>
        <w:rPr>
          <w:b/>
          <w:bCs/>
          <w:sz w:val="36"/>
          <w:szCs w:val="28"/>
          <w:lang w:bidi="ar-SA"/>
        </w:rPr>
      </w:pPr>
      <w:r>
        <w:br w:type="page"/>
      </w:r>
    </w:p>
    <w:p w14:paraId="5401929A" w14:textId="77777777" w:rsidR="00785714" w:rsidRPr="008D416B" w:rsidRDefault="00785714" w:rsidP="00785714">
      <w:pPr>
        <w:pStyle w:val="Heading1"/>
      </w:pPr>
      <w:bookmarkStart w:id="64" w:name="_Toc520888231"/>
      <w:r>
        <w:lastRenderedPageBreak/>
        <w:t>4</w:t>
      </w:r>
      <w:r>
        <w:tab/>
        <w:t>References</w:t>
      </w:r>
      <w:bookmarkEnd w:id="64"/>
    </w:p>
    <w:p w14:paraId="58043059" w14:textId="77777777" w:rsidR="00785714" w:rsidRDefault="00785714" w:rsidP="00785714">
      <w:pPr>
        <w:rPr>
          <w:rFonts w:cs="Arial"/>
        </w:rPr>
      </w:pPr>
      <w:r w:rsidRPr="009B0855">
        <w:rPr>
          <w:rFonts w:cs="Arial"/>
        </w:rPr>
        <w:t>Ayesh R, M</w:t>
      </w:r>
      <w:r>
        <w:rPr>
          <w:rFonts w:cs="Arial"/>
        </w:rPr>
        <w:t>itchell SC, Zhang A, Smith RL (1993)</w:t>
      </w:r>
      <w:r w:rsidRPr="009B0855">
        <w:rPr>
          <w:rFonts w:cs="Arial"/>
        </w:rPr>
        <w:t xml:space="preserve"> The fish odour syndrome: biochemical,</w:t>
      </w:r>
      <w:r>
        <w:rPr>
          <w:rFonts w:cs="Arial"/>
        </w:rPr>
        <w:t xml:space="preserve"> </w:t>
      </w:r>
      <w:r w:rsidRPr="009B0855">
        <w:rPr>
          <w:rFonts w:cs="Arial"/>
        </w:rPr>
        <w:t>familial, and clinical aspects. BMJ</w:t>
      </w:r>
      <w:r>
        <w:rPr>
          <w:rFonts w:cs="Arial"/>
        </w:rPr>
        <w:t xml:space="preserve"> 307(6905):655–657</w:t>
      </w:r>
    </w:p>
    <w:p w14:paraId="33BF9AA1" w14:textId="77777777" w:rsidR="00785714" w:rsidRDefault="00785714" w:rsidP="00785714">
      <w:pPr>
        <w:rPr>
          <w:rFonts w:cs="Arial"/>
        </w:rPr>
      </w:pPr>
    </w:p>
    <w:p w14:paraId="589BD33A" w14:textId="77777777" w:rsidR="00785714" w:rsidRDefault="00785714" w:rsidP="00785714">
      <w:pPr>
        <w:rPr>
          <w:rFonts w:cs="Arial"/>
        </w:rPr>
      </w:pPr>
      <w:r w:rsidRPr="00766D48">
        <w:rPr>
          <w:rFonts w:cs="Arial"/>
        </w:rPr>
        <w:t>Badrasawi M, Shahar S, Zah</w:t>
      </w:r>
      <w:r>
        <w:rPr>
          <w:rFonts w:cs="Arial"/>
        </w:rPr>
        <w:t>ara AM, Nor Fadilah R, Singh DK (2016)</w:t>
      </w:r>
      <w:r w:rsidRPr="00766D48">
        <w:rPr>
          <w:rFonts w:cs="Arial"/>
        </w:rPr>
        <w:t xml:space="preserve"> Efficacy of</w:t>
      </w:r>
      <w:r>
        <w:rPr>
          <w:rFonts w:cs="Arial"/>
        </w:rPr>
        <w:t xml:space="preserve"> </w:t>
      </w:r>
      <w:r w:rsidRPr="00766D48">
        <w:rPr>
          <w:rFonts w:cs="Arial"/>
        </w:rPr>
        <w:t>L-carnitine supplementation on frailty status and its biomarkers, nutritional</w:t>
      </w:r>
      <w:r>
        <w:rPr>
          <w:rFonts w:cs="Arial"/>
        </w:rPr>
        <w:t xml:space="preserve"> </w:t>
      </w:r>
      <w:r w:rsidRPr="00766D48">
        <w:rPr>
          <w:rFonts w:cs="Arial"/>
        </w:rPr>
        <w:t>status, and physical and cognitive function among prefrail older adults: a</w:t>
      </w:r>
      <w:r>
        <w:rPr>
          <w:rFonts w:cs="Arial"/>
        </w:rPr>
        <w:t xml:space="preserve"> </w:t>
      </w:r>
      <w:r w:rsidRPr="00766D48">
        <w:rPr>
          <w:rFonts w:cs="Arial"/>
        </w:rPr>
        <w:t>double-blind, randomized, placebo-controlled clinical trial. Clin Interv Aging</w:t>
      </w:r>
      <w:r>
        <w:rPr>
          <w:rFonts w:cs="Arial"/>
        </w:rPr>
        <w:t xml:space="preserve"> 11:1675–1686</w:t>
      </w:r>
    </w:p>
    <w:p w14:paraId="6D032F82" w14:textId="77777777" w:rsidR="00785714" w:rsidRDefault="00785714" w:rsidP="00785714">
      <w:pPr>
        <w:rPr>
          <w:rFonts w:cs="Arial"/>
        </w:rPr>
      </w:pPr>
    </w:p>
    <w:p w14:paraId="2E428D75" w14:textId="77777777" w:rsidR="00785714" w:rsidRPr="004C2C4C" w:rsidRDefault="00785714" w:rsidP="00785714">
      <w:pPr>
        <w:rPr>
          <w:rFonts w:cs="Arial"/>
        </w:rPr>
      </w:pPr>
      <w:r w:rsidRPr="004C2C4C">
        <w:rPr>
          <w:rFonts w:cs="Arial"/>
        </w:rPr>
        <w:t>Bae S, Ulrich CM, Neuhouser ML, Malysheva O, Bailey LB, Xiao L, Brown EC, Cushing-Haugen KL, Zheng Y, Cheng TY, Miller JW, Green R, Lane DS, Beresford SA, Caudill MA (2014) Plasma choline metabolites and colorectal cancer risk in the Women's Health Initiative Observational Study. Cancer Res 74(24):7442–7452</w:t>
      </w:r>
    </w:p>
    <w:p w14:paraId="4A398577" w14:textId="77777777" w:rsidR="00785714" w:rsidRDefault="00785714" w:rsidP="00785714">
      <w:pPr>
        <w:rPr>
          <w:rFonts w:cs="Arial"/>
        </w:rPr>
      </w:pPr>
    </w:p>
    <w:p w14:paraId="1BC1F668" w14:textId="77777777" w:rsidR="00785714" w:rsidRPr="004C2C4C" w:rsidRDefault="00785714" w:rsidP="00785714">
      <w:pPr>
        <w:rPr>
          <w:rFonts w:cs="Arial"/>
        </w:rPr>
      </w:pPr>
      <w:r w:rsidRPr="004C2C4C">
        <w:rPr>
          <w:rFonts w:cs="Arial"/>
        </w:rPr>
        <w:t>Ba</w:t>
      </w:r>
      <w:r>
        <w:rPr>
          <w:rFonts w:cs="Arial"/>
        </w:rPr>
        <w:t>in MA, Milne RW, Evans AM (2006</w:t>
      </w:r>
      <w:r w:rsidRPr="004C2C4C">
        <w:rPr>
          <w:rFonts w:cs="Arial"/>
        </w:rPr>
        <w:t>) Disposition and metabolite kinetics of oral L-carnitine in humans. J Clin Pharmacol 46(10):1163–1170</w:t>
      </w:r>
    </w:p>
    <w:p w14:paraId="7B16B4E4" w14:textId="77777777" w:rsidR="00785714" w:rsidRDefault="00785714" w:rsidP="00785714">
      <w:pPr>
        <w:rPr>
          <w:rFonts w:cs="Arial"/>
        </w:rPr>
      </w:pPr>
    </w:p>
    <w:p w14:paraId="3126891D" w14:textId="77777777" w:rsidR="00785714" w:rsidRPr="00EC13A5" w:rsidRDefault="00785714" w:rsidP="00785714">
      <w:pPr>
        <w:autoSpaceDE w:val="0"/>
        <w:autoSpaceDN w:val="0"/>
        <w:adjustRightInd w:val="0"/>
        <w:rPr>
          <w:rFonts w:cs="Arial"/>
        </w:rPr>
      </w:pPr>
      <w:r w:rsidRPr="00EC13A5">
        <w:rPr>
          <w:rFonts w:cs="Arial"/>
        </w:rPr>
        <w:t>Boden WE, O’Rourke RA, Teo KK, Hartigan PM, Maron DJ, Kostuk WJ, Knudtson M, Dada M, Casperson P, Harris CL, Chaitman BR, Shaw L, Gosselin G, Nawaz S, Title LM, Gau G, Blaustein AS, Booth DC, Bates ER, Spertus JA, Berman DS, Mancini GB, Weintraub WS</w:t>
      </w:r>
      <w:r>
        <w:rPr>
          <w:rFonts w:cs="Arial"/>
        </w:rPr>
        <w:t xml:space="preserve"> (2007)</w:t>
      </w:r>
      <w:r w:rsidRPr="00EC13A5">
        <w:rPr>
          <w:rFonts w:cs="Arial"/>
        </w:rPr>
        <w:t xml:space="preserve"> Optimal medical therapy with or without PCI for stable coronary disease. N Engl J Med</w:t>
      </w:r>
      <w:r>
        <w:rPr>
          <w:rFonts w:cs="Arial"/>
        </w:rPr>
        <w:t xml:space="preserve"> 356:1503–1516</w:t>
      </w:r>
    </w:p>
    <w:p w14:paraId="2E66E1CC" w14:textId="77777777" w:rsidR="00785714" w:rsidRDefault="00785714" w:rsidP="00785714">
      <w:pPr>
        <w:rPr>
          <w:rFonts w:cs="Arial"/>
        </w:rPr>
      </w:pPr>
    </w:p>
    <w:p w14:paraId="3BF114CB" w14:textId="77777777" w:rsidR="00785714" w:rsidRPr="0009094F" w:rsidRDefault="00785714" w:rsidP="00785714">
      <w:pPr>
        <w:rPr>
          <w:lang w:val="en-AU" w:eastAsia="en-AU" w:bidi="ar-SA"/>
        </w:rPr>
      </w:pPr>
      <w:r>
        <w:rPr>
          <w:lang w:val="en-AU" w:eastAsia="en-AU" w:bidi="ar-SA"/>
        </w:rPr>
        <w:t>Brandsch C and Eder K (2003)</w:t>
      </w:r>
      <w:r w:rsidRPr="00E60401">
        <w:rPr>
          <w:lang w:val="en-AU" w:eastAsia="en-AU" w:bidi="ar-SA"/>
        </w:rPr>
        <w:t xml:space="preserve"> Reproductive performance of rats supplemented with L-carnitine. </w:t>
      </w:r>
      <w:r w:rsidRPr="00E60401">
        <w:rPr>
          <w:rFonts w:cs="Arial"/>
          <w:bCs/>
          <w:lang w:val="en-AU"/>
        </w:rPr>
        <w:t>Journal of Animal Physiology</w:t>
      </w:r>
      <w:r w:rsidRPr="00E60401">
        <w:rPr>
          <w:rFonts w:cs="Arial"/>
          <w:b/>
          <w:lang w:val="en-AU"/>
        </w:rPr>
        <w:t xml:space="preserve"> </w:t>
      </w:r>
      <w:r w:rsidRPr="00E60401">
        <w:rPr>
          <w:rFonts w:cs="Arial"/>
          <w:lang w:val="en-AU"/>
        </w:rPr>
        <w:t xml:space="preserve">and </w:t>
      </w:r>
      <w:r>
        <w:rPr>
          <w:rFonts w:cs="Arial"/>
          <w:bCs/>
          <w:lang w:val="en-AU"/>
        </w:rPr>
        <w:t>Animal Nutrition 87:301–</w:t>
      </w:r>
      <w:r w:rsidRPr="00E60401">
        <w:rPr>
          <w:rFonts w:cs="Arial"/>
          <w:bCs/>
          <w:lang w:val="en-AU"/>
        </w:rPr>
        <w:t xml:space="preserve">308 </w:t>
      </w:r>
    </w:p>
    <w:p w14:paraId="2AB786BD" w14:textId="77777777" w:rsidR="00785714" w:rsidRDefault="00785714" w:rsidP="00785714">
      <w:pPr>
        <w:rPr>
          <w:rFonts w:cs="Arial"/>
        </w:rPr>
      </w:pPr>
    </w:p>
    <w:p w14:paraId="5DB8D614" w14:textId="607BE370" w:rsidR="00785714" w:rsidRDefault="00785714" w:rsidP="00785714">
      <w:pPr>
        <w:rPr>
          <w:rFonts w:cs="Arial"/>
        </w:rPr>
      </w:pPr>
      <w:r w:rsidRPr="000A71DC">
        <w:rPr>
          <w:rFonts w:cs="Arial"/>
        </w:rPr>
        <w:t>Cho CE, Taesuwan S, Malysheva OV, Bender E, Tulchinsky NF, Yan J, Sutter JL, Caudill MA (2017) Trimethylamine-N-oxide (TMAO) response to animal source foods varies among healthy young men and is influenced by their gut</w:t>
      </w:r>
      <w:r w:rsidR="007941B9">
        <w:rPr>
          <w:rFonts w:cs="Arial"/>
        </w:rPr>
        <w:t xml:space="preserve"> microbiota composition: a</w:t>
      </w:r>
      <w:r w:rsidRPr="000A71DC">
        <w:rPr>
          <w:rFonts w:cs="Arial"/>
        </w:rPr>
        <w:t xml:space="preserve"> randomized controlled trial. Mol Nutr</w:t>
      </w:r>
      <w:r>
        <w:rPr>
          <w:rFonts w:cs="Arial"/>
        </w:rPr>
        <w:t xml:space="preserve"> Food Res 61(1)</w:t>
      </w:r>
    </w:p>
    <w:p w14:paraId="16F999CE" w14:textId="77777777" w:rsidR="00785714" w:rsidRDefault="00785714" w:rsidP="00785714">
      <w:pPr>
        <w:rPr>
          <w:rFonts w:cs="Arial"/>
        </w:rPr>
      </w:pPr>
    </w:p>
    <w:p w14:paraId="008E33D4" w14:textId="77777777" w:rsidR="00785714" w:rsidRDefault="00785714" w:rsidP="00785714">
      <w:pPr>
        <w:rPr>
          <w:rFonts w:cs="Arial"/>
        </w:rPr>
      </w:pPr>
      <w:r>
        <w:rPr>
          <w:rFonts w:cs="Arial"/>
        </w:rPr>
        <w:t>Cho CE, Caudill MA (2017)</w:t>
      </w:r>
      <w:r w:rsidRPr="001C2439">
        <w:rPr>
          <w:rFonts w:cs="Arial"/>
        </w:rPr>
        <w:t xml:space="preserve"> Trimethyl</w:t>
      </w:r>
      <w:r>
        <w:rPr>
          <w:rFonts w:cs="Arial"/>
        </w:rPr>
        <w:t>amine-N-oxide: friend, foe, or simply c</w:t>
      </w:r>
      <w:r w:rsidRPr="001C2439">
        <w:rPr>
          <w:rFonts w:cs="Arial"/>
        </w:rPr>
        <w:t>aught in</w:t>
      </w:r>
      <w:r>
        <w:rPr>
          <w:rFonts w:cs="Arial"/>
        </w:rPr>
        <w:t xml:space="preserve"> the cross-f</w:t>
      </w:r>
      <w:r w:rsidRPr="001C2439">
        <w:rPr>
          <w:rFonts w:cs="Arial"/>
        </w:rPr>
        <w:t>ire</w:t>
      </w:r>
      <w:r>
        <w:rPr>
          <w:rFonts w:cs="Arial"/>
        </w:rPr>
        <w:t>? Trends Endocrinol Metab 28(2):121–130</w:t>
      </w:r>
    </w:p>
    <w:p w14:paraId="6A670422" w14:textId="77777777" w:rsidR="00785714" w:rsidRDefault="00785714" w:rsidP="00785714">
      <w:pPr>
        <w:rPr>
          <w:rFonts w:cs="Arial"/>
        </w:rPr>
      </w:pPr>
    </w:p>
    <w:p w14:paraId="0D168E6F" w14:textId="77777777" w:rsidR="00785714" w:rsidRPr="00EC13A5" w:rsidRDefault="007377EA" w:rsidP="00785714">
      <w:pPr>
        <w:autoSpaceDE w:val="0"/>
        <w:autoSpaceDN w:val="0"/>
        <w:adjustRightInd w:val="0"/>
        <w:rPr>
          <w:rFonts w:cs="Arial"/>
        </w:rPr>
      </w:pPr>
      <w:hyperlink r:id="rId32" w:history="1">
        <w:r w:rsidR="00785714" w:rsidRPr="00EC13A5">
          <w:rPr>
            <w:rFonts w:cs="Arial"/>
            <w:lang w:val="en"/>
          </w:rPr>
          <w:t>Clarke R</w:t>
        </w:r>
      </w:hyperlink>
      <w:r w:rsidR="00785714" w:rsidRPr="00EC13A5">
        <w:rPr>
          <w:rFonts w:cs="Arial"/>
          <w:lang w:val="en"/>
        </w:rPr>
        <w:t xml:space="preserve">, </w:t>
      </w:r>
      <w:hyperlink r:id="rId33" w:history="1">
        <w:r w:rsidR="00785714" w:rsidRPr="00EC13A5">
          <w:rPr>
            <w:rFonts w:cs="Arial"/>
            <w:lang w:val="en"/>
          </w:rPr>
          <w:t>Shipley M</w:t>
        </w:r>
      </w:hyperlink>
      <w:r w:rsidR="00785714" w:rsidRPr="00EC13A5">
        <w:rPr>
          <w:rFonts w:cs="Arial"/>
          <w:lang w:val="en"/>
        </w:rPr>
        <w:t xml:space="preserve">, </w:t>
      </w:r>
      <w:hyperlink r:id="rId34" w:history="1">
        <w:r w:rsidR="00785714" w:rsidRPr="00EC13A5">
          <w:rPr>
            <w:rFonts w:cs="Arial"/>
            <w:lang w:val="en"/>
          </w:rPr>
          <w:t>Lewington S</w:t>
        </w:r>
      </w:hyperlink>
      <w:r w:rsidR="00785714" w:rsidRPr="00EC13A5">
        <w:rPr>
          <w:rFonts w:cs="Arial"/>
          <w:lang w:val="en"/>
        </w:rPr>
        <w:t xml:space="preserve">, </w:t>
      </w:r>
      <w:hyperlink r:id="rId35" w:history="1">
        <w:r w:rsidR="00785714" w:rsidRPr="00EC13A5">
          <w:rPr>
            <w:rFonts w:cs="Arial"/>
            <w:lang w:val="en"/>
          </w:rPr>
          <w:t>Youngman L</w:t>
        </w:r>
      </w:hyperlink>
      <w:r w:rsidR="00785714" w:rsidRPr="00EC13A5">
        <w:rPr>
          <w:rFonts w:cs="Arial"/>
          <w:lang w:val="en"/>
        </w:rPr>
        <w:t xml:space="preserve">, </w:t>
      </w:r>
      <w:hyperlink r:id="rId36" w:history="1">
        <w:r w:rsidR="00785714" w:rsidRPr="00EC13A5">
          <w:rPr>
            <w:rFonts w:cs="Arial"/>
            <w:lang w:val="en"/>
          </w:rPr>
          <w:t>Collins R</w:t>
        </w:r>
      </w:hyperlink>
      <w:r w:rsidR="00785714" w:rsidRPr="00EC13A5">
        <w:rPr>
          <w:rFonts w:cs="Arial"/>
          <w:lang w:val="en"/>
        </w:rPr>
        <w:t xml:space="preserve">, </w:t>
      </w:r>
      <w:hyperlink r:id="rId37" w:history="1">
        <w:r w:rsidR="00785714" w:rsidRPr="00EC13A5">
          <w:rPr>
            <w:rFonts w:cs="Arial"/>
            <w:lang w:val="en"/>
          </w:rPr>
          <w:t>Marmot M</w:t>
        </w:r>
      </w:hyperlink>
      <w:r w:rsidR="00785714" w:rsidRPr="00EC13A5">
        <w:rPr>
          <w:rFonts w:cs="Arial"/>
          <w:lang w:val="en"/>
        </w:rPr>
        <w:t xml:space="preserve">, </w:t>
      </w:r>
      <w:hyperlink r:id="rId38" w:history="1">
        <w:r w:rsidR="00785714" w:rsidRPr="00EC13A5">
          <w:rPr>
            <w:rFonts w:cs="Arial"/>
            <w:lang w:val="en"/>
          </w:rPr>
          <w:t>Peto R</w:t>
        </w:r>
      </w:hyperlink>
      <w:r w:rsidR="00785714">
        <w:rPr>
          <w:rFonts w:cs="Arial"/>
          <w:lang w:val="en"/>
        </w:rPr>
        <w:t xml:space="preserve"> (1999)</w:t>
      </w:r>
      <w:r w:rsidR="00785714" w:rsidRPr="00EC13A5">
        <w:rPr>
          <w:rFonts w:cs="Arial"/>
          <w:lang w:val="en"/>
        </w:rPr>
        <w:t xml:space="preserve"> Underestimation of risk associations due to regression dilution in long-term follow-up of prospective studies. Am J Ep</w:t>
      </w:r>
      <w:r w:rsidR="00785714">
        <w:rPr>
          <w:rFonts w:cs="Arial"/>
          <w:lang w:val="en"/>
        </w:rPr>
        <w:t>idemiol 150(4):341–353</w:t>
      </w:r>
    </w:p>
    <w:p w14:paraId="3562DD7D" w14:textId="77777777" w:rsidR="00785714" w:rsidRDefault="00785714" w:rsidP="00785714">
      <w:pPr>
        <w:rPr>
          <w:rFonts w:cs="Arial"/>
        </w:rPr>
      </w:pPr>
    </w:p>
    <w:p w14:paraId="2CD7E1D9" w14:textId="77777777" w:rsidR="00785714" w:rsidRPr="0009094F" w:rsidRDefault="00785714" w:rsidP="00785714">
      <w:pPr>
        <w:rPr>
          <w:lang w:val="en-AU" w:eastAsia="en-AU" w:bidi="ar-SA"/>
        </w:rPr>
      </w:pPr>
      <w:r w:rsidRPr="00E60401">
        <w:rPr>
          <w:lang w:val="en-AU" w:eastAsia="en-AU" w:bidi="ar-SA"/>
        </w:rPr>
        <w:t>Clouet P, Sempor</w:t>
      </w:r>
      <w:r w:rsidRPr="00E60401">
        <w:rPr>
          <w:rFonts w:cs="Arial"/>
          <w:lang w:val="en-AU" w:eastAsia="en-AU" w:bidi="ar-SA"/>
        </w:rPr>
        <w:t>é</w:t>
      </w:r>
      <w:r w:rsidRPr="00E60401">
        <w:rPr>
          <w:lang w:val="en-AU" w:eastAsia="en-AU" w:bidi="ar-SA"/>
        </w:rPr>
        <w:t xml:space="preserve"> G, Tsoko M, Gresti J, Demarquoy J, Niot I, B</w:t>
      </w:r>
      <w:r w:rsidRPr="00E60401">
        <w:rPr>
          <w:rFonts w:cs="Arial"/>
          <w:lang w:val="en-AU" w:eastAsia="en-AU" w:bidi="ar-SA"/>
        </w:rPr>
        <w:t>é</w:t>
      </w:r>
      <w:r w:rsidRPr="00E60401">
        <w:rPr>
          <w:lang w:val="en-AU" w:eastAsia="en-AU" w:bidi="ar-SA"/>
        </w:rPr>
        <w:t>zar</w:t>
      </w:r>
      <w:r>
        <w:rPr>
          <w:lang w:val="en-AU" w:eastAsia="en-AU" w:bidi="ar-SA"/>
        </w:rPr>
        <w:t>d J, and Martin-Privat P (1996)</w:t>
      </w:r>
      <w:r w:rsidRPr="00E60401">
        <w:rPr>
          <w:lang w:val="en-AU" w:eastAsia="en-AU" w:bidi="ar-SA"/>
        </w:rPr>
        <w:t xml:space="preserve"> Effect of short-and long-term treatments by a low level of dietary L-carnitine on parameters related to fatty acid oxidation in Wistar rat. Biochemica e</w:t>
      </w:r>
      <w:r>
        <w:rPr>
          <w:lang w:val="en-AU" w:eastAsia="en-AU" w:bidi="ar-SA"/>
        </w:rPr>
        <w:t>t Biophysica Acta 1299:191–197</w:t>
      </w:r>
    </w:p>
    <w:p w14:paraId="710008B6" w14:textId="77777777" w:rsidR="00785714" w:rsidRDefault="00785714" w:rsidP="00785714">
      <w:pPr>
        <w:rPr>
          <w:rFonts w:cs="Arial"/>
        </w:rPr>
      </w:pPr>
    </w:p>
    <w:p w14:paraId="295B27E1" w14:textId="77777777" w:rsidR="00785714" w:rsidRPr="004C2C4C" w:rsidRDefault="00785714" w:rsidP="00785714">
      <w:pPr>
        <w:rPr>
          <w:rFonts w:cs="Arial"/>
        </w:rPr>
      </w:pPr>
      <w:r w:rsidRPr="004C2C4C">
        <w:rPr>
          <w:rFonts w:cs="Arial"/>
        </w:rPr>
        <w:t>Collins HL, Drazul-Schrader D, Sulpizio AC, Koster PD, Williamson Y, Adelman SJ, Owen K,</w:t>
      </w:r>
      <w:r>
        <w:rPr>
          <w:rFonts w:cs="Arial"/>
        </w:rPr>
        <w:t xml:space="preserve"> Sanli T, Bellamine A (2016) L-c</w:t>
      </w:r>
      <w:r w:rsidRPr="004C2C4C">
        <w:rPr>
          <w:rFonts w:cs="Arial"/>
        </w:rPr>
        <w:t xml:space="preserve">arnitine intake and high trimethylamine N-oxide </w:t>
      </w:r>
      <w:r>
        <w:rPr>
          <w:rFonts w:cs="Arial"/>
        </w:rPr>
        <w:t>plasma concentration</w:t>
      </w:r>
      <w:r w:rsidRPr="004C2C4C">
        <w:rPr>
          <w:rFonts w:cs="Arial"/>
        </w:rPr>
        <w:t>s correlate with low aortic lesions in ApoE-/- transgenic mice expressing CETP. Atherosclerosis 244:29–37</w:t>
      </w:r>
    </w:p>
    <w:p w14:paraId="29159CA9" w14:textId="77777777" w:rsidR="00785714" w:rsidRDefault="00785714" w:rsidP="00785714">
      <w:pPr>
        <w:rPr>
          <w:rFonts w:cs="Arial"/>
        </w:rPr>
      </w:pPr>
    </w:p>
    <w:p w14:paraId="3D27C288" w14:textId="2202F8B3" w:rsidR="00785714" w:rsidRPr="00E13BC4" w:rsidRDefault="00785714" w:rsidP="00785714">
      <w:r w:rsidRPr="00E13BC4">
        <w:t xml:space="preserve">Demarquoy J, Georges B, Rigault C, Royer M-C, </w:t>
      </w:r>
      <w:r>
        <w:t xml:space="preserve">Clairet A, Soty M </w:t>
      </w:r>
      <w:r w:rsidR="000B7678">
        <w:t>et al. (</w:t>
      </w:r>
      <w:r>
        <w:t>2003)</w:t>
      </w:r>
      <w:r w:rsidRPr="00E13BC4">
        <w:t xml:space="preserve"> Radioisotopic determination of L-carnitine content in foods commonly eaten in Western cou</w:t>
      </w:r>
      <w:r>
        <w:t xml:space="preserve">ntries. Food Chem 86(1):137–142 </w:t>
      </w:r>
    </w:p>
    <w:p w14:paraId="395EABA8" w14:textId="77777777" w:rsidR="00785714" w:rsidRDefault="00785714" w:rsidP="00785714">
      <w:pPr>
        <w:rPr>
          <w:rFonts w:cs="Arial"/>
        </w:rPr>
      </w:pPr>
    </w:p>
    <w:p w14:paraId="7FEC141C" w14:textId="76D2DFA1" w:rsidR="00785714" w:rsidRDefault="00785714" w:rsidP="00785714">
      <w:pPr>
        <w:rPr>
          <w:rFonts w:cs="Arial"/>
        </w:rPr>
      </w:pPr>
      <w:r w:rsidRPr="004C2C4C">
        <w:rPr>
          <w:rFonts w:cs="Arial"/>
        </w:rPr>
        <w:t xml:space="preserve">Demarquoy J, Rigault C, Le Borgne F (2012) L-Carnitine. Ch 5 In: Nollet L, Toldra F (eds) </w:t>
      </w:r>
      <w:r w:rsidRPr="004C2C4C">
        <w:rPr>
          <w:rFonts w:cs="Arial"/>
        </w:rPr>
        <w:lastRenderedPageBreak/>
        <w:t>Handbook of analysis of active compounds in functional foods. CRC Press, Boca Raton, p</w:t>
      </w:r>
      <w:r w:rsidR="007941B9">
        <w:rPr>
          <w:rFonts w:cs="Arial"/>
        </w:rPr>
        <w:t>p</w:t>
      </w:r>
      <w:r w:rsidRPr="004C2C4C">
        <w:rPr>
          <w:rFonts w:cs="Arial"/>
        </w:rPr>
        <w:t>. 87–104</w:t>
      </w:r>
    </w:p>
    <w:p w14:paraId="1ECC6C56" w14:textId="77777777" w:rsidR="00785714" w:rsidRDefault="00785714" w:rsidP="00785714">
      <w:pPr>
        <w:rPr>
          <w:rFonts w:cs="Arial"/>
        </w:rPr>
      </w:pPr>
    </w:p>
    <w:p w14:paraId="2364E3F4" w14:textId="77777777" w:rsidR="00785714" w:rsidRPr="00101B16" w:rsidRDefault="00785714" w:rsidP="00785714">
      <w:pPr>
        <w:rPr>
          <w:rFonts w:cs="Arial"/>
          <w:szCs w:val="22"/>
        </w:rPr>
      </w:pPr>
      <w:r>
        <w:rPr>
          <w:rFonts w:cs="Arial"/>
        </w:rPr>
        <w:t>EFSA (2003) Opinion of the scientific p</w:t>
      </w:r>
      <w:r w:rsidRPr="004C2C4C">
        <w:rPr>
          <w:rFonts w:cs="Arial"/>
        </w:rPr>
        <w:t xml:space="preserve">anel on food additives flavourings, processing aids, and materials in contact with food (AFC) related to L-carnitine-L-tartrate for use in foods for particular </w:t>
      </w:r>
      <w:r w:rsidRPr="00101B16">
        <w:rPr>
          <w:rFonts w:cs="Arial"/>
          <w:szCs w:val="22"/>
        </w:rPr>
        <w:t>nutritional purposes. EFSA Journal 19:1–13</w:t>
      </w:r>
    </w:p>
    <w:p w14:paraId="7089D0C5" w14:textId="77777777" w:rsidR="00785714" w:rsidRPr="00101B16" w:rsidRDefault="00785714" w:rsidP="00785714">
      <w:pPr>
        <w:rPr>
          <w:rFonts w:cs="Arial"/>
          <w:szCs w:val="22"/>
        </w:rPr>
      </w:pPr>
    </w:p>
    <w:p w14:paraId="721AFA31" w14:textId="77777777" w:rsidR="00785714" w:rsidRPr="00101B16" w:rsidRDefault="00785714" w:rsidP="00785714">
      <w:pPr>
        <w:widowControl/>
        <w:rPr>
          <w:szCs w:val="22"/>
          <w:lang w:bidi="ar-SA"/>
        </w:rPr>
      </w:pPr>
      <w:r w:rsidRPr="00101B16">
        <w:rPr>
          <w:szCs w:val="22"/>
          <w:lang w:bidi="ar-SA"/>
        </w:rPr>
        <w:t xml:space="preserve">EFSA </w:t>
      </w:r>
      <w:r>
        <w:rPr>
          <w:szCs w:val="22"/>
          <w:lang w:bidi="ar-SA"/>
        </w:rPr>
        <w:t>(2012) EFSA panel on additives and products or substances used in animal f</w:t>
      </w:r>
      <w:r w:rsidRPr="00101B16">
        <w:rPr>
          <w:szCs w:val="22"/>
          <w:lang w:bidi="ar-SA"/>
        </w:rPr>
        <w:t xml:space="preserve">eed (FEEDAP); Scientific Opinion on the safety and efficacy of L-carnitine and L-carnitine-L-tartrate as feed additives for all animal species based on a dossier submitted by Lonza Benelux BV. EFSA Journal 10(5):2676. Available online: </w:t>
      </w:r>
      <w:hyperlink r:id="rId39" w:history="1">
        <w:r w:rsidRPr="00101B16">
          <w:rPr>
            <w:color w:val="3333FF"/>
            <w:szCs w:val="22"/>
            <w:u w:val="single"/>
            <w:lang w:bidi="ar-SA"/>
          </w:rPr>
          <w:t>http://www.efsa.europa.eu/en/efsajournal/pub/2676</w:t>
        </w:r>
      </w:hyperlink>
    </w:p>
    <w:p w14:paraId="0FFD27E9" w14:textId="77777777" w:rsidR="00785714" w:rsidRPr="00101B16" w:rsidRDefault="00785714" w:rsidP="00785714">
      <w:pPr>
        <w:rPr>
          <w:rFonts w:cs="Arial"/>
          <w:szCs w:val="22"/>
        </w:rPr>
      </w:pPr>
    </w:p>
    <w:p w14:paraId="7DF0BDBA" w14:textId="77777777" w:rsidR="00785714" w:rsidRPr="00626F23" w:rsidRDefault="00785714" w:rsidP="00785714">
      <w:pPr>
        <w:rPr>
          <w:rFonts w:cs="Arial"/>
          <w:szCs w:val="22"/>
        </w:rPr>
      </w:pPr>
      <w:r w:rsidRPr="00626F23">
        <w:rPr>
          <w:rFonts w:cs="Arial"/>
          <w:szCs w:val="22"/>
        </w:rPr>
        <w:t>Empl MT, Kammeyer P, Ulrich R, Joseph JF, Parr MK, Willenberg I, Schebb NH, Baumgartner W, Rohrdanz E, Steffen C, Steinberg P (2015) The influence of chronic L-carnitine supplementation on the formation of preneoplastic and atherosclerotic lesions in the colon and aorta of male F344 rats. Arch Toxicol 89(11):2079–2087</w:t>
      </w:r>
    </w:p>
    <w:p w14:paraId="17AB8F98" w14:textId="77777777" w:rsidR="00785714" w:rsidRPr="00626F23" w:rsidRDefault="00785714" w:rsidP="00785714">
      <w:pPr>
        <w:rPr>
          <w:rFonts w:cs="Arial"/>
          <w:szCs w:val="22"/>
        </w:rPr>
      </w:pPr>
    </w:p>
    <w:p w14:paraId="2BB079FC" w14:textId="77777777" w:rsidR="00785714" w:rsidRPr="00626F23" w:rsidRDefault="00785714" w:rsidP="00785714">
      <w:pPr>
        <w:rPr>
          <w:szCs w:val="22"/>
          <w:lang w:bidi="ar-SA"/>
        </w:rPr>
      </w:pPr>
      <w:r w:rsidRPr="00626F23">
        <w:rPr>
          <w:szCs w:val="22"/>
          <w:lang w:bidi="ar-SA"/>
        </w:rPr>
        <w:t>EU (2012) Commission Regulation (EU) No 231/2012 of 9 March 2012 laying down specifications for food additives.</w:t>
      </w:r>
      <w:r w:rsidRPr="00626F23">
        <w:rPr>
          <w:szCs w:val="22"/>
        </w:rPr>
        <w:t xml:space="preserve"> </w:t>
      </w:r>
      <w:hyperlink r:id="rId40" w:history="1">
        <w:r w:rsidRPr="00626F23">
          <w:rPr>
            <w:color w:val="3333FF"/>
            <w:szCs w:val="22"/>
            <w:u w:val="single"/>
            <w:lang w:bidi="ar-SA"/>
          </w:rPr>
          <w:t>http://eur-lex.europa.eu/legal-content/EN/TXT/PDF/?uri=CELEX:32012R0231&amp;from=EN</w:t>
        </w:r>
      </w:hyperlink>
    </w:p>
    <w:p w14:paraId="2C448221" w14:textId="77777777" w:rsidR="00785714" w:rsidRPr="00626F23" w:rsidRDefault="00785714" w:rsidP="00785714">
      <w:pPr>
        <w:rPr>
          <w:rFonts w:cs="Arial"/>
          <w:szCs w:val="22"/>
        </w:rPr>
      </w:pPr>
    </w:p>
    <w:p w14:paraId="5B40EDB3" w14:textId="77777777" w:rsidR="00785714" w:rsidRPr="00626F23" w:rsidRDefault="00785714" w:rsidP="00785714">
      <w:pPr>
        <w:rPr>
          <w:rFonts w:cs="Arial"/>
          <w:szCs w:val="22"/>
        </w:rPr>
      </w:pPr>
      <w:r w:rsidRPr="00626F23">
        <w:rPr>
          <w:rFonts w:cs="Arial"/>
          <w:szCs w:val="22"/>
        </w:rPr>
        <w:t>Fennema D, Phillips IR, Shephard EA (2016) Trimethylamine and trimethylamine N-oxide, a flavin-containing monooxygenase 3 (FMO3)-mediated host-microbiome metabolic axis implicated in health and disease. Drug Metab Dispos. 44(11):1839–1850</w:t>
      </w:r>
    </w:p>
    <w:p w14:paraId="64EBD154" w14:textId="77777777" w:rsidR="00785714" w:rsidRPr="00626F23" w:rsidRDefault="00785714" w:rsidP="00785714">
      <w:pPr>
        <w:rPr>
          <w:rFonts w:cs="Arial"/>
          <w:szCs w:val="22"/>
        </w:rPr>
      </w:pPr>
    </w:p>
    <w:p w14:paraId="45CA7389" w14:textId="77777777" w:rsidR="00785714" w:rsidRPr="00101B16" w:rsidRDefault="00785714" w:rsidP="00785714">
      <w:pPr>
        <w:widowControl/>
        <w:rPr>
          <w:szCs w:val="22"/>
          <w:lang w:bidi="ar-SA"/>
        </w:rPr>
      </w:pPr>
      <w:r w:rsidRPr="00101B16">
        <w:rPr>
          <w:szCs w:val="22"/>
          <w:lang w:bidi="ar-SA"/>
        </w:rPr>
        <w:t>FCC (2014) Food Chemicals Codex 9</w:t>
      </w:r>
      <w:r w:rsidRPr="00101B16">
        <w:rPr>
          <w:szCs w:val="22"/>
          <w:vertAlign w:val="superscript"/>
          <w:lang w:bidi="ar-SA"/>
        </w:rPr>
        <w:t>th</w:t>
      </w:r>
      <w:r w:rsidRPr="00101B16">
        <w:rPr>
          <w:szCs w:val="22"/>
          <w:lang w:bidi="ar-SA"/>
        </w:rPr>
        <w:t xml:space="preserve"> Edition, United States Pharmacopeial Convention (2014), Rockville, MD</w:t>
      </w:r>
    </w:p>
    <w:p w14:paraId="02BF1774" w14:textId="77777777" w:rsidR="00785714" w:rsidRPr="00101B16" w:rsidRDefault="00785714" w:rsidP="00785714">
      <w:pPr>
        <w:rPr>
          <w:rFonts w:cs="Arial"/>
          <w:szCs w:val="22"/>
        </w:rPr>
      </w:pPr>
    </w:p>
    <w:p w14:paraId="77F377F5" w14:textId="77777777" w:rsidR="00785714" w:rsidRPr="00362A33" w:rsidRDefault="00785714" w:rsidP="00785714">
      <w:pPr>
        <w:rPr>
          <w:szCs w:val="22"/>
        </w:rPr>
      </w:pPr>
      <w:r w:rsidRPr="00362A33">
        <w:rPr>
          <w:rFonts w:cs="Arial"/>
          <w:szCs w:val="22"/>
        </w:rPr>
        <w:t xml:space="preserve">FSANZ (2009) Principles and Practices of Dietary Exposure Assessment for Food Regulatory Purposes. </w:t>
      </w:r>
    </w:p>
    <w:p w14:paraId="524DE266" w14:textId="77777777" w:rsidR="00785714" w:rsidRPr="00362A33" w:rsidRDefault="007377EA" w:rsidP="00785714">
      <w:pPr>
        <w:rPr>
          <w:rStyle w:val="Hyperlink"/>
          <w:rFonts w:cs="Arial"/>
          <w:szCs w:val="22"/>
        </w:rPr>
      </w:pPr>
      <w:hyperlink r:id="rId41" w:history="1">
        <w:r w:rsidR="00785714" w:rsidRPr="00362A33">
          <w:rPr>
            <w:rStyle w:val="Hyperlink"/>
            <w:rFonts w:cs="Arial"/>
            <w:szCs w:val="22"/>
          </w:rPr>
          <w:t>http://www.foodstandards.gov.au/science/exposure/documents/Principles%20_%20practices%20exposure%20assessment%202009.pdf</w:t>
        </w:r>
      </w:hyperlink>
      <w:r w:rsidR="00785714" w:rsidRPr="00362A33">
        <w:rPr>
          <w:rStyle w:val="Hyperlink"/>
          <w:rFonts w:cs="Arial"/>
          <w:szCs w:val="22"/>
        </w:rPr>
        <w:t xml:space="preserve"> </w:t>
      </w:r>
    </w:p>
    <w:p w14:paraId="10F33F4B" w14:textId="77777777" w:rsidR="00785714" w:rsidRPr="00362A33" w:rsidRDefault="00785714" w:rsidP="00785714">
      <w:pPr>
        <w:rPr>
          <w:rStyle w:val="Hyperlink"/>
          <w:rFonts w:cs="Arial"/>
          <w:color w:val="auto"/>
          <w:szCs w:val="22"/>
        </w:rPr>
      </w:pPr>
    </w:p>
    <w:p w14:paraId="5ECFEAB9" w14:textId="77777777" w:rsidR="00785714" w:rsidRPr="00362A33" w:rsidRDefault="00785714" w:rsidP="00785714">
      <w:pPr>
        <w:rPr>
          <w:rStyle w:val="Hyperlink"/>
          <w:rFonts w:cs="Arial"/>
          <w:color w:val="auto"/>
          <w:szCs w:val="22"/>
        </w:rPr>
      </w:pPr>
      <w:r w:rsidRPr="00362A33">
        <w:rPr>
          <w:rStyle w:val="Hyperlink"/>
          <w:rFonts w:cs="Arial"/>
          <w:color w:val="auto"/>
          <w:szCs w:val="22"/>
        </w:rPr>
        <w:t>FSANZ (2014) Protecting 'high consumers'.</w:t>
      </w:r>
    </w:p>
    <w:p w14:paraId="696CAA2C" w14:textId="77777777" w:rsidR="00785714" w:rsidRPr="00362A33" w:rsidRDefault="007377EA" w:rsidP="00785714">
      <w:pPr>
        <w:rPr>
          <w:rStyle w:val="Hyperlink"/>
          <w:rFonts w:cs="Arial"/>
          <w:szCs w:val="22"/>
        </w:rPr>
      </w:pPr>
      <w:hyperlink r:id="rId42" w:history="1">
        <w:r w:rsidR="00785714" w:rsidRPr="00362A33">
          <w:rPr>
            <w:rStyle w:val="Hyperlink"/>
            <w:rFonts w:cs="Arial"/>
            <w:szCs w:val="22"/>
          </w:rPr>
          <w:t>http://www.foodstandards.gov.au/science/exposure/Pages/protectinghighconsum4441.aspx</w:t>
        </w:r>
      </w:hyperlink>
      <w:r w:rsidR="00785714" w:rsidRPr="00362A33">
        <w:rPr>
          <w:rStyle w:val="Hyperlink"/>
          <w:rFonts w:cs="Arial"/>
          <w:szCs w:val="22"/>
        </w:rPr>
        <w:t xml:space="preserve"> </w:t>
      </w:r>
    </w:p>
    <w:p w14:paraId="08C95A91" w14:textId="77777777" w:rsidR="00785714" w:rsidRDefault="00785714" w:rsidP="00785714">
      <w:pPr>
        <w:rPr>
          <w:rFonts w:cs="Arial"/>
        </w:rPr>
      </w:pPr>
    </w:p>
    <w:p w14:paraId="2FA41477" w14:textId="77777777" w:rsidR="00785714" w:rsidRDefault="00785714" w:rsidP="00785714">
      <w:pPr>
        <w:rPr>
          <w:rFonts w:cs="Arial"/>
        </w:rPr>
      </w:pPr>
      <w:r w:rsidRPr="004C2C4C">
        <w:rPr>
          <w:rFonts w:cs="Arial"/>
        </w:rPr>
        <w:t>Fukami K, Yamagishi S, Sakai K, Kaida Y, Yokoro M, Ueda S, Wada Y, Takeuchi M, Shimizu M, Yamazaki H, Okuda S (2015) Oral L-carnitine supplementation increases trimethylamine-N-oxide but reduces markers of vascular injury in hemodialysis patients. J Car</w:t>
      </w:r>
      <w:r>
        <w:rPr>
          <w:rFonts w:cs="Arial"/>
        </w:rPr>
        <w:t>diovasc Pharmacol 65(3):289–295</w:t>
      </w:r>
    </w:p>
    <w:p w14:paraId="44B1DE04" w14:textId="77777777" w:rsidR="00785714" w:rsidRDefault="00785714" w:rsidP="00785714">
      <w:pPr>
        <w:rPr>
          <w:rFonts w:cs="Arial"/>
        </w:rPr>
      </w:pPr>
    </w:p>
    <w:p w14:paraId="769F0F8C" w14:textId="77777777" w:rsidR="00785714" w:rsidRPr="00EC13A5" w:rsidRDefault="007377EA" w:rsidP="00785714">
      <w:pPr>
        <w:autoSpaceDE w:val="0"/>
        <w:autoSpaceDN w:val="0"/>
        <w:adjustRightInd w:val="0"/>
        <w:rPr>
          <w:rFonts w:cs="Arial"/>
        </w:rPr>
      </w:pPr>
      <w:hyperlink r:id="rId43" w:history="1">
        <w:r w:rsidR="00785714" w:rsidRPr="00EC13A5">
          <w:rPr>
            <w:rFonts w:cs="Arial"/>
            <w:lang w:val="en"/>
          </w:rPr>
          <w:t>Guertin KA</w:t>
        </w:r>
      </w:hyperlink>
      <w:r w:rsidR="00785714" w:rsidRPr="00EC13A5">
        <w:rPr>
          <w:rFonts w:cs="Arial"/>
          <w:lang w:val="en"/>
        </w:rPr>
        <w:t xml:space="preserve">, </w:t>
      </w:r>
      <w:hyperlink r:id="rId44" w:history="1">
        <w:r w:rsidR="00785714" w:rsidRPr="00EC13A5">
          <w:rPr>
            <w:rFonts w:cs="Arial"/>
            <w:lang w:val="en"/>
          </w:rPr>
          <w:t>Li XS</w:t>
        </w:r>
      </w:hyperlink>
      <w:r w:rsidR="00785714" w:rsidRPr="00EC13A5">
        <w:rPr>
          <w:rFonts w:cs="Arial"/>
          <w:lang w:val="en"/>
        </w:rPr>
        <w:t xml:space="preserve">, </w:t>
      </w:r>
      <w:hyperlink r:id="rId45" w:history="1">
        <w:r w:rsidR="00785714" w:rsidRPr="00EC13A5">
          <w:rPr>
            <w:rFonts w:cs="Arial"/>
            <w:lang w:val="en"/>
          </w:rPr>
          <w:t>Graubard BI</w:t>
        </w:r>
      </w:hyperlink>
      <w:r w:rsidR="00785714" w:rsidRPr="00EC13A5">
        <w:rPr>
          <w:rFonts w:cs="Arial"/>
          <w:lang w:val="en"/>
        </w:rPr>
        <w:t xml:space="preserve">, </w:t>
      </w:r>
      <w:hyperlink r:id="rId46" w:history="1">
        <w:r w:rsidR="00785714" w:rsidRPr="00EC13A5">
          <w:rPr>
            <w:rFonts w:cs="Arial"/>
            <w:lang w:val="en"/>
          </w:rPr>
          <w:t>Albanes D</w:t>
        </w:r>
      </w:hyperlink>
      <w:r w:rsidR="00785714" w:rsidRPr="00EC13A5">
        <w:rPr>
          <w:rFonts w:cs="Arial"/>
          <w:lang w:val="en"/>
        </w:rPr>
        <w:t xml:space="preserve">, </w:t>
      </w:r>
      <w:hyperlink r:id="rId47" w:history="1">
        <w:r w:rsidR="00785714" w:rsidRPr="00EC13A5">
          <w:rPr>
            <w:rFonts w:cs="Arial"/>
            <w:lang w:val="en"/>
          </w:rPr>
          <w:t>Weinstein SJ</w:t>
        </w:r>
      </w:hyperlink>
      <w:r w:rsidR="00785714" w:rsidRPr="00EC13A5">
        <w:rPr>
          <w:rFonts w:cs="Arial"/>
          <w:lang w:val="en"/>
        </w:rPr>
        <w:t xml:space="preserve">, </w:t>
      </w:r>
      <w:hyperlink r:id="rId48" w:history="1">
        <w:r w:rsidR="00785714" w:rsidRPr="00EC13A5">
          <w:rPr>
            <w:rFonts w:cs="Arial"/>
            <w:lang w:val="en"/>
          </w:rPr>
          <w:t>Goedert JJ</w:t>
        </w:r>
      </w:hyperlink>
      <w:r w:rsidR="00785714" w:rsidRPr="00EC13A5">
        <w:rPr>
          <w:rFonts w:cs="Arial"/>
          <w:lang w:val="en"/>
        </w:rPr>
        <w:t xml:space="preserve">, </w:t>
      </w:r>
      <w:hyperlink r:id="rId49" w:history="1">
        <w:r w:rsidR="00785714" w:rsidRPr="00EC13A5">
          <w:rPr>
            <w:rFonts w:cs="Arial"/>
            <w:lang w:val="en"/>
          </w:rPr>
          <w:t>Wang Z</w:t>
        </w:r>
      </w:hyperlink>
      <w:r w:rsidR="00785714" w:rsidRPr="00EC13A5">
        <w:rPr>
          <w:rFonts w:cs="Arial"/>
          <w:lang w:val="en"/>
        </w:rPr>
        <w:t xml:space="preserve">, </w:t>
      </w:r>
      <w:hyperlink r:id="rId50" w:history="1">
        <w:r w:rsidR="00785714" w:rsidRPr="00EC13A5">
          <w:rPr>
            <w:rFonts w:cs="Arial"/>
            <w:lang w:val="en"/>
          </w:rPr>
          <w:t>Hazen SL</w:t>
        </w:r>
      </w:hyperlink>
      <w:r w:rsidR="00785714" w:rsidRPr="00EC13A5">
        <w:rPr>
          <w:rFonts w:cs="Arial"/>
          <w:lang w:val="en"/>
        </w:rPr>
        <w:t xml:space="preserve">, </w:t>
      </w:r>
      <w:hyperlink r:id="rId51" w:history="1">
        <w:r w:rsidR="00785714" w:rsidRPr="00EC13A5">
          <w:rPr>
            <w:rFonts w:cs="Arial"/>
            <w:lang w:val="en"/>
          </w:rPr>
          <w:t>Sinha R</w:t>
        </w:r>
      </w:hyperlink>
      <w:r w:rsidR="00785714">
        <w:rPr>
          <w:rFonts w:cs="Arial"/>
          <w:lang w:val="en"/>
        </w:rPr>
        <w:t xml:space="preserve"> (2017) Serum t</w:t>
      </w:r>
      <w:r w:rsidR="00785714" w:rsidRPr="00EC13A5">
        <w:rPr>
          <w:rFonts w:cs="Arial"/>
          <w:lang w:val="en"/>
        </w:rPr>
        <w:t>rime</w:t>
      </w:r>
      <w:r w:rsidR="00785714">
        <w:rPr>
          <w:rFonts w:cs="Arial"/>
          <w:lang w:val="en"/>
        </w:rPr>
        <w:t>thylamine N-oxide, carnitine, choline, and betaine in relation to colorectal cancer risk in the Alpha Tocopherol, Beta C</w:t>
      </w:r>
      <w:r w:rsidR="00785714" w:rsidRPr="00EC13A5">
        <w:rPr>
          <w:rFonts w:cs="Arial"/>
          <w:lang w:val="en"/>
        </w:rPr>
        <w:t xml:space="preserve">arotene Cancer Prevention Study. </w:t>
      </w:r>
      <w:hyperlink r:id="rId52" w:tooltip="Cancer epidemiology, biomarkers &amp; prevention : a publication of the American Association for Cancer Research, cosponsored by the American Society of Preventive Oncology." w:history="1">
        <w:r w:rsidR="00785714" w:rsidRPr="00EC13A5">
          <w:rPr>
            <w:rFonts w:cs="Arial"/>
            <w:lang w:val="en"/>
          </w:rPr>
          <w:t>Cancer Epidemiol Biomarkers Prev</w:t>
        </w:r>
      </w:hyperlink>
      <w:r w:rsidR="00785714">
        <w:rPr>
          <w:rFonts w:cs="Arial"/>
          <w:lang w:val="en"/>
        </w:rPr>
        <w:t xml:space="preserve"> 26(6):945–952</w:t>
      </w:r>
    </w:p>
    <w:p w14:paraId="4F2474BB" w14:textId="77777777" w:rsidR="00785714" w:rsidRDefault="00785714" w:rsidP="00785714">
      <w:pPr>
        <w:rPr>
          <w:rFonts w:cs="Arial"/>
        </w:rPr>
      </w:pPr>
    </w:p>
    <w:p w14:paraId="449F01F9" w14:textId="77777777" w:rsidR="00785714" w:rsidRDefault="00785714" w:rsidP="00785714">
      <w:r>
        <w:t xml:space="preserve">Gustavsen HSM (2000) </w:t>
      </w:r>
      <w:r w:rsidRPr="00E13BC4">
        <w:t xml:space="preserve">Measurement of the </w:t>
      </w:r>
      <w:r>
        <w:t>L-carnitine content in f</w:t>
      </w:r>
      <w:r w:rsidRPr="00E13BC4">
        <w:t>resh</w:t>
      </w:r>
      <w:r>
        <w:t xml:space="preserve"> and processed food of plant and animal o</w:t>
      </w:r>
      <w:r w:rsidRPr="00E13BC4">
        <w:t>rigin. Hannover: Sch</w:t>
      </w:r>
      <w:r>
        <w:t>ool of Veterinary Medicine</w:t>
      </w:r>
      <w:r w:rsidRPr="00E13BC4">
        <w:t>.</w:t>
      </w:r>
    </w:p>
    <w:p w14:paraId="231B97B5" w14:textId="77777777" w:rsidR="00785714" w:rsidRDefault="00785714" w:rsidP="00785714">
      <w:pPr>
        <w:rPr>
          <w:rFonts w:cs="Arial"/>
        </w:rPr>
      </w:pPr>
    </w:p>
    <w:p w14:paraId="7497C3F5" w14:textId="3520ADB0" w:rsidR="00785714" w:rsidRPr="0009094F" w:rsidRDefault="00785714" w:rsidP="00785714">
      <w:pPr>
        <w:rPr>
          <w:lang w:val="en-AU" w:eastAsia="en-AU" w:bidi="ar-SA"/>
        </w:rPr>
      </w:pPr>
      <w:r w:rsidRPr="00E60401">
        <w:rPr>
          <w:lang w:val="en-AU" w:eastAsia="en-AU" w:bidi="ar-SA"/>
        </w:rPr>
        <w:t xml:space="preserve">Hamai Y, Kojima M and Wada Y (1988) Studies on the mutagenicity of </w:t>
      </w:r>
      <w:r>
        <w:rPr>
          <w:lang w:val="en-AU" w:eastAsia="en-AU" w:bidi="ar-SA"/>
        </w:rPr>
        <w:t>L-</w:t>
      </w:r>
      <w:r w:rsidRPr="00E60401">
        <w:rPr>
          <w:lang w:val="en-AU" w:eastAsia="en-AU" w:bidi="ar-SA"/>
        </w:rPr>
        <w:t>carnitine chloride.</w:t>
      </w:r>
      <w:r w:rsidR="007941B9">
        <w:rPr>
          <w:lang w:val="en-AU" w:eastAsia="en-AU" w:bidi="ar-SA"/>
        </w:rPr>
        <w:t xml:space="preserve"> Iyakuhin Kenkyu 19(3):</w:t>
      </w:r>
      <w:r>
        <w:rPr>
          <w:lang w:val="en-AU" w:eastAsia="en-AU" w:bidi="ar-SA"/>
        </w:rPr>
        <w:t>522–528</w:t>
      </w:r>
    </w:p>
    <w:p w14:paraId="7D457999" w14:textId="77777777" w:rsidR="00785714" w:rsidRDefault="00785714" w:rsidP="00785714">
      <w:pPr>
        <w:rPr>
          <w:rFonts w:cs="Arial"/>
        </w:rPr>
      </w:pPr>
    </w:p>
    <w:p w14:paraId="6D56DC7D" w14:textId="77777777" w:rsidR="00785714" w:rsidRPr="00EC13A5" w:rsidRDefault="00785714" w:rsidP="00785714">
      <w:pPr>
        <w:autoSpaceDE w:val="0"/>
        <w:autoSpaceDN w:val="0"/>
        <w:adjustRightInd w:val="0"/>
        <w:rPr>
          <w:rFonts w:cs="Arial"/>
        </w:rPr>
      </w:pPr>
      <w:r w:rsidRPr="00EC13A5">
        <w:rPr>
          <w:rFonts w:cs="Arial"/>
        </w:rPr>
        <w:t xml:space="preserve">Hartiala JA, Tang WHW, Wang Z, Crow AL, Stewart AFR, Roberts R, McPherson R, </w:t>
      </w:r>
      <w:r w:rsidRPr="00EC13A5">
        <w:rPr>
          <w:rFonts w:cs="Arial"/>
        </w:rPr>
        <w:lastRenderedPageBreak/>
        <w:t>Erdmann J, Willenborg C, Hazen SL, Allayee H (2016) Genome-wide association study and targeted metabolomics identifies sex-specific association of CPS1 with coronary artery</w:t>
      </w:r>
      <w:r>
        <w:rPr>
          <w:rFonts w:cs="Arial"/>
        </w:rPr>
        <w:t xml:space="preserve"> disease. </w:t>
      </w:r>
      <w:r w:rsidRPr="00EC13A5">
        <w:rPr>
          <w:rFonts w:cs="Arial"/>
        </w:rPr>
        <w:t>Nat Commun</w:t>
      </w:r>
      <w:r>
        <w:rPr>
          <w:rFonts w:cs="Arial"/>
        </w:rPr>
        <w:t xml:space="preserve"> 7:10558</w:t>
      </w:r>
    </w:p>
    <w:p w14:paraId="385595A1" w14:textId="77777777" w:rsidR="00785714" w:rsidRDefault="00785714" w:rsidP="00785714">
      <w:pPr>
        <w:rPr>
          <w:rFonts w:cs="Arial"/>
        </w:rPr>
      </w:pPr>
    </w:p>
    <w:p w14:paraId="465A22D2" w14:textId="77777777" w:rsidR="00785714" w:rsidRDefault="00785714" w:rsidP="00785714">
      <w:pPr>
        <w:rPr>
          <w:rFonts w:cs="Arial"/>
        </w:rPr>
      </w:pPr>
      <w:r w:rsidRPr="004C2C4C">
        <w:rPr>
          <w:rFonts w:cs="Arial"/>
        </w:rPr>
        <w:t>Hathcock JN, Shao A (2006) Risk assessment for carnitine. Regul Toxicol Pharmacol 46(1):23–28</w:t>
      </w:r>
    </w:p>
    <w:p w14:paraId="0AF6AA42" w14:textId="77777777" w:rsidR="00785714" w:rsidRDefault="00785714" w:rsidP="00785714">
      <w:pPr>
        <w:rPr>
          <w:rFonts w:cs="Arial"/>
        </w:rPr>
      </w:pPr>
    </w:p>
    <w:p w14:paraId="33EE62E5" w14:textId="77777777" w:rsidR="00785714" w:rsidRPr="00ED7E89" w:rsidRDefault="00785714" w:rsidP="00785714">
      <w:pPr>
        <w:rPr>
          <w:lang w:val="en-AU" w:eastAsia="en-AU" w:bidi="ar-SA"/>
        </w:rPr>
      </w:pPr>
      <w:r>
        <w:rPr>
          <w:lang w:val="en-AU" w:eastAsia="en-AU" w:bidi="ar-SA"/>
        </w:rPr>
        <w:t>Harlan Laboratories (2008a</w:t>
      </w:r>
      <w:r w:rsidRPr="00ED7E89">
        <w:rPr>
          <w:lang w:val="en-AU" w:eastAsia="en-AU" w:bidi="ar-SA"/>
        </w:rPr>
        <w:t>)</w:t>
      </w:r>
      <w:r>
        <w:rPr>
          <w:lang w:val="en-AU" w:eastAsia="en-AU" w:bidi="ar-SA"/>
        </w:rPr>
        <w:t xml:space="preserve"> Acute oral toxicity study in rats. (Lonza report No. 4318. Study No. C12086)</w:t>
      </w:r>
    </w:p>
    <w:p w14:paraId="5B54B884" w14:textId="77777777" w:rsidR="00785714" w:rsidRDefault="00785714" w:rsidP="00785714">
      <w:pPr>
        <w:rPr>
          <w:lang w:val="en-AU" w:eastAsia="en-AU" w:bidi="ar-SA"/>
        </w:rPr>
      </w:pPr>
    </w:p>
    <w:p w14:paraId="5C378B2D" w14:textId="77777777" w:rsidR="00785714" w:rsidRPr="00E60401" w:rsidRDefault="00785714" w:rsidP="00785714">
      <w:pPr>
        <w:rPr>
          <w:lang w:val="en-AU" w:eastAsia="en-AU" w:bidi="ar-SA"/>
        </w:rPr>
      </w:pPr>
      <w:r>
        <w:rPr>
          <w:lang w:val="en-AU" w:eastAsia="en-AU" w:bidi="ar-SA"/>
        </w:rPr>
        <w:t>Harlan Laboratories (2008b) Chromosome aberration test in human lymphocytes in v</w:t>
      </w:r>
      <w:r w:rsidRPr="00E60401">
        <w:rPr>
          <w:lang w:val="en-AU" w:eastAsia="en-AU" w:bidi="ar-SA"/>
        </w:rPr>
        <w:t>itro</w:t>
      </w:r>
    </w:p>
    <w:p w14:paraId="59E3146A" w14:textId="77777777" w:rsidR="00785714" w:rsidRDefault="00785714" w:rsidP="00785714">
      <w:pPr>
        <w:rPr>
          <w:lang w:val="en-AU" w:eastAsia="en-AU" w:bidi="ar-SA"/>
        </w:rPr>
      </w:pPr>
      <w:r>
        <w:rPr>
          <w:lang w:val="en-AU" w:eastAsia="en-AU" w:bidi="ar-SA"/>
        </w:rPr>
        <w:t>w</w:t>
      </w:r>
      <w:r w:rsidRPr="00E60401">
        <w:rPr>
          <w:lang w:val="en-AU" w:eastAsia="en-AU" w:bidi="ar-SA"/>
        </w:rPr>
        <w:t>ith LZ1000</w:t>
      </w:r>
      <w:r>
        <w:rPr>
          <w:lang w:val="en-AU" w:eastAsia="en-AU" w:bidi="ar-SA"/>
        </w:rPr>
        <w:t>. (Lonza report N</w:t>
      </w:r>
      <w:r w:rsidRPr="00E60401">
        <w:rPr>
          <w:lang w:val="en-AU" w:eastAsia="en-AU" w:bidi="ar-SA"/>
        </w:rPr>
        <w:t>o</w:t>
      </w:r>
      <w:r>
        <w:rPr>
          <w:lang w:val="en-AU" w:eastAsia="en-AU" w:bidi="ar-SA"/>
        </w:rPr>
        <w:t>. 4322, Study No. 1208500)</w:t>
      </w:r>
    </w:p>
    <w:p w14:paraId="779302E4" w14:textId="77777777" w:rsidR="00785714" w:rsidRDefault="00785714" w:rsidP="00785714">
      <w:pPr>
        <w:rPr>
          <w:lang w:val="en-AU" w:eastAsia="en-AU" w:bidi="ar-SA"/>
        </w:rPr>
      </w:pPr>
    </w:p>
    <w:p w14:paraId="5DE2E39B" w14:textId="5D53626A" w:rsidR="00785714" w:rsidRPr="000F6FD4" w:rsidRDefault="007377EA" w:rsidP="00785714">
      <w:pPr>
        <w:tabs>
          <w:tab w:val="left" w:pos="0"/>
        </w:tabs>
        <w:rPr>
          <w:rFonts w:cs="Arial"/>
          <w:noProof/>
        </w:rPr>
      </w:pPr>
      <w:hyperlink r:id="rId53" w:history="1">
        <w:r w:rsidR="00785714" w:rsidRPr="00EC13A5">
          <w:rPr>
            <w:rFonts w:cs="Arial"/>
            <w:lang w:val="en"/>
          </w:rPr>
          <w:t>Heianza Y</w:t>
        </w:r>
      </w:hyperlink>
      <w:r w:rsidR="00785714" w:rsidRPr="00EC13A5">
        <w:rPr>
          <w:rFonts w:cs="Arial"/>
          <w:lang w:val="en"/>
        </w:rPr>
        <w:t xml:space="preserve">, </w:t>
      </w:r>
      <w:hyperlink r:id="rId54" w:history="1">
        <w:r w:rsidR="00785714" w:rsidRPr="00EC13A5">
          <w:rPr>
            <w:rFonts w:cs="Arial"/>
            <w:lang w:val="en"/>
          </w:rPr>
          <w:t>Ma W</w:t>
        </w:r>
      </w:hyperlink>
      <w:r w:rsidR="00785714" w:rsidRPr="00EC13A5">
        <w:rPr>
          <w:rFonts w:cs="Arial"/>
          <w:lang w:val="en"/>
        </w:rPr>
        <w:t xml:space="preserve">, </w:t>
      </w:r>
      <w:hyperlink r:id="rId55" w:history="1">
        <w:r w:rsidR="00785714" w:rsidRPr="00EC13A5">
          <w:rPr>
            <w:rFonts w:cs="Arial"/>
            <w:lang w:val="en"/>
          </w:rPr>
          <w:t>Manson JE</w:t>
        </w:r>
      </w:hyperlink>
      <w:r w:rsidR="00785714" w:rsidRPr="00EC13A5">
        <w:rPr>
          <w:rFonts w:cs="Arial"/>
          <w:lang w:val="en"/>
        </w:rPr>
        <w:t xml:space="preserve">, </w:t>
      </w:r>
      <w:hyperlink r:id="rId56" w:history="1">
        <w:r w:rsidR="00785714" w:rsidRPr="00EC13A5">
          <w:rPr>
            <w:rFonts w:cs="Arial"/>
            <w:lang w:val="en"/>
          </w:rPr>
          <w:t>Rexrode KM</w:t>
        </w:r>
      </w:hyperlink>
      <w:r w:rsidR="00785714" w:rsidRPr="00EC13A5">
        <w:rPr>
          <w:rFonts w:cs="Arial"/>
          <w:lang w:val="en"/>
        </w:rPr>
        <w:t xml:space="preserve">, </w:t>
      </w:r>
      <w:hyperlink r:id="rId57" w:history="1">
        <w:r w:rsidR="00785714" w:rsidRPr="00EC13A5">
          <w:rPr>
            <w:rFonts w:cs="Arial"/>
            <w:lang w:val="en"/>
          </w:rPr>
          <w:t>Qi L</w:t>
        </w:r>
      </w:hyperlink>
      <w:r w:rsidR="0055564D">
        <w:rPr>
          <w:rFonts w:cs="Arial"/>
          <w:lang w:val="en"/>
        </w:rPr>
        <w:t xml:space="preserve">. </w:t>
      </w:r>
      <w:r w:rsidR="00785714" w:rsidRPr="00EC13A5">
        <w:rPr>
          <w:rFonts w:cs="Arial"/>
          <w:lang w:val="en"/>
        </w:rPr>
        <w:t xml:space="preserve">Gut Microbiota Metabolites and Risk of Major Adverse Cardiovascular Disease Events and Death: A Systematic Review and Meta-Analysis of Prospective Studies. </w:t>
      </w:r>
      <w:hyperlink r:id="rId58" w:tooltip="Journal of the American Heart Association." w:history="1">
        <w:r w:rsidR="00785714" w:rsidRPr="00EC13A5">
          <w:rPr>
            <w:rFonts w:cs="Arial"/>
            <w:lang w:val="en"/>
          </w:rPr>
          <w:t>J Am Heart Assoc.</w:t>
        </w:r>
      </w:hyperlink>
      <w:r w:rsidR="00785714" w:rsidRPr="00EC13A5">
        <w:rPr>
          <w:rFonts w:cs="Arial"/>
          <w:lang w:val="en"/>
        </w:rPr>
        <w:t xml:space="preserve"> 2017 Jun 29;6(7). pii: e004947. doi: 10.1161/JAHA.116.004947.</w:t>
      </w:r>
    </w:p>
    <w:p w14:paraId="64429809" w14:textId="77777777" w:rsidR="00785714" w:rsidRPr="00EC13A5" w:rsidRDefault="00785714" w:rsidP="00785714">
      <w:pPr>
        <w:tabs>
          <w:tab w:val="left" w:pos="0"/>
        </w:tabs>
        <w:rPr>
          <w:rFonts w:cs="Arial"/>
          <w:noProof/>
        </w:rPr>
      </w:pPr>
    </w:p>
    <w:p w14:paraId="69CF6C3B" w14:textId="77777777" w:rsidR="00785714" w:rsidRPr="00EC13A5" w:rsidRDefault="00785714" w:rsidP="00785714">
      <w:pPr>
        <w:tabs>
          <w:tab w:val="left" w:pos="0"/>
        </w:tabs>
        <w:rPr>
          <w:rFonts w:cs="Arial"/>
          <w:noProof/>
          <w:color w:val="3333FF"/>
          <w:u w:val="single"/>
        </w:rPr>
      </w:pPr>
      <w:r w:rsidRPr="00EC13A5">
        <w:rPr>
          <w:rFonts w:cs="Arial"/>
          <w:noProof/>
        </w:rPr>
        <w:t>Higgins JPT, Green S (2011) Cochrane Handbook for Systematic Reviews of Interventions. The Cochrane Collaboration, 2011.</w:t>
      </w:r>
      <w:r>
        <w:rPr>
          <w:rFonts w:cs="Arial"/>
          <w:noProof/>
        </w:rPr>
        <w:t xml:space="preserve"> </w:t>
      </w:r>
      <w:hyperlink r:id="rId59" w:history="1">
        <w:r w:rsidRPr="00EC13A5">
          <w:rPr>
            <w:rFonts w:cs="Arial"/>
            <w:noProof/>
            <w:color w:val="3333FF"/>
            <w:u w:val="single"/>
          </w:rPr>
          <w:t>www.cochrane-handbook.org</w:t>
        </w:r>
      </w:hyperlink>
    </w:p>
    <w:p w14:paraId="557800E7" w14:textId="77777777" w:rsidR="00785714" w:rsidRDefault="00785714" w:rsidP="00785714">
      <w:pPr>
        <w:rPr>
          <w:rFonts w:cs="Arial"/>
        </w:rPr>
      </w:pPr>
    </w:p>
    <w:p w14:paraId="77C78637" w14:textId="309E18BC" w:rsidR="00785714" w:rsidRDefault="00785714" w:rsidP="00785714">
      <w:pPr>
        <w:rPr>
          <w:rFonts w:cs="Arial"/>
        </w:rPr>
      </w:pPr>
      <w:r w:rsidRPr="00552610">
        <w:rPr>
          <w:rFonts w:cs="Arial"/>
          <w:lang w:val="en-AU"/>
        </w:rPr>
        <w:t xml:space="preserve">Iliceto S, Scrutinio D, Bruzzi P, D'Ambrosio G, Boni L, Di Biase M, Biasco G, </w:t>
      </w:r>
      <w:r>
        <w:rPr>
          <w:rFonts w:cs="Arial"/>
        </w:rPr>
        <w:t>Hugenholtz PG, Rizzon P (1995)</w:t>
      </w:r>
      <w:r w:rsidRPr="00552610">
        <w:rPr>
          <w:rFonts w:cs="Arial"/>
        </w:rPr>
        <w:t xml:space="preserve"> Effects of L-carnitine administration on left</w:t>
      </w:r>
      <w:r>
        <w:rPr>
          <w:rFonts w:cs="Arial"/>
        </w:rPr>
        <w:t xml:space="preserve"> </w:t>
      </w:r>
      <w:r w:rsidRPr="00552610">
        <w:rPr>
          <w:rFonts w:cs="Arial"/>
        </w:rPr>
        <w:t>ventricular remodeling after acute anterior myocardial infarction: the</w:t>
      </w:r>
      <w:r>
        <w:rPr>
          <w:rFonts w:cs="Arial"/>
        </w:rPr>
        <w:t xml:space="preserve"> </w:t>
      </w:r>
      <w:r w:rsidR="007941B9">
        <w:rPr>
          <w:rFonts w:cs="Arial"/>
        </w:rPr>
        <w:t>L-c</w:t>
      </w:r>
      <w:r w:rsidRPr="00552610">
        <w:rPr>
          <w:rFonts w:cs="Arial"/>
        </w:rPr>
        <w:t>arnitine</w:t>
      </w:r>
      <w:r w:rsidR="007941B9">
        <w:rPr>
          <w:rFonts w:cs="Arial"/>
        </w:rPr>
        <w:t xml:space="preserve"> ecocardiografia digitalizzata infarto m</w:t>
      </w:r>
      <w:r w:rsidRPr="00552610">
        <w:rPr>
          <w:rFonts w:cs="Arial"/>
        </w:rPr>
        <w:t xml:space="preserve">iocardico (CEDIM) Trial. J Am </w:t>
      </w:r>
      <w:r>
        <w:rPr>
          <w:rFonts w:cs="Arial"/>
        </w:rPr>
        <w:t xml:space="preserve">Coll Cardiol </w:t>
      </w:r>
      <w:r w:rsidRPr="00552610">
        <w:rPr>
          <w:rFonts w:cs="Arial"/>
        </w:rPr>
        <w:t>26(2):380</w:t>
      </w:r>
      <w:r>
        <w:rPr>
          <w:rFonts w:cs="Arial"/>
        </w:rPr>
        <w:t>–387</w:t>
      </w:r>
    </w:p>
    <w:p w14:paraId="3C74E630" w14:textId="77777777" w:rsidR="00785714" w:rsidRDefault="00785714" w:rsidP="00785714">
      <w:pPr>
        <w:rPr>
          <w:rFonts w:cs="Arial"/>
        </w:rPr>
      </w:pPr>
    </w:p>
    <w:p w14:paraId="6BAFA32A" w14:textId="77777777" w:rsidR="00785714" w:rsidRDefault="00785714" w:rsidP="00785714">
      <w:pPr>
        <w:rPr>
          <w:lang w:val="en-AU" w:eastAsia="en-AU" w:bidi="ar-SA"/>
        </w:rPr>
      </w:pPr>
      <w:r w:rsidRPr="00E60401">
        <w:rPr>
          <w:lang w:val="en-AU" w:eastAsia="en-AU" w:bidi="ar-SA"/>
        </w:rPr>
        <w:t>Itabashi M, Watanabe H, Yamate J, Takehara</w:t>
      </w:r>
      <w:r>
        <w:rPr>
          <w:lang w:val="en-AU" w:eastAsia="en-AU" w:bidi="ar-SA"/>
        </w:rPr>
        <w:t xml:space="preserve"> K, Tajima M and Wada Y (1988a) Reproduction studies of L</w:t>
      </w:r>
      <w:r w:rsidRPr="00E60401">
        <w:rPr>
          <w:lang w:val="en-AU" w:eastAsia="en-AU" w:bidi="ar-SA"/>
        </w:rPr>
        <w:t>-carnitine chloride in rats by oral administration prior to mating and in the early stage of ge</w:t>
      </w:r>
      <w:r>
        <w:rPr>
          <w:lang w:val="en-AU" w:eastAsia="en-AU" w:bidi="ar-SA"/>
        </w:rPr>
        <w:t>station. Iyakuhin Kenkyu 19(3):454–</w:t>
      </w:r>
      <w:r w:rsidRPr="00E60401">
        <w:rPr>
          <w:lang w:val="en-AU" w:eastAsia="en-AU" w:bidi="ar-SA"/>
        </w:rPr>
        <w:t>464</w:t>
      </w:r>
    </w:p>
    <w:p w14:paraId="4C137965" w14:textId="77777777" w:rsidR="00785714" w:rsidRDefault="00785714" w:rsidP="00785714">
      <w:pPr>
        <w:rPr>
          <w:lang w:val="en-AU" w:eastAsia="en-AU" w:bidi="ar-SA"/>
        </w:rPr>
      </w:pPr>
    </w:p>
    <w:p w14:paraId="2224EA57" w14:textId="77777777" w:rsidR="00785714" w:rsidRPr="00E60401" w:rsidRDefault="00785714" w:rsidP="00785714">
      <w:pPr>
        <w:rPr>
          <w:lang w:val="en-AU" w:eastAsia="en-AU" w:bidi="ar-SA"/>
        </w:rPr>
      </w:pPr>
      <w:r w:rsidRPr="00E60401">
        <w:rPr>
          <w:lang w:val="en-AU" w:eastAsia="en-AU" w:bidi="ar-SA"/>
        </w:rPr>
        <w:t>Itabashi M, Yamashita K, Inoue T, Yamate J, Takehara</w:t>
      </w:r>
      <w:r>
        <w:rPr>
          <w:lang w:val="en-AU" w:eastAsia="en-AU" w:bidi="ar-SA"/>
        </w:rPr>
        <w:t xml:space="preserve"> K, Tajima M and Wada Y (1988b)</w:t>
      </w:r>
      <w:r w:rsidRPr="00E60401">
        <w:rPr>
          <w:lang w:val="en-AU" w:eastAsia="en-AU" w:bidi="ar-SA"/>
        </w:rPr>
        <w:t xml:space="preserve"> Reproduction studies of </w:t>
      </w:r>
      <w:r>
        <w:rPr>
          <w:lang w:val="en-AU" w:eastAsia="en-AU" w:bidi="ar-SA"/>
        </w:rPr>
        <w:t>L-</w:t>
      </w:r>
      <w:r w:rsidRPr="00E60401">
        <w:rPr>
          <w:lang w:val="en-AU" w:eastAsia="en-AU" w:bidi="ar-SA"/>
        </w:rPr>
        <w:t>carnitine chloride in rats by oral administration during the perinatal and lactating periods.</w:t>
      </w:r>
      <w:r>
        <w:rPr>
          <w:lang w:val="en-AU" w:eastAsia="en-AU" w:bidi="ar-SA"/>
        </w:rPr>
        <w:t xml:space="preserve"> Iyakuhin Kenkyu 19(3):490–509</w:t>
      </w:r>
    </w:p>
    <w:p w14:paraId="7D3ECC7D" w14:textId="77777777" w:rsidR="00785714" w:rsidRDefault="00785714" w:rsidP="00785714">
      <w:pPr>
        <w:rPr>
          <w:rFonts w:cs="Arial"/>
        </w:rPr>
      </w:pPr>
    </w:p>
    <w:p w14:paraId="6D37E326" w14:textId="77777777" w:rsidR="00785714" w:rsidRDefault="00785714" w:rsidP="00785714">
      <w:pPr>
        <w:rPr>
          <w:rFonts w:cs="Arial"/>
        </w:rPr>
      </w:pPr>
      <w:r w:rsidRPr="000D49AD">
        <w:rPr>
          <w:rFonts w:cs="Arial"/>
        </w:rPr>
        <w:t>Kaysen GA, Johansen KL, Chertow GM, Dalrymple L</w:t>
      </w:r>
      <w:r>
        <w:rPr>
          <w:rFonts w:cs="Arial"/>
        </w:rPr>
        <w:t>S, Kornak J, Grimes B, Dwyer T, Chassy AW, Fiehn O (2015) Associations of trimethylamine N-oxide with nutritional and inflammatory biomarkers and cardiovascular outcomes in patients new to d</w:t>
      </w:r>
      <w:r w:rsidRPr="000D49AD">
        <w:rPr>
          <w:rFonts w:cs="Arial"/>
        </w:rPr>
        <w:t>ialysis.</w:t>
      </w:r>
      <w:r>
        <w:rPr>
          <w:rFonts w:cs="Arial"/>
        </w:rPr>
        <w:t xml:space="preserve"> </w:t>
      </w:r>
      <w:r w:rsidRPr="000D49AD">
        <w:rPr>
          <w:rFonts w:cs="Arial"/>
        </w:rPr>
        <w:t>J Ren Nutr</w:t>
      </w:r>
      <w:r>
        <w:rPr>
          <w:rFonts w:cs="Arial"/>
        </w:rPr>
        <w:t xml:space="preserve"> 25(4):351–356</w:t>
      </w:r>
    </w:p>
    <w:p w14:paraId="14121FDE" w14:textId="77777777" w:rsidR="00785714" w:rsidRDefault="00785714" w:rsidP="00785714">
      <w:pPr>
        <w:rPr>
          <w:rFonts w:cs="Arial"/>
        </w:rPr>
      </w:pPr>
    </w:p>
    <w:p w14:paraId="165D5341" w14:textId="77777777" w:rsidR="00785714" w:rsidRDefault="00785714" w:rsidP="00785714">
      <w:pPr>
        <w:rPr>
          <w:rFonts w:cs="Arial"/>
        </w:rPr>
      </w:pPr>
      <w:r>
        <w:rPr>
          <w:rFonts w:cs="Arial"/>
        </w:rPr>
        <w:t>K</w:t>
      </w:r>
      <w:r w:rsidRPr="001D77F5">
        <w:rPr>
          <w:rFonts w:cs="Arial"/>
        </w:rPr>
        <w:t>eller U, van der Wal C, Selige</w:t>
      </w:r>
      <w:r>
        <w:rPr>
          <w:rFonts w:cs="Arial"/>
        </w:rPr>
        <w:t>r G, Scheler C, Röpke F, Eder K (2009)</w:t>
      </w:r>
      <w:r w:rsidRPr="001D77F5">
        <w:rPr>
          <w:rFonts w:cs="Arial"/>
        </w:rPr>
        <w:t xml:space="preserve"> Carnitine</w:t>
      </w:r>
      <w:r>
        <w:rPr>
          <w:rFonts w:cs="Arial"/>
        </w:rPr>
        <w:t xml:space="preserve"> </w:t>
      </w:r>
      <w:r w:rsidRPr="001D77F5">
        <w:rPr>
          <w:rFonts w:cs="Arial"/>
        </w:rPr>
        <w:t>status of pregnant women: effect of carnitine supplementation and correlation</w:t>
      </w:r>
      <w:r>
        <w:rPr>
          <w:rFonts w:cs="Arial"/>
        </w:rPr>
        <w:t xml:space="preserve"> </w:t>
      </w:r>
      <w:r w:rsidRPr="001D77F5">
        <w:rPr>
          <w:rFonts w:cs="Arial"/>
        </w:rPr>
        <w:t>between iron status and plasma carnitine concentration. Eur J Clin Nutr</w:t>
      </w:r>
      <w:r>
        <w:rPr>
          <w:rFonts w:cs="Arial"/>
        </w:rPr>
        <w:t xml:space="preserve"> 63(9):1098–1105</w:t>
      </w:r>
    </w:p>
    <w:p w14:paraId="154FA2A8" w14:textId="77777777" w:rsidR="00785714" w:rsidRDefault="00785714" w:rsidP="00785714">
      <w:pPr>
        <w:rPr>
          <w:rFonts w:cs="Arial"/>
        </w:rPr>
      </w:pPr>
    </w:p>
    <w:p w14:paraId="2B1FC9CB" w14:textId="77777777" w:rsidR="00785714" w:rsidRPr="00E60401" w:rsidRDefault="00785714" w:rsidP="00785714">
      <w:pPr>
        <w:rPr>
          <w:lang w:val="en-AU" w:eastAsia="en-AU" w:bidi="ar-SA"/>
        </w:rPr>
      </w:pPr>
      <w:r w:rsidRPr="00E60401">
        <w:rPr>
          <w:lang w:val="en-AU" w:eastAsia="en-AU" w:bidi="ar-SA"/>
        </w:rPr>
        <w:t>Kikumori M, Kida S, Watanabe K, Nishida</w:t>
      </w:r>
      <w:r>
        <w:rPr>
          <w:lang w:val="en-AU" w:eastAsia="en-AU" w:bidi="ar-SA"/>
        </w:rPr>
        <w:t xml:space="preserve"> I, Tobita K and Wada Y (1988a) Acute toxicity study of L-</w:t>
      </w:r>
      <w:r w:rsidRPr="00E60401">
        <w:rPr>
          <w:lang w:val="en-AU" w:eastAsia="en-AU" w:bidi="ar-SA"/>
        </w:rPr>
        <w:t>carnitine chloride in</w:t>
      </w:r>
      <w:r>
        <w:rPr>
          <w:lang w:val="en-AU" w:eastAsia="en-AU" w:bidi="ar-SA"/>
        </w:rPr>
        <w:t xml:space="preserve"> Beagles. Iyakuhin Kenkyu 19(2):238–</w:t>
      </w:r>
      <w:r w:rsidRPr="00E60401">
        <w:rPr>
          <w:lang w:val="en-AU" w:eastAsia="en-AU" w:bidi="ar-SA"/>
        </w:rPr>
        <w:t>243</w:t>
      </w:r>
    </w:p>
    <w:p w14:paraId="7D8D4483" w14:textId="77777777" w:rsidR="00785714" w:rsidRPr="00E60401" w:rsidRDefault="00785714" w:rsidP="00785714">
      <w:pPr>
        <w:rPr>
          <w:lang w:val="en-AU" w:eastAsia="en-AU" w:bidi="ar-SA"/>
        </w:rPr>
      </w:pPr>
    </w:p>
    <w:p w14:paraId="2F8A58A4" w14:textId="77777777" w:rsidR="00785714" w:rsidRPr="00E60401" w:rsidRDefault="00785714" w:rsidP="00785714">
      <w:pPr>
        <w:rPr>
          <w:lang w:val="en-AU" w:eastAsia="en-AU" w:bidi="ar-SA"/>
        </w:rPr>
      </w:pPr>
      <w:r w:rsidRPr="00E60401">
        <w:rPr>
          <w:lang w:val="en-AU" w:eastAsia="en-AU" w:bidi="ar-SA"/>
        </w:rPr>
        <w:t>Kikumori M, Kida S, Watanabe K, Kubo T, Nishimori T, Nishimura T an</w:t>
      </w:r>
      <w:r>
        <w:rPr>
          <w:lang w:val="en-AU" w:eastAsia="en-AU" w:bidi="ar-SA"/>
        </w:rPr>
        <w:t>d Wada Y (1988b) Subacute toxicity study of L-</w:t>
      </w:r>
      <w:r w:rsidRPr="00E60401">
        <w:rPr>
          <w:lang w:val="en-AU" w:eastAsia="en-AU" w:bidi="ar-SA"/>
        </w:rPr>
        <w:t xml:space="preserve">carnitine chloride in </w:t>
      </w:r>
      <w:r>
        <w:rPr>
          <w:lang w:val="en-AU" w:eastAsia="en-AU" w:bidi="ar-SA"/>
        </w:rPr>
        <w:t>Beagles. Iyahukin Kenkyu 19(2):244–</w:t>
      </w:r>
      <w:r w:rsidRPr="00E60401">
        <w:rPr>
          <w:lang w:val="en-AU" w:eastAsia="en-AU" w:bidi="ar-SA"/>
        </w:rPr>
        <w:t>260</w:t>
      </w:r>
    </w:p>
    <w:p w14:paraId="69775994" w14:textId="77777777" w:rsidR="00785714" w:rsidRPr="00E60401" w:rsidRDefault="00785714" w:rsidP="00785714">
      <w:pPr>
        <w:rPr>
          <w:lang w:val="en-AU" w:eastAsia="en-AU" w:bidi="ar-SA"/>
        </w:rPr>
      </w:pPr>
    </w:p>
    <w:p w14:paraId="22B45FFB" w14:textId="77777777" w:rsidR="00785714" w:rsidRDefault="00785714" w:rsidP="00785714">
      <w:pPr>
        <w:rPr>
          <w:lang w:val="en-AU" w:eastAsia="en-AU" w:bidi="ar-SA"/>
        </w:rPr>
      </w:pPr>
      <w:r w:rsidRPr="00E60401">
        <w:rPr>
          <w:lang w:val="en-AU" w:eastAsia="en-AU" w:bidi="ar-SA"/>
        </w:rPr>
        <w:t>Kikumori M, Kida S, Watanabe K, Nishizawa Y, Nishimori T, Nishimura T, Kitamura G, Asahara</w:t>
      </w:r>
      <w:r>
        <w:rPr>
          <w:lang w:val="en-AU" w:eastAsia="en-AU" w:bidi="ar-SA"/>
        </w:rPr>
        <w:t xml:space="preserve"> Y, Tobita K and Wada Y (1988c)</w:t>
      </w:r>
      <w:r w:rsidRPr="00E60401">
        <w:rPr>
          <w:lang w:val="en-AU" w:eastAsia="en-AU" w:bidi="ar-SA"/>
        </w:rPr>
        <w:t xml:space="preserve"> Chronic toxicity study</w:t>
      </w:r>
      <w:r>
        <w:rPr>
          <w:lang w:val="en-AU" w:eastAsia="en-AU" w:bidi="ar-SA"/>
        </w:rPr>
        <w:t xml:space="preserve"> of L-</w:t>
      </w:r>
      <w:r w:rsidRPr="00E60401">
        <w:rPr>
          <w:lang w:val="en-AU" w:eastAsia="en-AU" w:bidi="ar-SA"/>
        </w:rPr>
        <w:t xml:space="preserve">carnitine chloride in </w:t>
      </w:r>
      <w:r>
        <w:rPr>
          <w:lang w:val="en-AU" w:eastAsia="en-AU" w:bidi="ar-SA"/>
        </w:rPr>
        <w:t>Beagles. Iyakuhin Kenkyu 19(2):261–</w:t>
      </w:r>
      <w:r w:rsidRPr="00E60401">
        <w:rPr>
          <w:lang w:val="en-AU" w:eastAsia="en-AU" w:bidi="ar-SA"/>
        </w:rPr>
        <w:t>281</w:t>
      </w:r>
    </w:p>
    <w:p w14:paraId="7CD2D228" w14:textId="77777777" w:rsidR="00785714" w:rsidRDefault="00785714" w:rsidP="00785714">
      <w:pPr>
        <w:rPr>
          <w:lang w:val="en-AU" w:eastAsia="en-AU" w:bidi="ar-SA"/>
        </w:rPr>
      </w:pPr>
    </w:p>
    <w:p w14:paraId="3ED54EA7" w14:textId="1206ECE7" w:rsidR="00785714" w:rsidRPr="00250E2F" w:rsidRDefault="007377EA" w:rsidP="00785714">
      <w:pPr>
        <w:shd w:val="clear" w:color="auto" w:fill="FFFFFF"/>
        <w:rPr>
          <w:rFonts w:cs="Arial"/>
          <w:lang w:val="en" w:eastAsia="en-GB"/>
        </w:rPr>
      </w:pPr>
      <w:hyperlink r:id="rId60" w:history="1">
        <w:r w:rsidR="00785714" w:rsidRPr="00EC13A5">
          <w:rPr>
            <w:rFonts w:cs="Arial"/>
            <w:lang w:val="en"/>
          </w:rPr>
          <w:t>Kim RB</w:t>
        </w:r>
      </w:hyperlink>
      <w:r w:rsidR="00785714" w:rsidRPr="00EC13A5">
        <w:rPr>
          <w:rFonts w:cs="Arial"/>
          <w:lang w:val="en"/>
        </w:rPr>
        <w:t xml:space="preserve">, </w:t>
      </w:r>
      <w:hyperlink r:id="rId61" w:history="1">
        <w:r w:rsidR="00785714" w:rsidRPr="00EC13A5">
          <w:rPr>
            <w:rFonts w:cs="Arial"/>
            <w:lang w:val="en"/>
          </w:rPr>
          <w:t>Morse BL</w:t>
        </w:r>
      </w:hyperlink>
      <w:r w:rsidR="00785714" w:rsidRPr="00EC13A5">
        <w:rPr>
          <w:rFonts w:cs="Arial"/>
          <w:lang w:val="en"/>
        </w:rPr>
        <w:t xml:space="preserve">, </w:t>
      </w:r>
      <w:hyperlink r:id="rId62" w:history="1">
        <w:r w:rsidR="00785714" w:rsidRPr="00EC13A5">
          <w:rPr>
            <w:rFonts w:cs="Arial"/>
            <w:lang w:val="en"/>
          </w:rPr>
          <w:t>Djurdjev O</w:t>
        </w:r>
      </w:hyperlink>
      <w:r w:rsidR="00785714" w:rsidRPr="00EC13A5">
        <w:rPr>
          <w:rFonts w:cs="Arial"/>
          <w:lang w:val="en"/>
        </w:rPr>
        <w:t xml:space="preserve">, </w:t>
      </w:r>
      <w:hyperlink r:id="rId63" w:history="1">
        <w:r w:rsidR="00785714" w:rsidRPr="00EC13A5">
          <w:rPr>
            <w:rFonts w:cs="Arial"/>
            <w:lang w:val="en"/>
          </w:rPr>
          <w:t>Tang M</w:t>
        </w:r>
      </w:hyperlink>
      <w:r w:rsidR="00785714" w:rsidRPr="00EC13A5">
        <w:rPr>
          <w:rFonts w:cs="Arial"/>
          <w:lang w:val="en"/>
        </w:rPr>
        <w:t xml:space="preserve">, </w:t>
      </w:r>
      <w:hyperlink r:id="rId64" w:history="1">
        <w:r w:rsidR="00785714" w:rsidRPr="00EC13A5">
          <w:rPr>
            <w:rFonts w:cs="Arial"/>
            <w:lang w:val="en"/>
          </w:rPr>
          <w:t>Muirhead N</w:t>
        </w:r>
      </w:hyperlink>
      <w:r w:rsidR="00785714" w:rsidRPr="00EC13A5">
        <w:rPr>
          <w:rFonts w:cs="Arial"/>
          <w:lang w:val="en"/>
        </w:rPr>
        <w:t xml:space="preserve">, </w:t>
      </w:r>
      <w:hyperlink r:id="rId65" w:history="1">
        <w:r w:rsidR="00785714" w:rsidRPr="00EC13A5">
          <w:rPr>
            <w:rFonts w:cs="Arial"/>
            <w:lang w:val="en"/>
          </w:rPr>
          <w:t>Barrett B</w:t>
        </w:r>
      </w:hyperlink>
      <w:r w:rsidR="00785714" w:rsidRPr="00EC13A5">
        <w:rPr>
          <w:rFonts w:cs="Arial"/>
          <w:lang w:val="en"/>
        </w:rPr>
        <w:t xml:space="preserve">, </w:t>
      </w:r>
      <w:hyperlink r:id="rId66" w:history="1">
        <w:r w:rsidR="00785714" w:rsidRPr="00EC13A5">
          <w:rPr>
            <w:rFonts w:cs="Arial"/>
            <w:lang w:val="en"/>
          </w:rPr>
          <w:t>Holmes DT</w:t>
        </w:r>
      </w:hyperlink>
      <w:r w:rsidR="00785714" w:rsidRPr="00EC13A5">
        <w:rPr>
          <w:rFonts w:cs="Arial"/>
          <w:lang w:val="en"/>
        </w:rPr>
        <w:t xml:space="preserve">, </w:t>
      </w:r>
      <w:hyperlink r:id="rId67" w:history="1">
        <w:r w:rsidR="00785714" w:rsidRPr="00EC13A5">
          <w:rPr>
            <w:rFonts w:cs="Arial"/>
            <w:lang w:val="en"/>
          </w:rPr>
          <w:t>Madore F</w:t>
        </w:r>
      </w:hyperlink>
      <w:r w:rsidR="00785714" w:rsidRPr="00EC13A5">
        <w:rPr>
          <w:rFonts w:cs="Arial"/>
          <w:lang w:val="en"/>
        </w:rPr>
        <w:t xml:space="preserve">, </w:t>
      </w:r>
      <w:hyperlink r:id="rId68" w:history="1">
        <w:r w:rsidR="00785714" w:rsidRPr="00EC13A5">
          <w:rPr>
            <w:rFonts w:cs="Arial"/>
            <w:lang w:val="en"/>
          </w:rPr>
          <w:t>Clase CM</w:t>
        </w:r>
      </w:hyperlink>
      <w:r w:rsidR="00785714" w:rsidRPr="00EC13A5">
        <w:rPr>
          <w:rFonts w:cs="Arial"/>
          <w:lang w:val="en"/>
        </w:rPr>
        <w:t xml:space="preserve">, </w:t>
      </w:r>
      <w:hyperlink r:id="rId69" w:history="1">
        <w:r w:rsidR="00785714" w:rsidRPr="00EC13A5">
          <w:rPr>
            <w:rFonts w:cs="Arial"/>
            <w:lang w:val="en"/>
          </w:rPr>
          <w:t>Rigatto C</w:t>
        </w:r>
      </w:hyperlink>
      <w:r w:rsidR="00785714" w:rsidRPr="00EC13A5">
        <w:rPr>
          <w:rFonts w:cs="Arial"/>
          <w:lang w:val="en"/>
        </w:rPr>
        <w:t xml:space="preserve">, </w:t>
      </w:r>
      <w:hyperlink r:id="rId70" w:history="1">
        <w:r w:rsidR="00785714" w:rsidRPr="00EC13A5">
          <w:rPr>
            <w:rFonts w:cs="Arial"/>
            <w:lang w:val="en"/>
          </w:rPr>
          <w:t>Levin A</w:t>
        </w:r>
      </w:hyperlink>
      <w:r w:rsidR="00785714" w:rsidRPr="00EC13A5">
        <w:rPr>
          <w:rFonts w:cs="Arial"/>
          <w:lang w:val="en"/>
        </w:rPr>
        <w:t xml:space="preserve">; </w:t>
      </w:r>
      <w:hyperlink r:id="rId71" w:history="1">
        <w:r w:rsidR="00785714" w:rsidRPr="00EC13A5">
          <w:rPr>
            <w:rFonts w:cs="Arial"/>
            <w:lang w:val="en"/>
          </w:rPr>
          <w:t>CanPREDDICT Investigators</w:t>
        </w:r>
      </w:hyperlink>
      <w:r w:rsidR="00785714">
        <w:rPr>
          <w:rFonts w:cs="Arial"/>
          <w:lang w:val="en"/>
        </w:rPr>
        <w:t xml:space="preserve"> (2016)</w:t>
      </w:r>
      <w:r w:rsidR="00785714" w:rsidRPr="00EC13A5">
        <w:rPr>
          <w:rFonts w:cs="Arial"/>
          <w:lang w:val="en"/>
        </w:rPr>
        <w:t xml:space="preserve"> Advanced chronic kidney disease populations have elevated trimethylamine N-oxide levels associated with increased cardiovascular events.</w:t>
      </w:r>
      <w:r w:rsidR="00785714">
        <w:rPr>
          <w:rFonts w:cs="Arial"/>
          <w:lang w:val="en"/>
        </w:rPr>
        <w:t xml:space="preserve"> </w:t>
      </w:r>
      <w:hyperlink r:id="rId72" w:tooltip="Kidney international." w:history="1">
        <w:r w:rsidR="00785714" w:rsidRPr="00EC13A5">
          <w:rPr>
            <w:rFonts w:cs="Arial"/>
            <w:lang w:val="en" w:eastAsia="en-GB"/>
          </w:rPr>
          <w:t>Kidney Int</w:t>
        </w:r>
      </w:hyperlink>
      <w:r w:rsidR="00785714">
        <w:rPr>
          <w:rFonts w:cs="Arial"/>
          <w:lang w:val="en" w:eastAsia="en-GB"/>
        </w:rPr>
        <w:t xml:space="preserve"> 89(5):1144–1152</w:t>
      </w:r>
    </w:p>
    <w:p w14:paraId="18373BE8" w14:textId="77777777" w:rsidR="00785714" w:rsidRDefault="00785714" w:rsidP="00785714">
      <w:pPr>
        <w:rPr>
          <w:rFonts w:cs="Arial"/>
        </w:rPr>
      </w:pPr>
    </w:p>
    <w:p w14:paraId="156157BE" w14:textId="30E4B0B9" w:rsidR="00AC3CD6" w:rsidRPr="00EC13A5" w:rsidRDefault="00AC3CD6" w:rsidP="00AC3CD6">
      <w:pPr>
        <w:keepNext/>
        <w:keepLines/>
        <w:autoSpaceDE w:val="0"/>
        <w:autoSpaceDN w:val="0"/>
        <w:adjustRightInd w:val="0"/>
        <w:rPr>
          <w:rFonts w:cs="Arial"/>
        </w:rPr>
      </w:pPr>
      <w:r w:rsidRPr="00EC13A5">
        <w:rPr>
          <w:rFonts w:cs="Arial"/>
        </w:rPr>
        <w:t>Koeth RA (2013) Dietary trimethylamines, the gut microbiota, and atherosclerosis. PhD thesis</w:t>
      </w:r>
      <w:r w:rsidR="0055564D">
        <w:rPr>
          <w:rFonts w:cs="Arial"/>
        </w:rPr>
        <w:t xml:space="preserve">. </w:t>
      </w:r>
      <w:r w:rsidRPr="00EC13A5">
        <w:rPr>
          <w:rFonts w:cs="Arial"/>
        </w:rPr>
        <w:t xml:space="preserve">Department of Pathology, Case Western Reserve University, Available at </w:t>
      </w:r>
      <w:hyperlink r:id="rId73" w:history="1">
        <w:r w:rsidRPr="00EC13A5">
          <w:rPr>
            <w:rFonts w:cs="Arial"/>
            <w:color w:val="3333FF"/>
            <w:u w:val="single"/>
          </w:rPr>
          <w:t>https://etd.ohiolink.edu/!etd.send_file?accession=case1369997123&amp;disposition=inlineKoeth</w:t>
        </w:r>
      </w:hyperlink>
    </w:p>
    <w:p w14:paraId="602C2376" w14:textId="77777777" w:rsidR="00AC3CD6" w:rsidRDefault="00AC3CD6" w:rsidP="00AC3CD6">
      <w:pPr>
        <w:keepNext/>
        <w:keepLines/>
        <w:autoSpaceDE w:val="0"/>
        <w:autoSpaceDN w:val="0"/>
        <w:adjustRightInd w:val="0"/>
        <w:rPr>
          <w:rFonts w:cs="Arial"/>
        </w:rPr>
      </w:pPr>
    </w:p>
    <w:p w14:paraId="1A01E197" w14:textId="3BCAA17C" w:rsidR="00785714" w:rsidRPr="00EC13A5" w:rsidRDefault="00785714" w:rsidP="00AC3CD6">
      <w:pPr>
        <w:keepNext/>
        <w:keepLines/>
        <w:autoSpaceDE w:val="0"/>
        <w:autoSpaceDN w:val="0"/>
        <w:adjustRightInd w:val="0"/>
        <w:rPr>
          <w:rFonts w:cs="Arial"/>
        </w:rPr>
      </w:pPr>
      <w:r w:rsidRPr="00EC13A5">
        <w:rPr>
          <w:rFonts w:cs="Arial"/>
        </w:rPr>
        <w:t>Koeth  RA,</w:t>
      </w:r>
      <w:r>
        <w:rPr>
          <w:rFonts w:cs="Arial"/>
        </w:rPr>
        <w:t xml:space="preserve"> </w:t>
      </w:r>
      <w:hyperlink r:id="rId74" w:history="1">
        <w:r w:rsidRPr="00EC13A5">
          <w:rPr>
            <w:rFonts w:cs="Arial"/>
            <w:lang w:val="en"/>
          </w:rPr>
          <w:t>Wang Z</w:t>
        </w:r>
      </w:hyperlink>
      <w:r w:rsidRPr="00EC13A5">
        <w:rPr>
          <w:rFonts w:cs="Arial"/>
          <w:lang w:val="en"/>
        </w:rPr>
        <w:t xml:space="preserve">, </w:t>
      </w:r>
      <w:hyperlink r:id="rId75" w:history="1">
        <w:r w:rsidRPr="00EC13A5">
          <w:rPr>
            <w:rFonts w:cs="Arial"/>
            <w:lang w:val="en"/>
          </w:rPr>
          <w:t>Levison BS</w:t>
        </w:r>
      </w:hyperlink>
      <w:r w:rsidRPr="00EC13A5">
        <w:rPr>
          <w:rFonts w:cs="Arial"/>
          <w:lang w:val="en"/>
        </w:rPr>
        <w:t xml:space="preserve">, </w:t>
      </w:r>
      <w:hyperlink r:id="rId76" w:history="1">
        <w:r w:rsidRPr="00EC13A5">
          <w:rPr>
            <w:rFonts w:cs="Arial"/>
            <w:lang w:val="en"/>
          </w:rPr>
          <w:t>Buffa JA</w:t>
        </w:r>
      </w:hyperlink>
      <w:r w:rsidRPr="00EC13A5">
        <w:rPr>
          <w:rFonts w:cs="Arial"/>
          <w:lang w:val="en"/>
        </w:rPr>
        <w:t xml:space="preserve">, </w:t>
      </w:r>
      <w:hyperlink r:id="rId77" w:history="1">
        <w:r w:rsidRPr="00EC13A5">
          <w:rPr>
            <w:rFonts w:cs="Arial"/>
            <w:lang w:val="en"/>
          </w:rPr>
          <w:t>Org E</w:t>
        </w:r>
      </w:hyperlink>
      <w:r w:rsidRPr="00EC13A5">
        <w:rPr>
          <w:rFonts w:cs="Arial"/>
          <w:lang w:val="en"/>
        </w:rPr>
        <w:t xml:space="preserve">, </w:t>
      </w:r>
      <w:hyperlink r:id="rId78" w:history="1">
        <w:r w:rsidRPr="00EC13A5">
          <w:rPr>
            <w:rFonts w:cs="Arial"/>
            <w:lang w:val="en"/>
          </w:rPr>
          <w:t>Sheehy BT</w:t>
        </w:r>
      </w:hyperlink>
      <w:r w:rsidRPr="00EC13A5">
        <w:rPr>
          <w:rFonts w:cs="Arial"/>
          <w:lang w:val="en"/>
        </w:rPr>
        <w:t xml:space="preserve">, </w:t>
      </w:r>
      <w:hyperlink r:id="rId79" w:history="1">
        <w:r w:rsidRPr="00EC13A5">
          <w:rPr>
            <w:rFonts w:cs="Arial"/>
            <w:lang w:val="en"/>
          </w:rPr>
          <w:t>Britt EB</w:t>
        </w:r>
      </w:hyperlink>
      <w:r w:rsidRPr="00EC13A5">
        <w:rPr>
          <w:rFonts w:cs="Arial"/>
          <w:lang w:val="en"/>
        </w:rPr>
        <w:t xml:space="preserve">, </w:t>
      </w:r>
      <w:hyperlink r:id="rId80" w:history="1">
        <w:r w:rsidRPr="00EC13A5">
          <w:rPr>
            <w:rFonts w:cs="Arial"/>
            <w:lang w:val="en"/>
          </w:rPr>
          <w:t>Fu X</w:t>
        </w:r>
      </w:hyperlink>
      <w:r w:rsidRPr="00EC13A5">
        <w:rPr>
          <w:rFonts w:cs="Arial"/>
          <w:lang w:val="en"/>
        </w:rPr>
        <w:t xml:space="preserve">, </w:t>
      </w:r>
      <w:hyperlink r:id="rId81" w:history="1">
        <w:r w:rsidRPr="00EC13A5">
          <w:rPr>
            <w:rFonts w:cs="Arial"/>
            <w:lang w:val="en"/>
          </w:rPr>
          <w:t>Wu Y</w:t>
        </w:r>
      </w:hyperlink>
      <w:r w:rsidRPr="00EC13A5">
        <w:rPr>
          <w:rFonts w:cs="Arial"/>
          <w:lang w:val="en"/>
        </w:rPr>
        <w:t xml:space="preserve">, </w:t>
      </w:r>
      <w:hyperlink r:id="rId82" w:history="1">
        <w:r w:rsidRPr="00EC13A5">
          <w:rPr>
            <w:rFonts w:cs="Arial"/>
            <w:lang w:val="en"/>
          </w:rPr>
          <w:t>Li L</w:t>
        </w:r>
      </w:hyperlink>
      <w:r w:rsidRPr="00EC13A5">
        <w:rPr>
          <w:rFonts w:cs="Arial"/>
          <w:lang w:val="en"/>
        </w:rPr>
        <w:t xml:space="preserve">, </w:t>
      </w:r>
      <w:hyperlink r:id="rId83" w:history="1">
        <w:r w:rsidRPr="00EC13A5">
          <w:rPr>
            <w:rFonts w:cs="Arial"/>
            <w:lang w:val="en"/>
          </w:rPr>
          <w:t>Smith JD</w:t>
        </w:r>
      </w:hyperlink>
      <w:r w:rsidRPr="00EC13A5">
        <w:rPr>
          <w:rFonts w:cs="Arial"/>
          <w:lang w:val="en"/>
        </w:rPr>
        <w:t xml:space="preserve">, </w:t>
      </w:r>
      <w:hyperlink r:id="rId84" w:history="1">
        <w:r w:rsidRPr="00EC13A5">
          <w:rPr>
            <w:rFonts w:cs="Arial"/>
            <w:lang w:val="en"/>
          </w:rPr>
          <w:t>DiDonato JA</w:t>
        </w:r>
      </w:hyperlink>
      <w:r w:rsidRPr="00EC13A5">
        <w:rPr>
          <w:rFonts w:cs="Arial"/>
          <w:lang w:val="en"/>
        </w:rPr>
        <w:t xml:space="preserve">, </w:t>
      </w:r>
      <w:hyperlink r:id="rId85" w:history="1">
        <w:r w:rsidRPr="00EC13A5">
          <w:rPr>
            <w:rFonts w:cs="Arial"/>
            <w:lang w:val="en"/>
          </w:rPr>
          <w:t>Chen J</w:t>
        </w:r>
      </w:hyperlink>
      <w:r w:rsidRPr="00EC13A5">
        <w:rPr>
          <w:rFonts w:cs="Arial"/>
          <w:lang w:val="en"/>
        </w:rPr>
        <w:t xml:space="preserve">, </w:t>
      </w:r>
      <w:hyperlink r:id="rId86" w:history="1">
        <w:r w:rsidRPr="00EC13A5">
          <w:rPr>
            <w:rFonts w:cs="Arial"/>
            <w:lang w:val="en"/>
          </w:rPr>
          <w:t>Li H</w:t>
        </w:r>
      </w:hyperlink>
      <w:r w:rsidRPr="00EC13A5">
        <w:rPr>
          <w:rFonts w:cs="Arial"/>
          <w:lang w:val="en"/>
        </w:rPr>
        <w:t xml:space="preserve">, </w:t>
      </w:r>
      <w:hyperlink r:id="rId87" w:history="1">
        <w:r w:rsidRPr="00EC13A5">
          <w:rPr>
            <w:rFonts w:cs="Arial"/>
            <w:lang w:val="en"/>
          </w:rPr>
          <w:t>Wu GD</w:t>
        </w:r>
      </w:hyperlink>
      <w:r w:rsidRPr="00EC13A5">
        <w:rPr>
          <w:rFonts w:cs="Arial"/>
          <w:lang w:val="en"/>
        </w:rPr>
        <w:t xml:space="preserve">, </w:t>
      </w:r>
      <w:hyperlink r:id="rId88" w:history="1">
        <w:r w:rsidRPr="00EC13A5">
          <w:rPr>
            <w:rFonts w:cs="Arial"/>
            <w:lang w:val="en"/>
          </w:rPr>
          <w:t>Lewis JD</w:t>
        </w:r>
      </w:hyperlink>
      <w:r w:rsidRPr="00EC13A5">
        <w:rPr>
          <w:rFonts w:cs="Arial"/>
          <w:lang w:val="en"/>
        </w:rPr>
        <w:t xml:space="preserve">, </w:t>
      </w:r>
      <w:hyperlink r:id="rId89" w:history="1">
        <w:r w:rsidRPr="00EC13A5">
          <w:rPr>
            <w:rFonts w:cs="Arial"/>
            <w:lang w:val="en"/>
          </w:rPr>
          <w:t>Warrier M</w:t>
        </w:r>
      </w:hyperlink>
      <w:r w:rsidRPr="00EC13A5">
        <w:rPr>
          <w:rFonts w:cs="Arial"/>
          <w:lang w:val="en"/>
        </w:rPr>
        <w:t xml:space="preserve">, </w:t>
      </w:r>
      <w:hyperlink r:id="rId90" w:history="1">
        <w:r w:rsidRPr="00EC13A5">
          <w:rPr>
            <w:rFonts w:cs="Arial"/>
            <w:lang w:val="en"/>
          </w:rPr>
          <w:t>Brown JM</w:t>
        </w:r>
      </w:hyperlink>
      <w:r w:rsidRPr="00EC13A5">
        <w:rPr>
          <w:rFonts w:cs="Arial"/>
          <w:lang w:val="en"/>
        </w:rPr>
        <w:t xml:space="preserve">, </w:t>
      </w:r>
      <w:hyperlink r:id="rId91" w:history="1">
        <w:r w:rsidRPr="00EC13A5">
          <w:rPr>
            <w:rFonts w:cs="Arial"/>
            <w:lang w:val="en"/>
          </w:rPr>
          <w:t>Krauss RM</w:t>
        </w:r>
      </w:hyperlink>
      <w:r w:rsidRPr="00EC13A5">
        <w:rPr>
          <w:rFonts w:cs="Arial"/>
          <w:lang w:val="en"/>
        </w:rPr>
        <w:t xml:space="preserve">, </w:t>
      </w:r>
      <w:hyperlink r:id="rId92" w:history="1">
        <w:r w:rsidRPr="00EC13A5">
          <w:rPr>
            <w:rFonts w:cs="Arial"/>
            <w:lang w:val="en"/>
          </w:rPr>
          <w:t>Tang WH</w:t>
        </w:r>
      </w:hyperlink>
      <w:r w:rsidRPr="00EC13A5">
        <w:rPr>
          <w:rFonts w:cs="Arial"/>
          <w:lang w:val="en"/>
        </w:rPr>
        <w:t xml:space="preserve">, </w:t>
      </w:r>
      <w:hyperlink r:id="rId93" w:history="1">
        <w:r w:rsidRPr="00EC13A5">
          <w:rPr>
            <w:rFonts w:cs="Arial"/>
            <w:lang w:val="en"/>
          </w:rPr>
          <w:t>Bushman FD</w:t>
        </w:r>
      </w:hyperlink>
      <w:r w:rsidRPr="00EC13A5">
        <w:rPr>
          <w:rFonts w:cs="Arial"/>
          <w:lang w:val="en"/>
        </w:rPr>
        <w:t xml:space="preserve">, </w:t>
      </w:r>
      <w:hyperlink r:id="rId94" w:history="1">
        <w:r w:rsidRPr="00EC13A5">
          <w:rPr>
            <w:rFonts w:cs="Arial"/>
            <w:lang w:val="en"/>
          </w:rPr>
          <w:t>Lusis AJ</w:t>
        </w:r>
      </w:hyperlink>
      <w:r w:rsidRPr="00EC13A5">
        <w:rPr>
          <w:rFonts w:cs="Arial"/>
          <w:lang w:val="en"/>
        </w:rPr>
        <w:t xml:space="preserve">, </w:t>
      </w:r>
      <w:hyperlink r:id="rId95" w:history="1">
        <w:r w:rsidRPr="00EC13A5">
          <w:rPr>
            <w:rFonts w:cs="Arial"/>
            <w:lang w:val="en"/>
          </w:rPr>
          <w:t>Hazen SL</w:t>
        </w:r>
      </w:hyperlink>
      <w:r>
        <w:rPr>
          <w:rFonts w:cs="Arial"/>
          <w:lang w:val="en"/>
        </w:rPr>
        <w:t xml:space="preserve"> (2013)</w:t>
      </w:r>
      <w:r w:rsidRPr="00EC13A5">
        <w:rPr>
          <w:rFonts w:cs="Arial"/>
          <w:lang w:val="en"/>
        </w:rPr>
        <w:t xml:space="preserve"> Intestinal microbiota metabolism of L-carnitine, a nutrient in red m</w:t>
      </w:r>
      <w:r>
        <w:rPr>
          <w:rFonts w:cs="Arial"/>
          <w:lang w:val="en"/>
        </w:rPr>
        <w:t xml:space="preserve">eat, promotes atherosclerosis. </w:t>
      </w:r>
      <w:hyperlink r:id="rId96" w:tooltip="Nature medicine." w:history="1">
        <w:r w:rsidRPr="00EC13A5">
          <w:rPr>
            <w:rFonts w:cs="Arial"/>
            <w:lang w:val="en"/>
          </w:rPr>
          <w:t>Nat Med</w:t>
        </w:r>
      </w:hyperlink>
      <w:r>
        <w:rPr>
          <w:rFonts w:cs="Arial"/>
          <w:lang w:val="en"/>
        </w:rPr>
        <w:t xml:space="preserve"> 19(5):576–585</w:t>
      </w:r>
    </w:p>
    <w:p w14:paraId="55381B12" w14:textId="77777777" w:rsidR="00785714" w:rsidRDefault="00785714" w:rsidP="00785714">
      <w:pPr>
        <w:rPr>
          <w:rFonts w:cs="Arial"/>
        </w:rPr>
      </w:pPr>
    </w:p>
    <w:p w14:paraId="64736ABD" w14:textId="77777777" w:rsidR="00785714" w:rsidRDefault="00785714" w:rsidP="00785714">
      <w:pPr>
        <w:rPr>
          <w:rFonts w:cs="Arial"/>
        </w:rPr>
      </w:pPr>
      <w:r w:rsidRPr="004C2C4C">
        <w:rPr>
          <w:rFonts w:cs="Arial"/>
        </w:rPr>
        <w:t>Koeth RA, Levison BS, Culley MK, Buffa JA, Wang Z, Gregory JC, Org E, Wu Y, Li L, Smith JD, Tang WH, DiDonato</w:t>
      </w:r>
      <w:r>
        <w:rPr>
          <w:rFonts w:cs="Arial"/>
        </w:rPr>
        <w:t xml:space="preserve"> JA, Lusis AJ, Hazen SL (2014) Gamma-b</w:t>
      </w:r>
      <w:r w:rsidRPr="004C2C4C">
        <w:rPr>
          <w:rFonts w:cs="Arial"/>
        </w:rPr>
        <w:t>utyrobetaine is a proatherogenic intermediate in gut microbial metabolism of L-carnitine to TMAO. Cell Metab 20(5):799–812</w:t>
      </w:r>
    </w:p>
    <w:p w14:paraId="3AD2AF66" w14:textId="77777777" w:rsidR="00785714" w:rsidRDefault="00785714" w:rsidP="00785714">
      <w:pPr>
        <w:rPr>
          <w:lang w:val="en-AU" w:eastAsia="en-AU" w:bidi="ar-SA"/>
        </w:rPr>
      </w:pPr>
    </w:p>
    <w:p w14:paraId="3F9FB49F" w14:textId="77777777" w:rsidR="00785714" w:rsidRDefault="00785714" w:rsidP="00785714">
      <w:pPr>
        <w:rPr>
          <w:lang w:val="en-AU" w:eastAsia="en-AU" w:bidi="ar-SA"/>
        </w:rPr>
      </w:pPr>
      <w:r w:rsidRPr="00E60401">
        <w:rPr>
          <w:lang w:val="en-AU" w:eastAsia="en-AU" w:bidi="ar-SA"/>
        </w:rPr>
        <w:t xml:space="preserve">Kudow S, Watanabe H, Hisashi S, Shibuya K, Ishizaka K, Sannai S, </w:t>
      </w:r>
      <w:r>
        <w:rPr>
          <w:lang w:val="en-AU" w:eastAsia="en-AU" w:bidi="ar-SA"/>
        </w:rPr>
        <w:t>Nakajima K and Tajmia M (1988a)</w:t>
      </w:r>
      <w:r w:rsidRPr="00E60401">
        <w:rPr>
          <w:lang w:val="en-AU" w:eastAsia="en-AU" w:bidi="ar-SA"/>
        </w:rPr>
        <w:t xml:space="preserve"> Acute toxicity study of L-carnitine chloride in 10- and 22-day-old and 5-week-old </w:t>
      </w:r>
      <w:r>
        <w:rPr>
          <w:lang w:val="en-AU" w:eastAsia="en-AU" w:bidi="ar-SA"/>
        </w:rPr>
        <w:t>rats. Iyakuhin Kenkyu 19(4):689–</w:t>
      </w:r>
      <w:r w:rsidRPr="00E60401">
        <w:rPr>
          <w:lang w:val="en-AU" w:eastAsia="en-AU" w:bidi="ar-SA"/>
        </w:rPr>
        <w:t>699 [abstract only]</w:t>
      </w:r>
    </w:p>
    <w:p w14:paraId="6CE1060F" w14:textId="77777777" w:rsidR="00785714" w:rsidRDefault="00785714" w:rsidP="00785714">
      <w:pPr>
        <w:rPr>
          <w:lang w:val="en-AU" w:eastAsia="en-AU" w:bidi="ar-SA"/>
        </w:rPr>
      </w:pPr>
    </w:p>
    <w:p w14:paraId="0FB26689" w14:textId="77777777" w:rsidR="00785714" w:rsidRPr="00E60401" w:rsidRDefault="00785714" w:rsidP="00785714">
      <w:pPr>
        <w:rPr>
          <w:lang w:val="en-AU" w:eastAsia="en-AU" w:bidi="ar-SA"/>
        </w:rPr>
      </w:pPr>
      <w:r w:rsidRPr="00E60401">
        <w:rPr>
          <w:lang w:val="en-AU" w:eastAsia="en-AU" w:bidi="ar-SA"/>
        </w:rPr>
        <w:t xml:space="preserve">Kudow S, Watanabe H, Maruyama Y, Yamate J, Takehara K, Tajima M, Wada Y, </w:t>
      </w:r>
      <w:r>
        <w:rPr>
          <w:lang w:val="en-AU" w:eastAsia="en-AU" w:bidi="ar-SA"/>
        </w:rPr>
        <w:t>Kuwahara K and Fujita K (1988b)</w:t>
      </w:r>
      <w:r w:rsidRPr="00E60401">
        <w:rPr>
          <w:lang w:val="en-AU" w:eastAsia="en-AU" w:bidi="ar-SA"/>
        </w:rPr>
        <w:t xml:space="preserve"> Chron</w:t>
      </w:r>
      <w:r>
        <w:rPr>
          <w:lang w:val="en-AU" w:eastAsia="en-AU" w:bidi="ar-SA"/>
        </w:rPr>
        <w:t>ic toxicity study of L-</w:t>
      </w:r>
      <w:r w:rsidRPr="00E60401">
        <w:rPr>
          <w:lang w:val="en-AU" w:eastAsia="en-AU" w:bidi="ar-SA"/>
        </w:rPr>
        <w:t>carnitine chloride in r</w:t>
      </w:r>
      <w:r>
        <w:rPr>
          <w:lang w:val="en-AU" w:eastAsia="en-AU" w:bidi="ar-SA"/>
        </w:rPr>
        <w:t>ats. Iyahukin Kenkyu 19(2):221–</w:t>
      </w:r>
      <w:r w:rsidRPr="00E60401">
        <w:rPr>
          <w:lang w:val="en-AU" w:eastAsia="en-AU" w:bidi="ar-SA"/>
        </w:rPr>
        <w:t>237</w:t>
      </w:r>
    </w:p>
    <w:p w14:paraId="4A145DA0" w14:textId="77777777" w:rsidR="00785714" w:rsidRPr="00F376DD" w:rsidRDefault="00785714" w:rsidP="00785714">
      <w:pPr>
        <w:rPr>
          <w:rFonts w:cs="Arial"/>
        </w:rPr>
      </w:pPr>
    </w:p>
    <w:p w14:paraId="0A58A463" w14:textId="77777777" w:rsidR="00785714" w:rsidRDefault="00785714" w:rsidP="00785714">
      <w:pPr>
        <w:rPr>
          <w:rFonts w:cs="Arial"/>
        </w:rPr>
      </w:pPr>
      <w:r>
        <w:rPr>
          <w:rFonts w:cs="Arial"/>
        </w:rPr>
        <w:t xml:space="preserve">Landfald B, Valeur J, Berstad A, Raa J (2017) </w:t>
      </w:r>
      <w:r w:rsidRPr="003B2878">
        <w:rPr>
          <w:rFonts w:cs="Arial"/>
        </w:rPr>
        <w:t>Microbial trimethylamine-N-oxide as a disease marker: something fishy?</w:t>
      </w:r>
      <w:r w:rsidRPr="003B2878">
        <w:t xml:space="preserve"> </w:t>
      </w:r>
      <w:r>
        <w:rPr>
          <w:rFonts w:cs="Arial"/>
        </w:rPr>
        <w:t xml:space="preserve">Microb Ecol Health Dis. </w:t>
      </w:r>
      <w:r w:rsidRPr="003B2878">
        <w:rPr>
          <w:rFonts w:cs="Arial"/>
        </w:rPr>
        <w:t>28(1):1327309</w:t>
      </w:r>
    </w:p>
    <w:p w14:paraId="05A7149A" w14:textId="77777777" w:rsidR="00785714" w:rsidRDefault="00785714" w:rsidP="00785714">
      <w:pPr>
        <w:rPr>
          <w:rFonts w:cs="Arial"/>
        </w:rPr>
      </w:pPr>
    </w:p>
    <w:p w14:paraId="75CE18FB" w14:textId="77777777" w:rsidR="00785714" w:rsidRDefault="00785714" w:rsidP="00785714">
      <w:pPr>
        <w:autoSpaceDE w:val="0"/>
        <w:autoSpaceDN w:val="0"/>
        <w:adjustRightInd w:val="0"/>
        <w:rPr>
          <w:rFonts w:cs="Arial"/>
        </w:rPr>
      </w:pPr>
      <w:r w:rsidRPr="00EC13A5">
        <w:rPr>
          <w:rFonts w:cs="Arial"/>
        </w:rPr>
        <w:t>Lever M, George PM, Slow S, Bellamy D, Young JM, Ho M, McEntyre CJ, Elmslie JL, Atkinson W, Molyneux SL, Troughton RW, Frampton CM, Richards AM, Chambers ST</w:t>
      </w:r>
      <w:r>
        <w:rPr>
          <w:rFonts w:cs="Arial"/>
        </w:rPr>
        <w:t xml:space="preserve"> (2014)</w:t>
      </w:r>
      <w:r w:rsidRPr="00EC13A5">
        <w:rPr>
          <w:rFonts w:cs="Arial"/>
        </w:rPr>
        <w:t xml:space="preserve"> Betaine and trimethylamine-N-oxide as predictors of cardiovascular outcomes show different patterns in diabetes mellitus: an obser</w:t>
      </w:r>
      <w:r>
        <w:rPr>
          <w:rFonts w:cs="Arial"/>
        </w:rPr>
        <w:t>vational  study. PLoS One 9:e114969</w:t>
      </w:r>
    </w:p>
    <w:p w14:paraId="7EA1487F" w14:textId="77777777" w:rsidR="00785714" w:rsidRDefault="00785714" w:rsidP="00785714">
      <w:pPr>
        <w:autoSpaceDE w:val="0"/>
        <w:autoSpaceDN w:val="0"/>
        <w:adjustRightInd w:val="0"/>
        <w:rPr>
          <w:rFonts w:cs="Arial"/>
        </w:rPr>
      </w:pPr>
    </w:p>
    <w:p w14:paraId="0C671EF6" w14:textId="77777777" w:rsidR="00785714" w:rsidRPr="00EC13A5" w:rsidRDefault="00785714" w:rsidP="00785714">
      <w:pPr>
        <w:autoSpaceDE w:val="0"/>
        <w:autoSpaceDN w:val="0"/>
        <w:adjustRightInd w:val="0"/>
        <w:rPr>
          <w:rFonts w:cs="Arial"/>
        </w:rPr>
      </w:pPr>
      <w:r w:rsidRPr="00EC13A5">
        <w:rPr>
          <w:rFonts w:ascii="AdvOTb7819099" w:hAnsi="AdvOTb7819099" w:cs="AdvOTb7819099"/>
        </w:rPr>
        <w:t>Li XS, Obeid S, Klingenberg R, Gencer B, Mach F, R</w:t>
      </w:r>
      <w:r w:rsidRPr="00EC13A5">
        <w:rPr>
          <w:rFonts w:ascii="AdvP4C4E59" w:hAnsi="AdvP4C4E59" w:cs="AdvP4C4E59"/>
        </w:rPr>
        <w:t>€</w:t>
      </w:r>
      <w:r w:rsidRPr="00EC13A5">
        <w:rPr>
          <w:rFonts w:ascii="AdvOTb7819099" w:hAnsi="AdvOTb7819099" w:cs="AdvOTb7819099"/>
        </w:rPr>
        <w:t>aber L, Windecker S, Rodondi N, Nanchen D, Muller O, Miranda MX, Matter CM, Wu Y, Li L, Wang Z, Alamri HS, Gogonea V, Chung YM, Tang WH, Hazen SL, L</w:t>
      </w:r>
      <w:r>
        <w:rPr>
          <w:rFonts w:ascii="AdvOTb7819099" w:hAnsi="AdvOTb7819099" w:cs="AdvOTb7819099"/>
        </w:rPr>
        <w:t>ü</w:t>
      </w:r>
      <w:r w:rsidRPr="00EC13A5">
        <w:rPr>
          <w:rFonts w:ascii="AdvOTb7819099" w:hAnsi="AdvOTb7819099" w:cs="AdvOTb7819099"/>
        </w:rPr>
        <w:t>scher TF</w:t>
      </w:r>
      <w:r>
        <w:rPr>
          <w:rFonts w:ascii="AdvOTb7819099" w:hAnsi="AdvOTb7819099" w:cs="AdvOTb7819099"/>
        </w:rPr>
        <w:t xml:space="preserve"> (2017)</w:t>
      </w:r>
      <w:r w:rsidRPr="00EC13A5">
        <w:rPr>
          <w:rFonts w:ascii="AdvOTb7819099" w:hAnsi="AdvOTb7819099" w:cs="AdvOTb7819099"/>
        </w:rPr>
        <w:t xml:space="preserve"> Gut microbiota-dependent trimethylamine N-oxide in acute coronary syndromes: a prognostic marker for incident cardiovascular events beyond traditional risk factors. </w:t>
      </w:r>
      <w:r w:rsidRPr="00EC13A5">
        <w:rPr>
          <w:rFonts w:ascii="AdvOT5415ed09.I" w:hAnsi="AdvOT5415ed09.I" w:cs="AdvOT5415ed09.I"/>
        </w:rPr>
        <w:t xml:space="preserve">Eur Heart J </w:t>
      </w:r>
      <w:r w:rsidRPr="00EC13A5">
        <w:rPr>
          <w:rFonts w:ascii="AdvP3E7259" w:hAnsi="AdvP3E7259" w:cs="AdvP3E7259"/>
        </w:rPr>
        <w:t>38</w:t>
      </w:r>
      <w:r>
        <w:rPr>
          <w:rFonts w:ascii="AdvOTb7819099" w:hAnsi="AdvOTb7819099" w:cs="AdvOTb7819099"/>
        </w:rPr>
        <w:t>:814–824</w:t>
      </w:r>
    </w:p>
    <w:p w14:paraId="6B1B695B" w14:textId="77777777" w:rsidR="00785714" w:rsidRPr="00EC13A5" w:rsidRDefault="00785714" w:rsidP="00785714">
      <w:pPr>
        <w:autoSpaceDE w:val="0"/>
        <w:autoSpaceDN w:val="0"/>
        <w:adjustRightInd w:val="0"/>
        <w:rPr>
          <w:rFonts w:cs="Arial"/>
        </w:rPr>
      </w:pPr>
    </w:p>
    <w:p w14:paraId="15A5A56C" w14:textId="03E555EC" w:rsidR="00785714" w:rsidRPr="00EC13A5" w:rsidRDefault="00785714" w:rsidP="00785714">
      <w:pPr>
        <w:autoSpaceDE w:val="0"/>
        <w:autoSpaceDN w:val="0"/>
        <w:adjustRightInd w:val="0"/>
        <w:rPr>
          <w:rFonts w:cs="Arial"/>
        </w:rPr>
      </w:pPr>
      <w:r w:rsidRPr="00EC13A5">
        <w:rPr>
          <w:rFonts w:cs="Arial"/>
        </w:rPr>
        <w:t xml:space="preserve">Li XS, Wang Z Cajka T, </w:t>
      </w:r>
      <w:r w:rsidRPr="00EC13A5">
        <w:rPr>
          <w:rFonts w:cs="Arial"/>
          <w:lang w:val="en"/>
        </w:rPr>
        <w:t xml:space="preserve">Buffa JA, Nemet I, Hurd AG, Gu X, Skye SM, Roberts AB, Wu Y, </w:t>
      </w:r>
      <w:r w:rsidRPr="00EC13A5">
        <w:rPr>
          <w:rFonts w:cs="Arial"/>
          <w:bCs/>
          <w:lang w:val="en"/>
        </w:rPr>
        <w:t>Li</w:t>
      </w:r>
      <w:r w:rsidRPr="00EC13A5">
        <w:rPr>
          <w:rFonts w:cs="Arial"/>
          <w:lang w:val="en"/>
        </w:rPr>
        <w:t xml:space="preserve"> L, Shahen CJ, Wagner MA, Hartiala JA, Kerby RL, Romano KA, Han Y, Obeid S, Lüscher TF, Allayee H, Rey FE, DiDonato JA, Fiehn O, Tang WHW, Hazen SL</w:t>
      </w:r>
      <w:r w:rsidRPr="00EC13A5">
        <w:rPr>
          <w:rFonts w:cs="Arial"/>
        </w:rPr>
        <w:t xml:space="preserve"> (2018) </w:t>
      </w:r>
      <w:r w:rsidRPr="00EC13A5">
        <w:rPr>
          <w:rFonts w:cs="Arial"/>
          <w:lang w:val="en"/>
        </w:rPr>
        <w:t>Untargeted metabolomics identifies trimethyllysine, a TMAO-producing nutrient precursor, as a predictor of incident cardiovascular disease</w:t>
      </w:r>
      <w:r>
        <w:rPr>
          <w:rFonts w:cs="Arial"/>
          <w:lang w:val="en"/>
        </w:rPr>
        <w:t xml:space="preserve"> risk. JCI Insight </w:t>
      </w:r>
      <w:r w:rsidR="007941B9">
        <w:rPr>
          <w:rFonts w:cs="Arial"/>
          <w:lang w:val="en"/>
        </w:rPr>
        <w:t>pii:</w:t>
      </w:r>
      <w:r w:rsidRPr="00EC13A5">
        <w:rPr>
          <w:rFonts w:cs="Arial"/>
          <w:lang w:val="en"/>
        </w:rPr>
        <w:t>99096</w:t>
      </w:r>
    </w:p>
    <w:p w14:paraId="0EC7E04D" w14:textId="77777777" w:rsidR="00785714" w:rsidRDefault="00785714" w:rsidP="00785714">
      <w:pPr>
        <w:rPr>
          <w:rFonts w:cs="Arial"/>
        </w:rPr>
      </w:pPr>
    </w:p>
    <w:p w14:paraId="24F4A910" w14:textId="77777777" w:rsidR="00785714" w:rsidRPr="0009094F" w:rsidRDefault="00785714" w:rsidP="00785714">
      <w:pPr>
        <w:keepNext/>
        <w:keepLines/>
      </w:pPr>
      <w:r w:rsidRPr="00E60401">
        <w:rPr>
          <w:lang w:val="en-AU" w:eastAsia="en-AU" w:bidi="ar-SA"/>
        </w:rPr>
        <w:t>LPT Laboratory of Pha</w:t>
      </w:r>
      <w:r>
        <w:rPr>
          <w:lang w:val="en-AU" w:eastAsia="en-AU" w:bidi="ar-SA"/>
        </w:rPr>
        <w:t>rmacology and Toxicology (2003)</w:t>
      </w:r>
      <w:r w:rsidRPr="00E60401">
        <w:rPr>
          <w:lang w:val="en-AU" w:eastAsia="en-AU" w:bidi="ar-SA"/>
        </w:rPr>
        <w:t xml:space="preserve"> 90-day Subchronic Toxicity Study of LZ1780 by Repeated Oral Administration via the Diet to CD® Rats – According to OECD Guideline 408. </w:t>
      </w:r>
      <w:r>
        <w:rPr>
          <w:lang w:val="en-AU" w:eastAsia="en-AU" w:bidi="ar-SA"/>
        </w:rPr>
        <w:t>(Lonza report no 3704, teil 1)</w:t>
      </w:r>
    </w:p>
    <w:p w14:paraId="5906A267" w14:textId="77777777" w:rsidR="00785714" w:rsidRDefault="00785714" w:rsidP="00785714">
      <w:pPr>
        <w:rPr>
          <w:rFonts w:cs="Arial"/>
        </w:rPr>
      </w:pPr>
    </w:p>
    <w:p w14:paraId="6E913038" w14:textId="77777777" w:rsidR="00785714" w:rsidRPr="00E13BC4" w:rsidRDefault="00785714" w:rsidP="00785714">
      <w:r w:rsidRPr="00E13BC4">
        <w:t>McLennan W, Podger A (1998) National Nutrition Survey Nutrient Intakes and Physical Measurements Australia 1995. Australian Bureau of Statistics, Canberra</w:t>
      </w:r>
    </w:p>
    <w:p w14:paraId="52F3B646" w14:textId="77777777" w:rsidR="00785714" w:rsidRDefault="00785714" w:rsidP="00785714">
      <w:pPr>
        <w:rPr>
          <w:rFonts w:cs="Arial"/>
        </w:rPr>
      </w:pPr>
    </w:p>
    <w:p w14:paraId="6AA484DA" w14:textId="7BF56485" w:rsidR="00785714" w:rsidRDefault="00785714" w:rsidP="00785714">
      <w:pPr>
        <w:rPr>
          <w:rFonts w:cs="Arial"/>
        </w:rPr>
      </w:pPr>
      <w:r w:rsidRPr="00E06D0B">
        <w:rPr>
          <w:rFonts w:cs="Arial"/>
        </w:rPr>
        <w:t>Missailidis C, Hällqvist J, Qureshi AR, Bara</w:t>
      </w:r>
      <w:r>
        <w:rPr>
          <w:rFonts w:cs="Arial"/>
        </w:rPr>
        <w:t xml:space="preserve">ny P, Heimbürger O, Lindholm B, </w:t>
      </w:r>
      <w:r w:rsidR="00F55298">
        <w:rPr>
          <w:rFonts w:cs="Arial"/>
        </w:rPr>
        <w:t xml:space="preserve">Stenvinkel P, </w:t>
      </w:r>
      <w:r w:rsidR="00F55298">
        <w:rPr>
          <w:rFonts w:cs="Arial"/>
        </w:rPr>
        <w:lastRenderedPageBreak/>
        <w:t>Bergman P (2016) Serum t</w:t>
      </w:r>
      <w:r w:rsidRPr="00E06D0B">
        <w:rPr>
          <w:rFonts w:cs="Arial"/>
        </w:rPr>
        <w:t>rimethylamine</w:t>
      </w:r>
      <w:r w:rsidR="00F55298">
        <w:rPr>
          <w:rFonts w:cs="Arial"/>
        </w:rPr>
        <w:t>-N-oxide is s</w:t>
      </w:r>
      <w:r>
        <w:rPr>
          <w:rFonts w:cs="Arial"/>
        </w:rPr>
        <w:t>trong</w:t>
      </w:r>
      <w:r w:rsidR="00F55298">
        <w:rPr>
          <w:rFonts w:cs="Arial"/>
        </w:rPr>
        <w:t>ly r</w:t>
      </w:r>
      <w:r>
        <w:rPr>
          <w:rFonts w:cs="Arial"/>
        </w:rPr>
        <w:t xml:space="preserve">elated to </w:t>
      </w:r>
      <w:r w:rsidR="00F55298">
        <w:rPr>
          <w:rFonts w:cs="Arial"/>
        </w:rPr>
        <w:t>renal function and predicts outcome in chronic k</w:t>
      </w:r>
      <w:r w:rsidRPr="00E06D0B">
        <w:rPr>
          <w:rFonts w:cs="Arial"/>
        </w:rPr>
        <w:t>id</w:t>
      </w:r>
      <w:r w:rsidR="00F55298">
        <w:rPr>
          <w:rFonts w:cs="Arial"/>
        </w:rPr>
        <w:t>ney d</w:t>
      </w:r>
      <w:r>
        <w:rPr>
          <w:rFonts w:cs="Arial"/>
        </w:rPr>
        <w:t>isease. PLoS One</w:t>
      </w:r>
      <w:r w:rsidR="00F55298">
        <w:rPr>
          <w:rFonts w:cs="Arial"/>
        </w:rPr>
        <w:t xml:space="preserve"> 11(1):e0141738</w:t>
      </w:r>
    </w:p>
    <w:p w14:paraId="44898ED7" w14:textId="77777777" w:rsidR="00785714" w:rsidRDefault="00785714" w:rsidP="00785714">
      <w:pPr>
        <w:rPr>
          <w:rFonts w:cs="Arial"/>
        </w:rPr>
      </w:pPr>
    </w:p>
    <w:p w14:paraId="6C399A4E" w14:textId="6B665434" w:rsidR="00785714" w:rsidRPr="00EC13A5" w:rsidRDefault="007377EA" w:rsidP="00785714">
      <w:pPr>
        <w:autoSpaceDE w:val="0"/>
        <w:autoSpaceDN w:val="0"/>
        <w:adjustRightInd w:val="0"/>
        <w:rPr>
          <w:rFonts w:cs="Arial"/>
        </w:rPr>
      </w:pPr>
      <w:hyperlink r:id="rId97" w:history="1">
        <w:r w:rsidR="00785714" w:rsidRPr="00EC13A5">
          <w:rPr>
            <w:rFonts w:cs="Arial"/>
            <w:lang w:val="en"/>
          </w:rPr>
          <w:t>Mondul AM</w:t>
        </w:r>
      </w:hyperlink>
      <w:r w:rsidR="00785714" w:rsidRPr="00EC13A5">
        <w:rPr>
          <w:rFonts w:cs="Arial"/>
          <w:lang w:val="en"/>
        </w:rPr>
        <w:t xml:space="preserve">, </w:t>
      </w:r>
      <w:hyperlink r:id="rId98" w:history="1">
        <w:r w:rsidR="00785714" w:rsidRPr="00EC13A5">
          <w:rPr>
            <w:rFonts w:cs="Arial"/>
            <w:lang w:val="en"/>
          </w:rPr>
          <w:t>Moore SC</w:t>
        </w:r>
      </w:hyperlink>
      <w:r w:rsidR="00785714" w:rsidRPr="00EC13A5">
        <w:rPr>
          <w:rFonts w:cs="Arial"/>
          <w:lang w:val="en"/>
        </w:rPr>
        <w:t xml:space="preserve">, </w:t>
      </w:r>
      <w:hyperlink r:id="rId99" w:history="1">
        <w:r w:rsidR="00785714" w:rsidRPr="00EC13A5">
          <w:rPr>
            <w:rFonts w:cs="Arial"/>
            <w:lang w:val="en"/>
          </w:rPr>
          <w:t>Weinstein SJ</w:t>
        </w:r>
      </w:hyperlink>
      <w:r w:rsidR="00785714" w:rsidRPr="00EC13A5">
        <w:rPr>
          <w:rFonts w:cs="Arial"/>
          <w:lang w:val="en"/>
        </w:rPr>
        <w:t xml:space="preserve">, </w:t>
      </w:r>
      <w:hyperlink r:id="rId100" w:history="1">
        <w:r w:rsidR="00785714" w:rsidRPr="00EC13A5">
          <w:rPr>
            <w:rFonts w:cs="Arial"/>
            <w:lang w:val="en"/>
          </w:rPr>
          <w:t>Karoly ED</w:t>
        </w:r>
      </w:hyperlink>
      <w:r w:rsidR="00785714" w:rsidRPr="00EC13A5">
        <w:rPr>
          <w:rFonts w:cs="Arial"/>
          <w:lang w:val="en"/>
        </w:rPr>
        <w:t xml:space="preserve">, </w:t>
      </w:r>
      <w:hyperlink r:id="rId101" w:history="1">
        <w:r w:rsidR="00785714" w:rsidRPr="00EC13A5">
          <w:rPr>
            <w:rFonts w:cs="Arial"/>
            <w:lang w:val="en"/>
          </w:rPr>
          <w:t>Sampson JN</w:t>
        </w:r>
      </w:hyperlink>
      <w:r w:rsidR="00785714" w:rsidRPr="00EC13A5">
        <w:rPr>
          <w:rFonts w:cs="Arial"/>
          <w:lang w:val="en"/>
        </w:rPr>
        <w:t xml:space="preserve">, </w:t>
      </w:r>
      <w:hyperlink r:id="rId102" w:history="1">
        <w:r w:rsidR="00785714" w:rsidRPr="00EC13A5">
          <w:rPr>
            <w:rFonts w:cs="Arial"/>
            <w:lang w:val="en"/>
          </w:rPr>
          <w:t>Albanes D</w:t>
        </w:r>
      </w:hyperlink>
      <w:r w:rsidR="00785714">
        <w:rPr>
          <w:rFonts w:cs="Arial"/>
          <w:lang w:val="en"/>
        </w:rPr>
        <w:t xml:space="preserve"> (2015)</w:t>
      </w:r>
      <w:r w:rsidR="00785714" w:rsidRPr="00EC13A5">
        <w:rPr>
          <w:rFonts w:cs="Arial"/>
          <w:lang w:val="en"/>
        </w:rPr>
        <w:t xml:space="preserve"> Metabolomic analysis of prostate cancer risk in a pro</w:t>
      </w:r>
      <w:r w:rsidR="007941B9">
        <w:rPr>
          <w:rFonts w:cs="Arial"/>
          <w:lang w:val="en"/>
        </w:rPr>
        <w:t>spective cohort: t</w:t>
      </w:r>
      <w:r w:rsidR="00F55298">
        <w:rPr>
          <w:rFonts w:cs="Arial"/>
          <w:lang w:val="en"/>
        </w:rPr>
        <w:t>he alpha-toco</w:t>
      </w:r>
      <w:r w:rsidR="00785714" w:rsidRPr="00EC13A5">
        <w:rPr>
          <w:rFonts w:cs="Arial"/>
          <w:lang w:val="en"/>
        </w:rPr>
        <w:t xml:space="preserve">pherol, beta-carotene cancer prevention (ATBC) study. </w:t>
      </w:r>
      <w:hyperlink r:id="rId103" w:tooltip="International journal of cancer." w:history="1">
        <w:r w:rsidR="00785714" w:rsidRPr="00EC13A5">
          <w:rPr>
            <w:rFonts w:cs="Arial"/>
            <w:lang w:val="en"/>
          </w:rPr>
          <w:t>Int J Cancer</w:t>
        </w:r>
      </w:hyperlink>
      <w:r w:rsidR="00785714">
        <w:rPr>
          <w:rFonts w:cs="Arial"/>
          <w:lang w:val="en"/>
        </w:rPr>
        <w:t xml:space="preserve"> 137(9):2124–2132</w:t>
      </w:r>
    </w:p>
    <w:p w14:paraId="78E1981F" w14:textId="77777777" w:rsidR="00785714" w:rsidRDefault="00785714" w:rsidP="00785714">
      <w:pPr>
        <w:rPr>
          <w:rFonts w:cs="Arial"/>
        </w:rPr>
      </w:pPr>
    </w:p>
    <w:p w14:paraId="0195CBC9" w14:textId="77777777" w:rsidR="00785714" w:rsidRPr="004C2C4C" w:rsidRDefault="00785714" w:rsidP="00785714">
      <w:pPr>
        <w:rPr>
          <w:rFonts w:cs="Arial"/>
        </w:rPr>
      </w:pPr>
      <w:r w:rsidRPr="004C2C4C">
        <w:rPr>
          <w:rFonts w:cs="Arial"/>
        </w:rPr>
        <w:t xml:space="preserve">Mueller DM, Allenspach M, Othman A, Saely CH, Muendlein A, Vonbank A, Drexel H, von EA (2015) </w:t>
      </w:r>
      <w:r>
        <w:rPr>
          <w:rFonts w:cs="Arial"/>
        </w:rPr>
        <w:t>Plasma concentration</w:t>
      </w:r>
      <w:r w:rsidRPr="004C2C4C">
        <w:rPr>
          <w:rFonts w:cs="Arial"/>
        </w:rPr>
        <w:t>s of trimethylamine-N-oxide are confounded by impaired kidney function and poor metabolic control. Atherosclerosis 243(2):638–644</w:t>
      </w:r>
    </w:p>
    <w:p w14:paraId="6AB78E7F" w14:textId="77777777" w:rsidR="00785714" w:rsidRDefault="00785714" w:rsidP="00785714">
      <w:pPr>
        <w:rPr>
          <w:rFonts w:cs="Arial"/>
        </w:rPr>
      </w:pPr>
    </w:p>
    <w:p w14:paraId="1EE28BFC" w14:textId="77777777" w:rsidR="00785714" w:rsidRDefault="00785714" w:rsidP="00785714">
      <w:pPr>
        <w:rPr>
          <w:lang w:val="en-AU" w:eastAsia="en-AU" w:bidi="ar-SA"/>
        </w:rPr>
      </w:pPr>
      <w:r w:rsidRPr="00E60401">
        <w:rPr>
          <w:lang w:val="en-AU" w:eastAsia="en-AU" w:bidi="ar-SA"/>
        </w:rPr>
        <w:t xml:space="preserve">Nakamura A, Ueno H, Igarashi E, Fukasawa N, Katsumata Y, Tamura K, Suzuki T and Wada Y </w:t>
      </w:r>
      <w:r>
        <w:rPr>
          <w:lang w:val="en-AU" w:eastAsia="en-AU" w:bidi="ar-SA"/>
        </w:rPr>
        <w:t>(1988)</w:t>
      </w:r>
      <w:r w:rsidRPr="00E60401">
        <w:rPr>
          <w:lang w:val="en-AU" w:eastAsia="en-AU" w:bidi="ar-SA"/>
        </w:rPr>
        <w:t xml:space="preserve"> Teratogenicity study of </w:t>
      </w:r>
      <w:r>
        <w:rPr>
          <w:lang w:val="en-AU" w:eastAsia="en-AU" w:bidi="ar-SA"/>
        </w:rPr>
        <w:t>L-</w:t>
      </w:r>
      <w:r w:rsidRPr="00E60401">
        <w:rPr>
          <w:lang w:val="en-AU" w:eastAsia="en-AU" w:bidi="ar-SA"/>
        </w:rPr>
        <w:t>carnitine chloride in rats by oral administration.</w:t>
      </w:r>
      <w:r>
        <w:rPr>
          <w:lang w:val="en-AU" w:eastAsia="en-AU" w:bidi="ar-SA"/>
        </w:rPr>
        <w:t xml:space="preserve"> Iyakuhin Kenkyu 19(3):465–489</w:t>
      </w:r>
    </w:p>
    <w:p w14:paraId="74210C6C" w14:textId="77777777" w:rsidR="00785714" w:rsidRDefault="00785714" w:rsidP="00785714">
      <w:pPr>
        <w:rPr>
          <w:lang w:val="en-AU" w:eastAsia="en-AU" w:bidi="ar-SA"/>
        </w:rPr>
      </w:pPr>
    </w:p>
    <w:p w14:paraId="32E68F2F" w14:textId="77777777" w:rsidR="00785714" w:rsidRPr="004C2C4C" w:rsidRDefault="00785714" w:rsidP="00785714">
      <w:pPr>
        <w:rPr>
          <w:rFonts w:cs="Arial"/>
        </w:rPr>
      </w:pPr>
      <w:r w:rsidRPr="00E60401">
        <w:rPr>
          <w:lang w:val="en-AU" w:eastAsia="en-AU" w:bidi="ar-SA"/>
        </w:rPr>
        <w:t>Narita N, Yamate J, Takehara K, Tajim</w:t>
      </w:r>
      <w:r>
        <w:rPr>
          <w:lang w:val="en-AU" w:eastAsia="en-AU" w:bidi="ar-SA"/>
        </w:rPr>
        <w:t>a M, Wada Y and Hirose Y (1988)</w:t>
      </w:r>
      <w:r w:rsidRPr="00E60401">
        <w:rPr>
          <w:lang w:val="en-AU" w:eastAsia="en-AU" w:bidi="ar-SA"/>
        </w:rPr>
        <w:t xml:space="preserve"> Acute toxicity study of L-carnitine chloride in rats.</w:t>
      </w:r>
      <w:r>
        <w:rPr>
          <w:lang w:val="en-AU" w:eastAsia="en-AU" w:bidi="ar-SA"/>
        </w:rPr>
        <w:t xml:space="preserve"> Iyakuhin Kenkyu 19(2):191–196</w:t>
      </w:r>
    </w:p>
    <w:p w14:paraId="520FD2F8" w14:textId="77777777" w:rsidR="00785714" w:rsidRDefault="00785714" w:rsidP="00785714">
      <w:pPr>
        <w:rPr>
          <w:rFonts w:cs="Arial"/>
        </w:rPr>
      </w:pPr>
    </w:p>
    <w:p w14:paraId="441D4637" w14:textId="77777777" w:rsidR="00785714" w:rsidRDefault="00785714" w:rsidP="00785714">
      <w:pPr>
        <w:rPr>
          <w:rFonts w:cs="Arial"/>
        </w:rPr>
      </w:pPr>
      <w:r w:rsidRPr="004C2C4C">
        <w:rPr>
          <w:rFonts w:cs="Arial"/>
        </w:rPr>
        <w:t>Obeid R, Awwad HM, Rabagny Y, Graeber S, Herrmann W, Geisel J (2016) Plasma trimethylamine N-oxide concentration is associated with choline, phospholipids, and methyl metabolism. Am J Clin Nutr</w:t>
      </w:r>
      <w:r w:rsidRPr="00AB5332">
        <w:t xml:space="preserve"> </w:t>
      </w:r>
      <w:r>
        <w:rPr>
          <w:rFonts w:cs="Arial"/>
        </w:rPr>
        <w:t>103(3):703</w:t>
      </w:r>
      <w:r>
        <w:rPr>
          <w:rFonts w:cs="Arial"/>
        </w:rPr>
        <w:softHyphen/>
      </w:r>
      <w:r w:rsidRPr="00AB5332">
        <w:rPr>
          <w:rFonts w:cs="Arial"/>
        </w:rPr>
        <w:t>–</w:t>
      </w:r>
      <w:r>
        <w:rPr>
          <w:rFonts w:cs="Arial"/>
        </w:rPr>
        <w:t>11</w:t>
      </w:r>
    </w:p>
    <w:p w14:paraId="321B88D1" w14:textId="77777777" w:rsidR="00785714" w:rsidRDefault="00785714" w:rsidP="00785714">
      <w:pPr>
        <w:rPr>
          <w:rFonts w:cs="Arial"/>
        </w:rPr>
      </w:pPr>
    </w:p>
    <w:p w14:paraId="655C95C9" w14:textId="77777777" w:rsidR="00785714" w:rsidRPr="00EC13A5" w:rsidRDefault="007377EA" w:rsidP="00785714">
      <w:pPr>
        <w:autoSpaceDE w:val="0"/>
        <w:autoSpaceDN w:val="0"/>
        <w:adjustRightInd w:val="0"/>
        <w:rPr>
          <w:rFonts w:cs="Arial"/>
        </w:rPr>
      </w:pPr>
      <w:hyperlink r:id="rId104" w:history="1">
        <w:r w:rsidR="00785714" w:rsidRPr="00EC13A5">
          <w:rPr>
            <w:rFonts w:cs="Arial"/>
            <w:lang w:val="en"/>
          </w:rPr>
          <w:t>Ottiger M</w:t>
        </w:r>
      </w:hyperlink>
      <w:r w:rsidR="00785714" w:rsidRPr="00EC13A5">
        <w:rPr>
          <w:rFonts w:cs="Arial"/>
          <w:lang w:val="en"/>
        </w:rPr>
        <w:t xml:space="preserve">, </w:t>
      </w:r>
      <w:hyperlink r:id="rId105" w:history="1">
        <w:r w:rsidR="00785714" w:rsidRPr="00EC13A5">
          <w:rPr>
            <w:rFonts w:cs="Arial"/>
            <w:lang w:val="en"/>
          </w:rPr>
          <w:t>Nickler M</w:t>
        </w:r>
      </w:hyperlink>
      <w:r w:rsidR="00785714" w:rsidRPr="00EC13A5">
        <w:rPr>
          <w:rFonts w:cs="Arial"/>
          <w:lang w:val="en"/>
        </w:rPr>
        <w:t xml:space="preserve">, </w:t>
      </w:r>
      <w:hyperlink r:id="rId106" w:history="1">
        <w:r w:rsidR="00785714" w:rsidRPr="00EC13A5">
          <w:rPr>
            <w:rFonts w:cs="Arial"/>
            <w:lang w:val="en"/>
          </w:rPr>
          <w:t>Steuer C</w:t>
        </w:r>
      </w:hyperlink>
      <w:r w:rsidR="00785714" w:rsidRPr="00EC13A5">
        <w:rPr>
          <w:rFonts w:cs="Arial"/>
          <w:lang w:val="en"/>
        </w:rPr>
        <w:t xml:space="preserve">, </w:t>
      </w:r>
      <w:hyperlink r:id="rId107" w:history="1">
        <w:r w:rsidR="00785714" w:rsidRPr="00EC13A5">
          <w:rPr>
            <w:rFonts w:cs="Arial"/>
            <w:lang w:val="en"/>
          </w:rPr>
          <w:t>Odermatt J</w:t>
        </w:r>
      </w:hyperlink>
      <w:r w:rsidR="00785714" w:rsidRPr="00EC13A5">
        <w:rPr>
          <w:rFonts w:cs="Arial"/>
          <w:lang w:val="en"/>
        </w:rPr>
        <w:t xml:space="preserve">, </w:t>
      </w:r>
      <w:hyperlink r:id="rId108" w:history="1">
        <w:r w:rsidR="00785714" w:rsidRPr="00EC13A5">
          <w:rPr>
            <w:rFonts w:cs="Arial"/>
            <w:lang w:val="en"/>
          </w:rPr>
          <w:t>Huber A</w:t>
        </w:r>
      </w:hyperlink>
      <w:r w:rsidR="00785714" w:rsidRPr="00EC13A5">
        <w:rPr>
          <w:rFonts w:cs="Arial"/>
          <w:lang w:val="en"/>
        </w:rPr>
        <w:t xml:space="preserve">, </w:t>
      </w:r>
      <w:hyperlink r:id="rId109" w:history="1">
        <w:r w:rsidR="00785714" w:rsidRPr="00EC13A5">
          <w:rPr>
            <w:rFonts w:cs="Arial"/>
            <w:lang w:val="en"/>
          </w:rPr>
          <w:t>Christ-Crain M</w:t>
        </w:r>
      </w:hyperlink>
      <w:r w:rsidR="00785714" w:rsidRPr="00EC13A5">
        <w:rPr>
          <w:rFonts w:cs="Arial"/>
          <w:lang w:val="en"/>
        </w:rPr>
        <w:t xml:space="preserve">, </w:t>
      </w:r>
      <w:hyperlink r:id="rId110" w:history="1">
        <w:r w:rsidR="00785714" w:rsidRPr="00EC13A5">
          <w:rPr>
            <w:rFonts w:cs="Arial"/>
            <w:lang w:val="en"/>
          </w:rPr>
          <w:t>Henzen C</w:t>
        </w:r>
      </w:hyperlink>
      <w:r w:rsidR="00785714" w:rsidRPr="00EC13A5">
        <w:rPr>
          <w:rFonts w:cs="Arial"/>
          <w:lang w:val="en"/>
        </w:rPr>
        <w:t xml:space="preserve">, </w:t>
      </w:r>
      <w:hyperlink r:id="rId111" w:history="1">
        <w:r w:rsidR="00785714" w:rsidRPr="00EC13A5">
          <w:rPr>
            <w:rFonts w:cs="Arial"/>
            <w:lang w:val="en"/>
          </w:rPr>
          <w:t>Hoess C</w:t>
        </w:r>
      </w:hyperlink>
      <w:r w:rsidR="00785714" w:rsidRPr="00EC13A5">
        <w:rPr>
          <w:rFonts w:cs="Arial"/>
          <w:lang w:val="en"/>
        </w:rPr>
        <w:t xml:space="preserve">, </w:t>
      </w:r>
      <w:hyperlink r:id="rId112" w:history="1">
        <w:r w:rsidR="00785714" w:rsidRPr="00EC13A5">
          <w:rPr>
            <w:rFonts w:cs="Arial"/>
            <w:lang w:val="en"/>
          </w:rPr>
          <w:t>Thomann R</w:t>
        </w:r>
      </w:hyperlink>
      <w:r w:rsidR="00785714" w:rsidRPr="00EC13A5">
        <w:rPr>
          <w:rFonts w:cs="Arial"/>
          <w:lang w:val="en"/>
        </w:rPr>
        <w:t xml:space="preserve">, </w:t>
      </w:r>
      <w:hyperlink r:id="rId113" w:history="1">
        <w:r w:rsidR="00785714" w:rsidRPr="00EC13A5">
          <w:rPr>
            <w:rFonts w:cs="Arial"/>
            <w:lang w:val="en"/>
          </w:rPr>
          <w:t>Zimmerli W</w:t>
        </w:r>
      </w:hyperlink>
      <w:r w:rsidR="00785714" w:rsidRPr="00EC13A5">
        <w:rPr>
          <w:rFonts w:cs="Arial"/>
          <w:lang w:val="en"/>
        </w:rPr>
        <w:t xml:space="preserve">, </w:t>
      </w:r>
      <w:hyperlink r:id="rId114" w:history="1">
        <w:r w:rsidR="00785714" w:rsidRPr="00EC13A5">
          <w:rPr>
            <w:rFonts w:cs="Arial"/>
            <w:lang w:val="en"/>
          </w:rPr>
          <w:t>Mueller B</w:t>
        </w:r>
      </w:hyperlink>
      <w:r w:rsidR="00785714" w:rsidRPr="00EC13A5">
        <w:rPr>
          <w:rFonts w:cs="Arial"/>
          <w:lang w:val="en"/>
        </w:rPr>
        <w:t xml:space="preserve">, </w:t>
      </w:r>
      <w:hyperlink r:id="rId115" w:history="1">
        <w:r w:rsidR="00785714" w:rsidRPr="00EC13A5">
          <w:rPr>
            <w:rFonts w:cs="Arial"/>
            <w:lang w:val="en"/>
          </w:rPr>
          <w:t>Schuetz P</w:t>
        </w:r>
      </w:hyperlink>
      <w:r w:rsidR="00785714">
        <w:rPr>
          <w:rFonts w:cs="Arial"/>
          <w:lang w:val="en"/>
        </w:rPr>
        <w:t xml:space="preserve"> (2016)</w:t>
      </w:r>
      <w:r w:rsidR="00785714" w:rsidRPr="00EC13A5">
        <w:rPr>
          <w:rFonts w:cs="Arial"/>
          <w:lang w:val="en"/>
        </w:rPr>
        <w:t xml:space="preserve"> Trimethylamine-N-oxide (TMAO) predicts fatal outcomes in community-acquired pneumonia patients without evident coronary artery disease. </w:t>
      </w:r>
      <w:hyperlink r:id="rId116" w:tooltip="European journal of internal medicine." w:history="1">
        <w:r w:rsidR="00785714" w:rsidRPr="00EC13A5">
          <w:rPr>
            <w:rFonts w:cs="Arial"/>
            <w:lang w:val="en"/>
          </w:rPr>
          <w:t>Eur J Intern Med</w:t>
        </w:r>
      </w:hyperlink>
      <w:r w:rsidR="00785714">
        <w:rPr>
          <w:rFonts w:cs="Arial"/>
          <w:lang w:val="en"/>
        </w:rPr>
        <w:t xml:space="preserve"> 36:67–</w:t>
      </w:r>
      <w:r w:rsidR="00785714" w:rsidRPr="00EC13A5">
        <w:rPr>
          <w:rFonts w:cs="Arial"/>
          <w:lang w:val="en"/>
        </w:rPr>
        <w:t>73</w:t>
      </w:r>
    </w:p>
    <w:p w14:paraId="2BEB3462" w14:textId="77777777" w:rsidR="00785714" w:rsidRDefault="00785714" w:rsidP="00785714">
      <w:pPr>
        <w:rPr>
          <w:rFonts w:cs="Arial"/>
        </w:rPr>
      </w:pPr>
    </w:p>
    <w:p w14:paraId="794570CF" w14:textId="77777777" w:rsidR="00785714" w:rsidRDefault="00785714" w:rsidP="00785714">
      <w:r>
        <w:t>Özogul Y, Boga E, Özogul F, Deniz</w:t>
      </w:r>
      <w:r w:rsidRPr="00E13BC4">
        <w:t xml:space="preserve"> A </w:t>
      </w:r>
      <w:r>
        <w:t>(2013)</w:t>
      </w:r>
      <w:r w:rsidRPr="00E13BC4">
        <w:t xml:space="preserve"> L-carnitine content in seafoods commonly eaten in middle eastern countries. Journal</w:t>
      </w:r>
      <w:r>
        <w:t xml:space="preserve"> of Food Biochemistry 37(6):702–</w:t>
      </w:r>
      <w:r w:rsidRPr="00E13BC4">
        <w:t>707</w:t>
      </w:r>
    </w:p>
    <w:p w14:paraId="7805B3E6" w14:textId="77777777" w:rsidR="00785714" w:rsidRDefault="00785714" w:rsidP="00785714"/>
    <w:p w14:paraId="0DD384C1" w14:textId="77777777" w:rsidR="00785714" w:rsidRPr="00250E2F" w:rsidRDefault="007377EA" w:rsidP="00785714">
      <w:pPr>
        <w:autoSpaceDE w:val="0"/>
        <w:autoSpaceDN w:val="0"/>
        <w:adjustRightInd w:val="0"/>
        <w:rPr>
          <w:rFonts w:cs="Arial"/>
        </w:rPr>
      </w:pPr>
      <w:hyperlink r:id="rId117" w:history="1">
        <w:r w:rsidR="00785714" w:rsidRPr="00EC13A5">
          <w:rPr>
            <w:rFonts w:cs="Arial"/>
            <w:lang w:val="en"/>
          </w:rPr>
          <w:t>Poesen R</w:t>
        </w:r>
      </w:hyperlink>
      <w:r w:rsidR="00785714" w:rsidRPr="00EC13A5">
        <w:rPr>
          <w:rFonts w:cs="Arial"/>
          <w:lang w:val="en"/>
        </w:rPr>
        <w:t xml:space="preserve">, </w:t>
      </w:r>
      <w:hyperlink r:id="rId118" w:history="1">
        <w:r w:rsidR="00785714" w:rsidRPr="00EC13A5">
          <w:rPr>
            <w:rFonts w:cs="Arial"/>
            <w:lang w:val="en"/>
          </w:rPr>
          <w:t>Evenepoel P</w:t>
        </w:r>
      </w:hyperlink>
      <w:r w:rsidR="00785714" w:rsidRPr="00EC13A5">
        <w:rPr>
          <w:rFonts w:cs="Arial"/>
          <w:vertAlign w:val="superscript"/>
          <w:lang w:val="en"/>
        </w:rPr>
        <w:t>,</w:t>
      </w:r>
      <w:r w:rsidR="00785714" w:rsidRPr="00EC13A5">
        <w:rPr>
          <w:rFonts w:cs="Arial"/>
          <w:lang w:val="en"/>
        </w:rPr>
        <w:t xml:space="preserve"> </w:t>
      </w:r>
      <w:hyperlink r:id="rId119" w:history="1">
        <w:r w:rsidR="00785714" w:rsidRPr="00EC13A5">
          <w:rPr>
            <w:rFonts w:cs="Arial"/>
            <w:lang w:val="en"/>
          </w:rPr>
          <w:t>de Loor H</w:t>
        </w:r>
      </w:hyperlink>
      <w:r w:rsidR="00785714" w:rsidRPr="00EC13A5">
        <w:rPr>
          <w:rFonts w:cs="Arial"/>
          <w:vertAlign w:val="superscript"/>
          <w:lang w:val="en"/>
        </w:rPr>
        <w:t>,</w:t>
      </w:r>
      <w:r w:rsidR="00785714" w:rsidRPr="00EC13A5">
        <w:rPr>
          <w:rFonts w:cs="Arial"/>
          <w:lang w:val="en"/>
        </w:rPr>
        <w:t xml:space="preserve"> </w:t>
      </w:r>
      <w:hyperlink r:id="rId120" w:history="1">
        <w:r w:rsidR="00785714" w:rsidRPr="00EC13A5">
          <w:rPr>
            <w:rFonts w:cs="Arial"/>
            <w:lang w:val="en"/>
          </w:rPr>
          <w:t>Bammens B</w:t>
        </w:r>
      </w:hyperlink>
      <w:r w:rsidR="00785714" w:rsidRPr="00EC13A5">
        <w:rPr>
          <w:rFonts w:cs="Arial"/>
          <w:lang w:val="en"/>
        </w:rPr>
        <w:t xml:space="preserve">, </w:t>
      </w:r>
      <w:hyperlink r:id="rId121" w:history="1">
        <w:r w:rsidR="00785714" w:rsidRPr="00EC13A5">
          <w:rPr>
            <w:rFonts w:cs="Arial"/>
            <w:lang w:val="en"/>
          </w:rPr>
          <w:t>Claes K</w:t>
        </w:r>
      </w:hyperlink>
      <w:r w:rsidR="00785714" w:rsidRPr="00EC13A5">
        <w:rPr>
          <w:rFonts w:cs="Arial"/>
          <w:lang w:val="en"/>
        </w:rPr>
        <w:t xml:space="preserve">, </w:t>
      </w:r>
      <w:hyperlink r:id="rId122" w:history="1">
        <w:r w:rsidR="00785714" w:rsidRPr="00EC13A5">
          <w:rPr>
            <w:rFonts w:cs="Arial"/>
            <w:lang w:val="en"/>
          </w:rPr>
          <w:t>Sprangers B</w:t>
        </w:r>
      </w:hyperlink>
      <w:r w:rsidR="00785714" w:rsidRPr="00EC13A5">
        <w:rPr>
          <w:rFonts w:cs="Arial"/>
          <w:lang w:val="en"/>
        </w:rPr>
        <w:t xml:space="preserve">, </w:t>
      </w:r>
      <w:hyperlink r:id="rId123" w:history="1">
        <w:r w:rsidR="00785714" w:rsidRPr="00EC13A5">
          <w:rPr>
            <w:rFonts w:cs="Arial"/>
            <w:lang w:val="en"/>
          </w:rPr>
          <w:t>Naesens M</w:t>
        </w:r>
      </w:hyperlink>
      <w:r w:rsidR="00785714" w:rsidRPr="00EC13A5">
        <w:rPr>
          <w:rFonts w:cs="Arial"/>
          <w:lang w:val="en"/>
        </w:rPr>
        <w:t xml:space="preserve">, </w:t>
      </w:r>
      <w:hyperlink r:id="rId124" w:history="1">
        <w:r w:rsidR="00785714" w:rsidRPr="00EC13A5">
          <w:rPr>
            <w:rFonts w:cs="Arial"/>
            <w:lang w:val="en"/>
          </w:rPr>
          <w:t>Kuypers D</w:t>
        </w:r>
      </w:hyperlink>
      <w:r w:rsidR="00785714" w:rsidRPr="00EC13A5">
        <w:rPr>
          <w:rFonts w:cs="Arial"/>
          <w:lang w:val="en"/>
        </w:rPr>
        <w:t xml:space="preserve">, </w:t>
      </w:r>
      <w:hyperlink r:id="rId125" w:history="1">
        <w:r w:rsidR="00785714" w:rsidRPr="00EC13A5">
          <w:rPr>
            <w:rFonts w:cs="Arial"/>
            <w:lang w:val="en"/>
          </w:rPr>
          <w:t>Augustijns P</w:t>
        </w:r>
      </w:hyperlink>
      <w:r w:rsidR="00785714" w:rsidRPr="00EC13A5">
        <w:rPr>
          <w:rFonts w:cs="Arial"/>
          <w:lang w:val="en"/>
        </w:rPr>
        <w:t xml:space="preserve">, </w:t>
      </w:r>
      <w:hyperlink r:id="rId126" w:history="1">
        <w:r w:rsidR="00785714" w:rsidRPr="00EC13A5">
          <w:rPr>
            <w:rFonts w:cs="Arial"/>
            <w:lang w:val="en"/>
          </w:rPr>
          <w:t>Meijers B</w:t>
        </w:r>
      </w:hyperlink>
      <w:r w:rsidR="00785714">
        <w:rPr>
          <w:rFonts w:cs="Arial"/>
          <w:lang w:val="en"/>
        </w:rPr>
        <w:t xml:space="preserve"> (2016)</w:t>
      </w:r>
      <w:r w:rsidR="00785714" w:rsidRPr="00EC13A5">
        <w:rPr>
          <w:rFonts w:cs="Arial"/>
          <w:lang w:val="en"/>
        </w:rPr>
        <w:t xml:space="preserve"> The influence of renal transplantation on retained microbial-human co-metabolites. </w:t>
      </w:r>
      <w:hyperlink r:id="rId127" w:tooltip="Nephrology, dialysis, transplantation : official publication of the European Dialysis and Transplant Association - European Renal Association." w:history="1">
        <w:r w:rsidR="00785714" w:rsidRPr="00EC13A5">
          <w:rPr>
            <w:rFonts w:cs="Arial"/>
            <w:lang w:val="en"/>
          </w:rPr>
          <w:t>Nephrol Dial Transplant</w:t>
        </w:r>
      </w:hyperlink>
      <w:r w:rsidR="00785714">
        <w:rPr>
          <w:rFonts w:cs="Arial"/>
          <w:lang w:val="en"/>
        </w:rPr>
        <w:t xml:space="preserve"> 31(10):1721–1729</w:t>
      </w:r>
    </w:p>
    <w:p w14:paraId="06989FE2" w14:textId="77777777" w:rsidR="00785714" w:rsidRDefault="00785714" w:rsidP="00785714">
      <w:pPr>
        <w:rPr>
          <w:rFonts w:cs="Arial"/>
        </w:rPr>
      </w:pPr>
    </w:p>
    <w:p w14:paraId="283A4452" w14:textId="77777777" w:rsidR="00785714" w:rsidRDefault="00785714" w:rsidP="00785714">
      <w:pPr>
        <w:rPr>
          <w:lang w:val="en-AU" w:eastAsia="en-AU" w:bidi="ar-SA"/>
        </w:rPr>
      </w:pPr>
      <w:r w:rsidRPr="00E60401">
        <w:rPr>
          <w:lang w:val="en-AU" w:eastAsia="en-AU" w:bidi="ar-SA"/>
        </w:rPr>
        <w:t>Raman</w:t>
      </w:r>
      <w:r>
        <w:rPr>
          <w:lang w:val="en-AU" w:eastAsia="en-AU" w:bidi="ar-SA"/>
        </w:rPr>
        <w:t>au A, Kluge H and Eder K (2005)</w:t>
      </w:r>
      <w:r w:rsidRPr="00E60401">
        <w:rPr>
          <w:lang w:val="en-AU" w:eastAsia="en-AU" w:bidi="ar-SA"/>
        </w:rPr>
        <w:t xml:space="preserve"> Effects of L-carnitine supplementation on milk production, litter gains and back-fat thickness in sows with a low energy and protein intake during lactation. B</w:t>
      </w:r>
      <w:r>
        <w:rPr>
          <w:lang w:val="en-AU" w:eastAsia="en-AU" w:bidi="ar-SA"/>
        </w:rPr>
        <w:t>ritish Journal of Nutrition 93:717–</w:t>
      </w:r>
      <w:r w:rsidRPr="00E60401">
        <w:rPr>
          <w:lang w:val="en-AU" w:eastAsia="en-AU" w:bidi="ar-SA"/>
        </w:rPr>
        <w:t>721</w:t>
      </w:r>
    </w:p>
    <w:p w14:paraId="5E5BBF80" w14:textId="77777777" w:rsidR="00785714" w:rsidRDefault="00785714" w:rsidP="00785714">
      <w:pPr>
        <w:rPr>
          <w:lang w:val="en-AU" w:eastAsia="en-AU" w:bidi="ar-SA"/>
        </w:rPr>
      </w:pPr>
    </w:p>
    <w:p w14:paraId="00CE76CF" w14:textId="3D11C0F2" w:rsidR="00785714" w:rsidRDefault="00785714" w:rsidP="00785714">
      <w:pPr>
        <w:widowControl/>
        <w:rPr>
          <w:szCs w:val="22"/>
        </w:rPr>
      </w:pPr>
      <w:r w:rsidRPr="00E13BC4">
        <w:rPr>
          <w:szCs w:val="22"/>
        </w:rPr>
        <w:t>R</w:t>
      </w:r>
      <w:r>
        <w:rPr>
          <w:szCs w:val="22"/>
        </w:rPr>
        <w:t>ebouche C, Engel A (1984)</w:t>
      </w:r>
      <w:r w:rsidR="007941B9">
        <w:rPr>
          <w:szCs w:val="22"/>
        </w:rPr>
        <w:t xml:space="preserve"> Kinetic compartmental analysis of carnitine metabolism in the human carnitine deficiency syndromes: evidence for alternations in tissue carnitine t</w:t>
      </w:r>
      <w:r w:rsidRPr="00E13BC4">
        <w:rPr>
          <w:szCs w:val="22"/>
        </w:rPr>
        <w:t>ransport. Journal C</w:t>
      </w:r>
      <w:r>
        <w:rPr>
          <w:szCs w:val="22"/>
        </w:rPr>
        <w:t>linical Investigation 73(3):857–</w:t>
      </w:r>
      <w:r w:rsidRPr="00E13BC4">
        <w:rPr>
          <w:szCs w:val="22"/>
        </w:rPr>
        <w:t>867</w:t>
      </w:r>
    </w:p>
    <w:p w14:paraId="0BB0867E" w14:textId="77777777" w:rsidR="00785714" w:rsidRDefault="00785714" w:rsidP="00785714">
      <w:pPr>
        <w:rPr>
          <w:rFonts w:cs="Arial"/>
        </w:rPr>
      </w:pPr>
    </w:p>
    <w:p w14:paraId="0E245875" w14:textId="77777777" w:rsidR="00785714" w:rsidRDefault="00785714" w:rsidP="00785714">
      <w:pPr>
        <w:rPr>
          <w:rFonts w:cs="Arial"/>
        </w:rPr>
      </w:pPr>
      <w:r w:rsidRPr="005D40AD">
        <w:rPr>
          <w:rFonts w:cs="Arial"/>
        </w:rPr>
        <w:t>Rebouche CJ, Chenard CA</w:t>
      </w:r>
      <w:r>
        <w:rPr>
          <w:rFonts w:cs="Arial"/>
        </w:rPr>
        <w:t xml:space="preserve"> (1991)</w:t>
      </w:r>
      <w:r w:rsidRPr="005D40AD">
        <w:rPr>
          <w:rFonts w:cs="Arial"/>
        </w:rPr>
        <w:t xml:space="preserve"> Metabolic fate of dietary carnitine in human adults: identification and quantification of urinary and </w:t>
      </w:r>
      <w:r>
        <w:rPr>
          <w:rFonts w:cs="Arial"/>
        </w:rPr>
        <w:t>fecal metabolites. J Nutr 121(4):539–546</w:t>
      </w:r>
    </w:p>
    <w:p w14:paraId="236246D4" w14:textId="77777777" w:rsidR="00785714" w:rsidRPr="004C2C4C" w:rsidRDefault="00785714" w:rsidP="00785714">
      <w:pPr>
        <w:rPr>
          <w:rFonts w:cs="Arial"/>
        </w:rPr>
      </w:pPr>
    </w:p>
    <w:p w14:paraId="0C43E555" w14:textId="77777777" w:rsidR="00785714" w:rsidRPr="004C2C4C" w:rsidRDefault="00785714" w:rsidP="00785714">
      <w:pPr>
        <w:rPr>
          <w:rFonts w:cs="Arial"/>
        </w:rPr>
      </w:pPr>
      <w:r w:rsidRPr="004C2C4C">
        <w:rPr>
          <w:rFonts w:cs="Arial"/>
        </w:rPr>
        <w:t>Rebouche CJ (2004) Kinetics, pharmacokinetics, and regulation of L-carnitine and acetyl-L-carnitine metabolism. Ann N Y Acad Sci 1033:30–41</w:t>
      </w:r>
    </w:p>
    <w:p w14:paraId="23C1B374" w14:textId="77777777" w:rsidR="00785714" w:rsidRDefault="00785714" w:rsidP="00785714">
      <w:pPr>
        <w:rPr>
          <w:rFonts w:cs="Arial"/>
        </w:rPr>
      </w:pPr>
    </w:p>
    <w:p w14:paraId="590E227F" w14:textId="77777777" w:rsidR="00785714" w:rsidRPr="004C2C4C" w:rsidRDefault="00785714" w:rsidP="00785714">
      <w:pPr>
        <w:rPr>
          <w:rFonts w:cs="Arial"/>
        </w:rPr>
      </w:pPr>
      <w:r w:rsidRPr="004C2C4C">
        <w:rPr>
          <w:rFonts w:cs="Arial"/>
        </w:rPr>
        <w:t>Reuter SE, Evans AM (2012) Carnitine and acylcarnitines: pharmacokinetic, pharmacological and clinical aspects. Clin Pharmacokinet 51(9):553–572</w:t>
      </w:r>
    </w:p>
    <w:p w14:paraId="0E4E50EC" w14:textId="77777777" w:rsidR="00785714" w:rsidRDefault="00785714" w:rsidP="00785714">
      <w:pPr>
        <w:rPr>
          <w:rFonts w:cs="Arial"/>
        </w:rPr>
      </w:pPr>
    </w:p>
    <w:p w14:paraId="6D832361" w14:textId="77777777" w:rsidR="00785714" w:rsidRPr="00E13BC4" w:rsidRDefault="00785714" w:rsidP="00785714">
      <w:pPr>
        <w:widowControl/>
        <w:rPr>
          <w:szCs w:val="22"/>
        </w:rPr>
      </w:pPr>
      <w:r>
        <w:rPr>
          <w:szCs w:val="22"/>
        </w:rPr>
        <w:t>Rigault C, Mazué F</w:t>
      </w:r>
      <w:r w:rsidRPr="00E13BC4">
        <w:rPr>
          <w:szCs w:val="22"/>
        </w:rPr>
        <w:t>,</w:t>
      </w:r>
      <w:r>
        <w:rPr>
          <w:szCs w:val="22"/>
        </w:rPr>
        <w:t xml:space="preserve"> Bernard A</w:t>
      </w:r>
      <w:r w:rsidRPr="00E13BC4">
        <w:rPr>
          <w:szCs w:val="22"/>
        </w:rPr>
        <w:t>, Demarq</w:t>
      </w:r>
      <w:r>
        <w:rPr>
          <w:szCs w:val="22"/>
        </w:rPr>
        <w:t>uoy J, Le Borgne F (2007)</w:t>
      </w:r>
      <w:r w:rsidRPr="00E13BC4">
        <w:rPr>
          <w:szCs w:val="22"/>
        </w:rPr>
        <w:t xml:space="preserve"> Changes in L-carnitine content of fish and meat during domest</w:t>
      </w:r>
      <w:r>
        <w:rPr>
          <w:szCs w:val="22"/>
        </w:rPr>
        <w:t>ic cooking. Meat Science 78:331–</w:t>
      </w:r>
      <w:r w:rsidRPr="00E13BC4">
        <w:rPr>
          <w:szCs w:val="22"/>
        </w:rPr>
        <w:t>335</w:t>
      </w:r>
    </w:p>
    <w:p w14:paraId="5AF1428A" w14:textId="77777777" w:rsidR="00785714" w:rsidRDefault="00785714" w:rsidP="00785714">
      <w:pPr>
        <w:rPr>
          <w:rFonts w:cs="Arial"/>
        </w:rPr>
      </w:pPr>
    </w:p>
    <w:p w14:paraId="74927D2C" w14:textId="77777777" w:rsidR="00785714" w:rsidRPr="007748A2" w:rsidRDefault="00785714" w:rsidP="00785714">
      <w:pPr>
        <w:rPr>
          <w:rFonts w:cs="Arial"/>
          <w:lang w:val="en-AU"/>
        </w:rPr>
      </w:pPr>
      <w:r w:rsidRPr="00D95B9A">
        <w:rPr>
          <w:rFonts w:cs="Arial"/>
          <w:lang w:val="en-AU"/>
        </w:rPr>
        <w:lastRenderedPageBreak/>
        <w:t>Robinson-Cohen C, Newitt R, Shen DD, Rettie A</w:t>
      </w:r>
      <w:r>
        <w:rPr>
          <w:rFonts w:cs="Arial"/>
          <w:lang w:val="en-AU"/>
        </w:rPr>
        <w:t xml:space="preserve">E, Kestenbaum BR, Himmelfarb J, </w:t>
      </w:r>
      <w:r>
        <w:rPr>
          <w:rFonts w:cs="Arial"/>
        </w:rPr>
        <w:t xml:space="preserve">Yeung CK (2016) </w:t>
      </w:r>
      <w:r w:rsidRPr="00D95B9A">
        <w:rPr>
          <w:rFonts w:cs="Arial"/>
        </w:rPr>
        <w:t>Associa</w:t>
      </w:r>
      <w:r>
        <w:rPr>
          <w:rFonts w:cs="Arial"/>
        </w:rPr>
        <w:t>tion of FMO3 variants and trimethylamine N-oxide concentration, disease progression, and m</w:t>
      </w:r>
      <w:r w:rsidRPr="00D95B9A">
        <w:rPr>
          <w:rFonts w:cs="Arial"/>
        </w:rPr>
        <w:t>ortality in CKD Patients. PLoS One</w:t>
      </w:r>
      <w:r>
        <w:rPr>
          <w:rFonts w:cs="Arial"/>
        </w:rPr>
        <w:t xml:space="preserve"> 11(8):e0161074</w:t>
      </w:r>
    </w:p>
    <w:p w14:paraId="32D90768" w14:textId="77777777" w:rsidR="00785714" w:rsidRDefault="00785714" w:rsidP="00785714">
      <w:pPr>
        <w:rPr>
          <w:rFonts w:cs="Arial"/>
        </w:rPr>
      </w:pPr>
    </w:p>
    <w:p w14:paraId="4AFDF586" w14:textId="77777777" w:rsidR="00785714" w:rsidRPr="00D06DEA" w:rsidRDefault="00785714" w:rsidP="00785714">
      <w:pPr>
        <w:rPr>
          <w:rFonts w:cs="Arial"/>
          <w:lang w:val="en-AU"/>
        </w:rPr>
      </w:pPr>
      <w:r w:rsidRPr="00D06DEA">
        <w:rPr>
          <w:rFonts w:cs="Arial"/>
          <w:lang w:val="en-AU"/>
        </w:rPr>
        <w:t>Rubin MR, Volek JS, Gómez AL, Ratamess NA, Fre</w:t>
      </w:r>
      <w:r>
        <w:rPr>
          <w:rFonts w:cs="Arial"/>
          <w:lang w:val="en-AU"/>
        </w:rPr>
        <w:t>nch DN, Sharman MJ, Kraemer WJ (2001)</w:t>
      </w:r>
    </w:p>
    <w:p w14:paraId="0BC1003B" w14:textId="77777777" w:rsidR="00785714" w:rsidRDefault="00785714" w:rsidP="00785714">
      <w:pPr>
        <w:rPr>
          <w:rFonts w:cs="Arial"/>
        </w:rPr>
      </w:pPr>
      <w:r w:rsidRPr="00D06DEA">
        <w:rPr>
          <w:rFonts w:cs="Arial"/>
        </w:rPr>
        <w:t>Safety measures of L-</w:t>
      </w:r>
      <w:r>
        <w:rPr>
          <w:rFonts w:cs="Arial"/>
        </w:rPr>
        <w:t>carnitine-L-tartrate</w:t>
      </w:r>
      <w:r w:rsidRPr="00D06DEA">
        <w:rPr>
          <w:rFonts w:cs="Arial"/>
        </w:rPr>
        <w:t xml:space="preserve"> supplementation in healthy men. J</w:t>
      </w:r>
      <w:r>
        <w:rPr>
          <w:rFonts w:cs="Arial"/>
        </w:rPr>
        <w:t xml:space="preserve"> </w:t>
      </w:r>
      <w:r w:rsidRPr="00D06DEA">
        <w:rPr>
          <w:rFonts w:cs="Arial"/>
        </w:rPr>
        <w:t xml:space="preserve">Strength </w:t>
      </w:r>
      <w:r>
        <w:rPr>
          <w:rFonts w:cs="Arial"/>
        </w:rPr>
        <w:t>Cond Res 15(4):486–490</w:t>
      </w:r>
    </w:p>
    <w:p w14:paraId="06329627" w14:textId="77777777" w:rsidR="00785714" w:rsidRDefault="00785714" w:rsidP="00785714">
      <w:pPr>
        <w:rPr>
          <w:rFonts w:cs="Arial"/>
        </w:rPr>
      </w:pPr>
    </w:p>
    <w:p w14:paraId="5DB70AEA" w14:textId="77777777" w:rsidR="00785714" w:rsidRPr="00E60401" w:rsidRDefault="00785714" w:rsidP="00785714">
      <w:pPr>
        <w:rPr>
          <w:lang w:val="en-AU" w:eastAsia="en-AU" w:bidi="ar-SA"/>
        </w:rPr>
      </w:pPr>
      <w:r>
        <w:rPr>
          <w:lang w:val="en-AU" w:eastAsia="en-AU" w:bidi="ar-SA"/>
        </w:rPr>
        <w:t>SafePharm Laboratories (2008) LZ1000: Reverse mutation assay “Ames test” u</w:t>
      </w:r>
      <w:r w:rsidRPr="00E60401">
        <w:rPr>
          <w:lang w:val="en-AU" w:eastAsia="en-AU" w:bidi="ar-SA"/>
        </w:rPr>
        <w:t>sing</w:t>
      </w:r>
      <w:r>
        <w:rPr>
          <w:lang w:val="en-AU" w:eastAsia="en-AU" w:bidi="ar-SA"/>
        </w:rPr>
        <w:t xml:space="preserve"> </w:t>
      </w:r>
      <w:r w:rsidRPr="00344643">
        <w:rPr>
          <w:i/>
          <w:lang w:val="en-AU" w:eastAsia="en-AU" w:bidi="ar-SA"/>
        </w:rPr>
        <w:t>Salmonella typhimurium</w:t>
      </w:r>
      <w:r>
        <w:rPr>
          <w:lang w:val="en-AU" w:eastAsia="en-AU" w:bidi="ar-SA"/>
        </w:rPr>
        <w:t xml:space="preserve"> and </w:t>
      </w:r>
      <w:r w:rsidRPr="00344643">
        <w:rPr>
          <w:i/>
          <w:lang w:val="en-AU" w:eastAsia="en-AU" w:bidi="ar-SA"/>
        </w:rPr>
        <w:t>Escherichia coli</w:t>
      </w:r>
      <w:r w:rsidRPr="00E60401">
        <w:rPr>
          <w:lang w:val="en-AU" w:eastAsia="en-AU" w:bidi="ar-SA"/>
        </w:rPr>
        <w:t>. (Lonza report no 4226, SPL project</w:t>
      </w:r>
      <w:r>
        <w:rPr>
          <w:lang w:val="en-AU" w:eastAsia="en-AU" w:bidi="ar-SA"/>
        </w:rPr>
        <w:t xml:space="preserve"> number: 0102/0584)</w:t>
      </w:r>
    </w:p>
    <w:p w14:paraId="522AAE6A" w14:textId="77777777" w:rsidR="00785714" w:rsidRDefault="00785714" w:rsidP="00785714">
      <w:pPr>
        <w:rPr>
          <w:rFonts w:cs="Arial"/>
        </w:rPr>
      </w:pPr>
    </w:p>
    <w:p w14:paraId="4A71F891" w14:textId="77777777" w:rsidR="00785714" w:rsidRDefault="00785714" w:rsidP="00AC3CD6">
      <w:pPr>
        <w:keepNext/>
        <w:keepLines/>
        <w:rPr>
          <w:lang w:val="en-AU" w:eastAsia="en-AU" w:bidi="ar-SA"/>
        </w:rPr>
      </w:pPr>
      <w:r w:rsidRPr="00E60401">
        <w:rPr>
          <w:lang w:val="en-AU" w:eastAsia="en-AU" w:bidi="ar-SA"/>
        </w:rPr>
        <w:t xml:space="preserve">Sayed-Ahmed MM, Khattab </w:t>
      </w:r>
      <w:r>
        <w:rPr>
          <w:lang w:val="en-AU" w:eastAsia="en-AU" w:bidi="ar-SA"/>
        </w:rPr>
        <w:t>MM, Gad MZ and Mostafa N (2001)</w:t>
      </w:r>
      <w:r w:rsidRPr="00E60401">
        <w:rPr>
          <w:lang w:val="en-AU" w:eastAsia="en-AU" w:bidi="ar-SA"/>
        </w:rPr>
        <w:t xml:space="preserve"> L-carnitine prevents the </w:t>
      </w:r>
      <w:r>
        <w:rPr>
          <w:lang w:val="en-AU" w:eastAsia="en-AU" w:bidi="ar-SA"/>
        </w:rPr>
        <w:t>p</w:t>
      </w:r>
      <w:r w:rsidRPr="00E60401">
        <w:rPr>
          <w:lang w:val="en-AU" w:eastAsia="en-AU" w:bidi="ar-SA"/>
        </w:rPr>
        <w:t>rogression of atherosclerotic lesions in hypercholesterolaemic rabbits. Pharmacological Re</w:t>
      </w:r>
      <w:r>
        <w:rPr>
          <w:lang w:val="en-AU" w:eastAsia="en-AU" w:bidi="ar-SA"/>
        </w:rPr>
        <w:t>search 44(3):235–242</w:t>
      </w:r>
    </w:p>
    <w:p w14:paraId="1159A746" w14:textId="77777777" w:rsidR="00785714" w:rsidRDefault="00785714" w:rsidP="00785714">
      <w:pPr>
        <w:rPr>
          <w:lang w:val="en-AU" w:eastAsia="en-AU" w:bidi="ar-SA"/>
        </w:rPr>
      </w:pPr>
    </w:p>
    <w:p w14:paraId="3772DEAE" w14:textId="77777777" w:rsidR="00785714" w:rsidRPr="00EC13A5" w:rsidRDefault="007377EA" w:rsidP="00785714">
      <w:pPr>
        <w:autoSpaceDE w:val="0"/>
        <w:autoSpaceDN w:val="0"/>
        <w:adjustRightInd w:val="0"/>
        <w:rPr>
          <w:rFonts w:cs="Arial"/>
        </w:rPr>
      </w:pPr>
      <w:hyperlink r:id="rId128" w:history="1">
        <w:r w:rsidR="00785714" w:rsidRPr="00EC13A5">
          <w:rPr>
            <w:rFonts w:cs="Arial"/>
            <w:lang w:val="en"/>
          </w:rPr>
          <w:t>Schiattarella GG</w:t>
        </w:r>
      </w:hyperlink>
      <w:r w:rsidR="00785714" w:rsidRPr="00EC13A5">
        <w:rPr>
          <w:rFonts w:cs="Arial"/>
          <w:lang w:val="en"/>
        </w:rPr>
        <w:t xml:space="preserve">, </w:t>
      </w:r>
      <w:hyperlink r:id="rId129" w:history="1">
        <w:r w:rsidR="00785714" w:rsidRPr="00EC13A5">
          <w:rPr>
            <w:rFonts w:cs="Arial"/>
            <w:lang w:val="en"/>
          </w:rPr>
          <w:t>Sannino A</w:t>
        </w:r>
      </w:hyperlink>
      <w:r w:rsidR="00785714" w:rsidRPr="00EC13A5">
        <w:rPr>
          <w:rFonts w:cs="Arial"/>
          <w:lang w:val="en"/>
        </w:rPr>
        <w:t xml:space="preserve">, </w:t>
      </w:r>
      <w:hyperlink r:id="rId130" w:history="1">
        <w:r w:rsidR="00785714" w:rsidRPr="00EC13A5">
          <w:rPr>
            <w:rFonts w:cs="Arial"/>
            <w:lang w:val="en"/>
          </w:rPr>
          <w:t>Toscano E</w:t>
        </w:r>
      </w:hyperlink>
      <w:r w:rsidR="00785714" w:rsidRPr="00EC13A5">
        <w:rPr>
          <w:rFonts w:cs="Arial"/>
          <w:lang w:val="en"/>
        </w:rPr>
        <w:t xml:space="preserve">, </w:t>
      </w:r>
      <w:hyperlink r:id="rId131" w:history="1">
        <w:r w:rsidR="00785714" w:rsidRPr="00EC13A5">
          <w:rPr>
            <w:rFonts w:cs="Arial"/>
            <w:lang w:val="en"/>
          </w:rPr>
          <w:t>Giugliano G</w:t>
        </w:r>
      </w:hyperlink>
      <w:r w:rsidR="00785714" w:rsidRPr="00EC13A5">
        <w:rPr>
          <w:rFonts w:cs="Arial"/>
          <w:lang w:val="en"/>
        </w:rPr>
        <w:t xml:space="preserve">, </w:t>
      </w:r>
      <w:hyperlink r:id="rId132" w:history="1">
        <w:r w:rsidR="00785714" w:rsidRPr="00EC13A5">
          <w:rPr>
            <w:rFonts w:cs="Arial"/>
            <w:lang w:val="en"/>
          </w:rPr>
          <w:t>Gargiulo G</w:t>
        </w:r>
      </w:hyperlink>
      <w:r w:rsidR="00785714" w:rsidRPr="00EC13A5">
        <w:rPr>
          <w:rFonts w:cs="Arial"/>
          <w:lang w:val="en"/>
        </w:rPr>
        <w:t xml:space="preserve">, </w:t>
      </w:r>
      <w:hyperlink r:id="rId133" w:history="1">
        <w:r w:rsidR="00785714" w:rsidRPr="00EC13A5">
          <w:rPr>
            <w:rFonts w:cs="Arial"/>
            <w:lang w:val="en"/>
          </w:rPr>
          <w:t>Franzone A</w:t>
        </w:r>
      </w:hyperlink>
      <w:r w:rsidR="00785714" w:rsidRPr="00EC13A5">
        <w:rPr>
          <w:rFonts w:cs="Arial"/>
          <w:lang w:val="en"/>
        </w:rPr>
        <w:t xml:space="preserve">, </w:t>
      </w:r>
      <w:hyperlink r:id="rId134" w:history="1">
        <w:r w:rsidR="00785714" w:rsidRPr="00EC13A5">
          <w:rPr>
            <w:rFonts w:cs="Arial"/>
            <w:lang w:val="en"/>
          </w:rPr>
          <w:t>Trimarco B</w:t>
        </w:r>
      </w:hyperlink>
      <w:r w:rsidR="00785714" w:rsidRPr="00EC13A5">
        <w:rPr>
          <w:rFonts w:cs="Arial"/>
          <w:lang w:val="en"/>
        </w:rPr>
        <w:t xml:space="preserve">, </w:t>
      </w:r>
      <w:hyperlink r:id="rId135" w:history="1">
        <w:r w:rsidR="00785714" w:rsidRPr="00EC13A5">
          <w:rPr>
            <w:rFonts w:cs="Arial"/>
            <w:lang w:val="en"/>
          </w:rPr>
          <w:t>Esposito G</w:t>
        </w:r>
      </w:hyperlink>
      <w:r w:rsidR="00785714" w:rsidRPr="00EC13A5">
        <w:rPr>
          <w:rFonts w:cs="Arial"/>
          <w:lang w:val="en"/>
        </w:rPr>
        <w:t xml:space="preserve">, </w:t>
      </w:r>
      <w:hyperlink r:id="rId136" w:history="1">
        <w:r w:rsidR="00785714" w:rsidRPr="00EC13A5">
          <w:rPr>
            <w:rFonts w:cs="Arial"/>
            <w:lang w:val="en"/>
          </w:rPr>
          <w:t>Perrino C</w:t>
        </w:r>
      </w:hyperlink>
      <w:r w:rsidR="00785714">
        <w:rPr>
          <w:rFonts w:cs="Arial"/>
          <w:lang w:val="en"/>
        </w:rPr>
        <w:t xml:space="preserve"> (2017)</w:t>
      </w:r>
      <w:r w:rsidR="00785714" w:rsidRPr="00EC13A5">
        <w:rPr>
          <w:rFonts w:cs="Arial"/>
          <w:lang w:val="en"/>
        </w:rPr>
        <w:t xml:space="preserve"> Gut microbe-generated metabolite trimethylamine-N-oxide as cardiovascular risk biomarker: a systematic review and dose-response meta-analysis. </w:t>
      </w:r>
      <w:hyperlink r:id="rId137" w:tooltip="European heart journal." w:history="1">
        <w:r w:rsidR="00785714" w:rsidRPr="00EC13A5">
          <w:rPr>
            <w:rFonts w:cs="Arial"/>
            <w:lang w:val="en"/>
          </w:rPr>
          <w:t>Eur Heart J</w:t>
        </w:r>
      </w:hyperlink>
      <w:r w:rsidR="00785714">
        <w:rPr>
          <w:rFonts w:cs="Arial"/>
          <w:lang w:val="en"/>
        </w:rPr>
        <w:t xml:space="preserve"> 38(39):2948–2956</w:t>
      </w:r>
    </w:p>
    <w:p w14:paraId="4CD5802B" w14:textId="77777777" w:rsidR="00785714" w:rsidRPr="00E60401" w:rsidRDefault="00785714" w:rsidP="00785714">
      <w:pPr>
        <w:rPr>
          <w:lang w:val="en-AU" w:eastAsia="en-AU" w:bidi="ar-SA"/>
        </w:rPr>
      </w:pPr>
    </w:p>
    <w:p w14:paraId="35A2CBFC" w14:textId="77777777" w:rsidR="00785714" w:rsidRPr="00E60401" w:rsidRDefault="00785714" w:rsidP="00785714">
      <w:pPr>
        <w:rPr>
          <w:lang w:val="en-AU" w:eastAsia="en-AU" w:bidi="ar-SA"/>
        </w:rPr>
      </w:pPr>
      <w:r w:rsidRPr="00E60401">
        <w:rPr>
          <w:lang w:val="en-AU" w:eastAsia="en-AU" w:bidi="ar-SA"/>
        </w:rPr>
        <w:t>Seccombe DW, Jam</w:t>
      </w:r>
      <w:r>
        <w:rPr>
          <w:lang w:val="en-AU" w:eastAsia="en-AU" w:bidi="ar-SA"/>
        </w:rPr>
        <w:t>es L, Hahn P and Jones E (1987)</w:t>
      </w:r>
      <w:r w:rsidRPr="00E60401">
        <w:rPr>
          <w:lang w:val="en-AU" w:eastAsia="en-AU" w:bidi="ar-SA"/>
        </w:rPr>
        <w:t xml:space="preserve"> L-carnitine treatment in the hyperlipida</w:t>
      </w:r>
      <w:r>
        <w:rPr>
          <w:lang w:val="en-AU" w:eastAsia="en-AU" w:bidi="ar-SA"/>
        </w:rPr>
        <w:t>emic rabbit. Metabolism 36(12):1192–</w:t>
      </w:r>
      <w:r w:rsidRPr="00E60401">
        <w:rPr>
          <w:lang w:val="en-AU" w:eastAsia="en-AU" w:bidi="ar-SA"/>
        </w:rPr>
        <w:t>1196</w:t>
      </w:r>
    </w:p>
    <w:p w14:paraId="41785EA2" w14:textId="77777777" w:rsidR="00785714" w:rsidRDefault="00785714" w:rsidP="00785714">
      <w:pPr>
        <w:rPr>
          <w:rFonts w:cs="Arial"/>
        </w:rPr>
      </w:pPr>
    </w:p>
    <w:p w14:paraId="41D34FC2" w14:textId="77777777" w:rsidR="00785714" w:rsidRPr="00EC13A5" w:rsidRDefault="00785714" w:rsidP="00785714">
      <w:pPr>
        <w:autoSpaceDE w:val="0"/>
        <w:autoSpaceDN w:val="0"/>
        <w:adjustRightInd w:val="0"/>
        <w:rPr>
          <w:rFonts w:cs="Arial"/>
        </w:rPr>
      </w:pPr>
      <w:r w:rsidRPr="00EC13A5">
        <w:rPr>
          <w:rFonts w:cs="Arial"/>
          <w:bCs/>
          <w:lang w:val="en"/>
        </w:rPr>
        <w:t>Senthong</w:t>
      </w:r>
      <w:r w:rsidRPr="00EC13A5">
        <w:rPr>
          <w:rFonts w:cs="Arial"/>
          <w:lang w:val="en"/>
        </w:rPr>
        <w:t xml:space="preserve"> V, Wang Z, Wu Y, Tang WH, Hazen SL</w:t>
      </w:r>
      <w:r>
        <w:rPr>
          <w:rFonts w:cs="Arial"/>
          <w:lang w:val="en"/>
        </w:rPr>
        <w:t xml:space="preserve"> (2015)</w:t>
      </w:r>
      <w:r w:rsidRPr="00EC13A5">
        <w:rPr>
          <w:rFonts w:cs="Arial"/>
          <w:lang w:val="en"/>
        </w:rPr>
        <w:t xml:space="preserve"> El</w:t>
      </w:r>
      <w:r>
        <w:rPr>
          <w:rFonts w:cs="Arial"/>
          <w:lang w:val="en"/>
        </w:rPr>
        <w:t>evated plasma trimethylamine N-o</w:t>
      </w:r>
      <w:r w:rsidRPr="00EC13A5">
        <w:rPr>
          <w:rFonts w:cs="Arial"/>
          <w:lang w:val="en"/>
        </w:rPr>
        <w:t>xide is associated with poor prognosis in patients with peripheral artery disease. J Am Coll Cardiol 65(10S) A2076.</w:t>
      </w:r>
    </w:p>
    <w:p w14:paraId="62A79653" w14:textId="77777777" w:rsidR="00785714" w:rsidRPr="00EC13A5" w:rsidRDefault="00785714" w:rsidP="00785714">
      <w:pPr>
        <w:autoSpaceDE w:val="0"/>
        <w:autoSpaceDN w:val="0"/>
        <w:adjustRightInd w:val="0"/>
        <w:rPr>
          <w:rFonts w:cs="Arial"/>
        </w:rPr>
      </w:pPr>
    </w:p>
    <w:p w14:paraId="523EC79E" w14:textId="3C90A5FD" w:rsidR="00785714" w:rsidRDefault="00785714" w:rsidP="00785714">
      <w:pPr>
        <w:autoSpaceDE w:val="0"/>
        <w:autoSpaceDN w:val="0"/>
        <w:adjustRightInd w:val="0"/>
        <w:rPr>
          <w:rFonts w:cs="Arial"/>
          <w:lang w:val="en"/>
        </w:rPr>
      </w:pPr>
      <w:r w:rsidRPr="00EC13A5">
        <w:rPr>
          <w:rFonts w:cs="Arial"/>
          <w:bCs/>
          <w:lang w:val="en"/>
        </w:rPr>
        <w:t>Senthong</w:t>
      </w:r>
      <w:r w:rsidRPr="00EC13A5">
        <w:rPr>
          <w:rFonts w:cs="Arial"/>
          <w:lang w:val="en"/>
        </w:rPr>
        <w:t xml:space="preserve"> V, Wang Z, Fan Y, Wu Y, Hazen SL, Tang WH</w:t>
      </w:r>
      <w:r>
        <w:rPr>
          <w:rFonts w:cs="Arial"/>
          <w:lang w:val="en"/>
        </w:rPr>
        <w:t xml:space="preserve"> (2016a) Trimethylamine N-oxide and mortality risk in patients with peripheral artery d</w:t>
      </w:r>
      <w:r w:rsidRPr="00EC13A5">
        <w:rPr>
          <w:rFonts w:cs="Arial"/>
          <w:lang w:val="en"/>
        </w:rPr>
        <w:t>iseas</w:t>
      </w:r>
      <w:r w:rsidR="00C533CE">
        <w:rPr>
          <w:rFonts w:cs="Arial"/>
          <w:lang w:val="en"/>
        </w:rPr>
        <w:t>e. J Am Heart Assoc 5(10) pii:</w:t>
      </w:r>
      <w:r>
        <w:rPr>
          <w:rFonts w:cs="Arial"/>
          <w:lang w:val="en"/>
        </w:rPr>
        <w:t>e004237</w:t>
      </w:r>
    </w:p>
    <w:p w14:paraId="4D7CCD97" w14:textId="77777777" w:rsidR="00785714" w:rsidRDefault="00785714" w:rsidP="00785714">
      <w:pPr>
        <w:autoSpaceDE w:val="0"/>
        <w:autoSpaceDN w:val="0"/>
        <w:adjustRightInd w:val="0"/>
        <w:rPr>
          <w:rFonts w:cs="Arial"/>
          <w:lang w:val="en"/>
        </w:rPr>
      </w:pPr>
    </w:p>
    <w:p w14:paraId="47E807DA" w14:textId="6C0C32F3" w:rsidR="00785714" w:rsidRDefault="00785714" w:rsidP="00785714">
      <w:pPr>
        <w:autoSpaceDE w:val="0"/>
        <w:autoSpaceDN w:val="0"/>
        <w:adjustRightInd w:val="0"/>
        <w:rPr>
          <w:rFonts w:cs="Arial"/>
          <w:lang w:val="en"/>
        </w:rPr>
      </w:pPr>
      <w:r w:rsidRPr="002344C0">
        <w:rPr>
          <w:rFonts w:cs="Arial"/>
          <w:lang w:val="en"/>
        </w:rPr>
        <w:t>Senthong V, Wang Z, Li XS,</w:t>
      </w:r>
      <w:r>
        <w:rPr>
          <w:rFonts w:cs="Arial"/>
          <w:lang w:val="en"/>
        </w:rPr>
        <w:t xml:space="preserve"> Fan Y, Wu Y, Tang WH, Hazen SL (2016b)</w:t>
      </w:r>
      <w:r w:rsidRPr="002344C0">
        <w:rPr>
          <w:rFonts w:cs="Arial"/>
          <w:lang w:val="en"/>
        </w:rPr>
        <w:t xml:space="preserve"> Intestinal</w:t>
      </w:r>
      <w:r>
        <w:rPr>
          <w:rFonts w:cs="Arial"/>
          <w:lang w:val="en"/>
        </w:rPr>
        <w:t xml:space="preserve"> microbiota-generated metabolite trimethylamine-N-oxide and 5-year mortality risk in stable coronary artery disease: the contributory role of intestinal microbiota in a COURAGE-like patient c</w:t>
      </w:r>
      <w:r w:rsidRPr="002344C0">
        <w:rPr>
          <w:rFonts w:cs="Arial"/>
          <w:lang w:val="en"/>
        </w:rPr>
        <w:t>ohort. J Am Heart Assoc</w:t>
      </w:r>
      <w:r w:rsidR="00C533CE">
        <w:rPr>
          <w:rFonts w:cs="Arial"/>
          <w:lang w:val="en"/>
        </w:rPr>
        <w:t xml:space="preserve"> 5(6) pii:</w:t>
      </w:r>
      <w:r>
        <w:rPr>
          <w:rFonts w:cs="Arial"/>
          <w:lang w:val="en"/>
        </w:rPr>
        <w:t>e002816</w:t>
      </w:r>
    </w:p>
    <w:p w14:paraId="2B82028C" w14:textId="77777777" w:rsidR="00785714" w:rsidRDefault="00785714" w:rsidP="00785714">
      <w:pPr>
        <w:rPr>
          <w:rFonts w:cs="Arial"/>
        </w:rPr>
      </w:pPr>
    </w:p>
    <w:p w14:paraId="35A89239" w14:textId="77777777" w:rsidR="00785714" w:rsidRPr="004C2C4C" w:rsidRDefault="00785714" w:rsidP="00785714">
      <w:pPr>
        <w:rPr>
          <w:rFonts w:cs="Arial"/>
        </w:rPr>
      </w:pPr>
      <w:r w:rsidRPr="004C2C4C">
        <w:rPr>
          <w:rFonts w:cs="Arial"/>
        </w:rPr>
        <w:t>Skagen K, Troseid M, Ueland T, Holm S, Abbas A, Gregersen I, Kummen M, Bjerkeli V, Reier-Nilsen F, Russell D, Svardal A, Karlsen TH, Aukrust P, Berge RK, Hov JE, Halvo</w:t>
      </w:r>
      <w:r>
        <w:rPr>
          <w:rFonts w:cs="Arial"/>
        </w:rPr>
        <w:t>rsen B, Skjelland M (2016) The c</w:t>
      </w:r>
      <w:r w:rsidRPr="004C2C4C">
        <w:rPr>
          <w:rFonts w:cs="Arial"/>
        </w:rPr>
        <w:t>arnitine-butyrobetaine-trimethylamine-N-oxide pathway and its association with cardiovascular mortality in patients with carotid atherosclerosis. Atherosclerosis 247:64–69</w:t>
      </w:r>
    </w:p>
    <w:p w14:paraId="1EFE54A0" w14:textId="77777777" w:rsidR="00785714" w:rsidRDefault="00785714" w:rsidP="00785714">
      <w:pPr>
        <w:rPr>
          <w:rFonts w:cs="Arial"/>
        </w:rPr>
      </w:pPr>
    </w:p>
    <w:p w14:paraId="1E012F48" w14:textId="628D79E6" w:rsidR="00785714" w:rsidRPr="00E60401" w:rsidRDefault="00785714" w:rsidP="00785714">
      <w:pPr>
        <w:rPr>
          <w:lang w:val="en-AU" w:eastAsia="en-AU" w:bidi="ar-SA"/>
        </w:rPr>
      </w:pPr>
      <w:r w:rsidRPr="00E60401">
        <w:rPr>
          <w:lang w:val="en-AU" w:eastAsia="en-AU" w:bidi="ar-SA"/>
        </w:rPr>
        <w:t xml:space="preserve">Spagnoli LG, Orlandi A, Marino B, Mauriello A, De </w:t>
      </w:r>
      <w:r>
        <w:rPr>
          <w:lang w:val="en-AU" w:eastAsia="en-AU" w:bidi="ar-SA"/>
        </w:rPr>
        <w:t>Angelis C and Ramacci MT (1995)</w:t>
      </w:r>
      <w:r w:rsidRPr="00E60401">
        <w:rPr>
          <w:lang w:val="en-AU" w:eastAsia="en-AU" w:bidi="ar-SA"/>
        </w:rPr>
        <w:t xml:space="preserve"> Propionyl L-carnitine prevents the progression of atherosclerotic lesions in aged hyperlipemi</w:t>
      </w:r>
      <w:r>
        <w:rPr>
          <w:lang w:val="en-AU" w:eastAsia="en-AU" w:bidi="ar-SA"/>
        </w:rPr>
        <w:t>c rabbits. Atherosclerosis 114:</w:t>
      </w:r>
      <w:r w:rsidR="005C2AE9">
        <w:rPr>
          <w:lang w:val="en-AU" w:eastAsia="en-AU" w:bidi="ar-SA"/>
        </w:rPr>
        <w:t>29–</w:t>
      </w:r>
      <w:r w:rsidRPr="00E60401">
        <w:rPr>
          <w:lang w:val="en-AU" w:eastAsia="en-AU" w:bidi="ar-SA"/>
        </w:rPr>
        <w:t>44</w:t>
      </w:r>
    </w:p>
    <w:p w14:paraId="2E7F96A1" w14:textId="77777777" w:rsidR="00785714" w:rsidRDefault="00785714" w:rsidP="00785714">
      <w:pPr>
        <w:rPr>
          <w:rFonts w:cs="Arial"/>
        </w:rPr>
      </w:pPr>
    </w:p>
    <w:p w14:paraId="6FC25E2D" w14:textId="77777777" w:rsidR="00785714" w:rsidRPr="004C2C4C" w:rsidRDefault="00785714" w:rsidP="00785714">
      <w:pPr>
        <w:rPr>
          <w:rFonts w:cs="Arial"/>
        </w:rPr>
      </w:pPr>
      <w:r w:rsidRPr="004C2C4C">
        <w:rPr>
          <w:rFonts w:cs="Arial"/>
        </w:rPr>
        <w:t>Stephens FB, Marimuthu K, Cheng Y, Patel N, Constantin D, Simpson EJ, Greenhaff PL (2011) Vegetarians have a reduced skeletal muscle carnitine transport capacity. Am J Clin Nutr 94(3):938–944</w:t>
      </w:r>
    </w:p>
    <w:p w14:paraId="0EA3CD53" w14:textId="77777777" w:rsidR="00785714" w:rsidRDefault="00785714" w:rsidP="00785714">
      <w:pPr>
        <w:rPr>
          <w:rFonts w:cs="Arial"/>
        </w:rPr>
      </w:pPr>
    </w:p>
    <w:p w14:paraId="3D08AF10" w14:textId="77777777" w:rsidR="00785714" w:rsidRDefault="00785714" w:rsidP="00785714">
      <w:pPr>
        <w:autoSpaceDE w:val="0"/>
        <w:autoSpaceDN w:val="0"/>
        <w:adjustRightInd w:val="0"/>
        <w:rPr>
          <w:rFonts w:cs="Arial"/>
        </w:rPr>
      </w:pPr>
      <w:r w:rsidRPr="00EC13A5">
        <w:rPr>
          <w:rFonts w:ascii="AdvOTb7819099" w:hAnsi="AdvOTb7819099" w:cs="AdvOTb7819099"/>
        </w:rPr>
        <w:t>Suzuk</w:t>
      </w:r>
      <w:r>
        <w:rPr>
          <w:rFonts w:ascii="AdvOTb7819099" w:hAnsi="AdvOTb7819099" w:cs="AdvOTb7819099"/>
        </w:rPr>
        <w:t>i T, Heaney LM, Jones DJ, Ng LL (2017)</w:t>
      </w:r>
      <w:r w:rsidRPr="00EC13A5">
        <w:rPr>
          <w:rFonts w:ascii="AdvOTb7819099" w:hAnsi="AdvOTb7819099" w:cs="AdvOTb7819099"/>
        </w:rPr>
        <w:t xml:space="preserve"> Trimethylamine N-oxide and risk stratification after acute myocardial infarction. </w:t>
      </w:r>
      <w:r w:rsidRPr="00EC13A5">
        <w:rPr>
          <w:rFonts w:ascii="AdvOT5415ed09.I" w:hAnsi="AdvOT5415ed09.I" w:cs="AdvOT5415ed09.I"/>
        </w:rPr>
        <w:t xml:space="preserve">Clin Chem </w:t>
      </w:r>
      <w:r w:rsidRPr="00EC13A5">
        <w:rPr>
          <w:rFonts w:ascii="AdvP3E7259" w:hAnsi="AdvP3E7259" w:cs="AdvP3E7259"/>
        </w:rPr>
        <w:t>63</w:t>
      </w:r>
      <w:r>
        <w:rPr>
          <w:rFonts w:ascii="AdvOTb7819099" w:hAnsi="AdvOTb7819099" w:cs="AdvOTb7819099"/>
        </w:rPr>
        <w:t>:420–428</w:t>
      </w:r>
    </w:p>
    <w:p w14:paraId="1130BE59" w14:textId="77777777" w:rsidR="00785714" w:rsidRDefault="00785714" w:rsidP="00785714">
      <w:pPr>
        <w:rPr>
          <w:rFonts w:cs="Arial"/>
        </w:rPr>
      </w:pPr>
    </w:p>
    <w:p w14:paraId="16032564" w14:textId="77777777" w:rsidR="00785714" w:rsidRDefault="00785714" w:rsidP="00785714">
      <w:pPr>
        <w:rPr>
          <w:rFonts w:cs="Arial"/>
        </w:rPr>
      </w:pPr>
      <w:r w:rsidRPr="00726CA9">
        <w:rPr>
          <w:rFonts w:cs="Arial"/>
          <w:lang w:val="en-AU"/>
        </w:rPr>
        <w:t>Taesuwan S, Cho CE, Malysheva OV, Bender E, King JH, Yan J, Thalacker-Mercer</w:t>
      </w:r>
      <w:r>
        <w:rPr>
          <w:rFonts w:cs="Arial"/>
          <w:lang w:val="en-AU"/>
        </w:rPr>
        <w:t xml:space="preserve"> </w:t>
      </w:r>
      <w:r>
        <w:rPr>
          <w:rFonts w:cs="Arial"/>
        </w:rPr>
        <w:t>AE, Caudill MA (2017)</w:t>
      </w:r>
      <w:r w:rsidRPr="00726CA9">
        <w:rPr>
          <w:rFonts w:cs="Arial"/>
        </w:rPr>
        <w:t xml:space="preserve"> The metabolic fate of isotopically labeled trimethylamine-N-oxide</w:t>
      </w:r>
      <w:r>
        <w:rPr>
          <w:rFonts w:cs="Arial"/>
        </w:rPr>
        <w:t xml:space="preserve"> </w:t>
      </w:r>
      <w:r w:rsidRPr="00726CA9">
        <w:rPr>
          <w:rFonts w:cs="Arial"/>
        </w:rPr>
        <w:t>(TMAO) in humans. J Nut</w:t>
      </w:r>
      <w:r>
        <w:rPr>
          <w:rFonts w:cs="Arial"/>
        </w:rPr>
        <w:t>r Biochem 45:77–82</w:t>
      </w:r>
    </w:p>
    <w:p w14:paraId="11BE24A1" w14:textId="77777777" w:rsidR="00785714" w:rsidRDefault="00785714" w:rsidP="00785714">
      <w:pPr>
        <w:rPr>
          <w:rFonts w:cs="Arial"/>
        </w:rPr>
      </w:pPr>
    </w:p>
    <w:p w14:paraId="468FE9E9" w14:textId="77777777" w:rsidR="00785714" w:rsidRDefault="00785714" w:rsidP="00785714">
      <w:pPr>
        <w:rPr>
          <w:rFonts w:cs="Arial"/>
        </w:rPr>
      </w:pPr>
      <w:r w:rsidRPr="004C2C4C">
        <w:rPr>
          <w:rFonts w:cs="Arial"/>
        </w:rPr>
        <w:t>Tang WH, Wang Z, Levison BS, Koeth RA, Britt EB, Fu X, Wu Y, Hazen SL (2013) Intestinal microbial metabolism of phosphatidylcholine and cardiovascular risk. N Engl J Med 368(17):1575–1584</w:t>
      </w:r>
    </w:p>
    <w:p w14:paraId="1A0D7D0B" w14:textId="77777777" w:rsidR="00785714" w:rsidRDefault="00785714" w:rsidP="00785714">
      <w:pPr>
        <w:rPr>
          <w:rFonts w:cs="Arial"/>
        </w:rPr>
      </w:pPr>
    </w:p>
    <w:p w14:paraId="1282C9F8" w14:textId="47810B19" w:rsidR="00785714" w:rsidRPr="00EC13A5" w:rsidRDefault="00785714" w:rsidP="00785714">
      <w:pPr>
        <w:autoSpaceDE w:val="0"/>
        <w:autoSpaceDN w:val="0"/>
        <w:adjustRightInd w:val="0"/>
        <w:rPr>
          <w:rFonts w:cs="Arial"/>
        </w:rPr>
      </w:pPr>
      <w:r w:rsidRPr="00EC13A5">
        <w:rPr>
          <w:rFonts w:cs="Arial"/>
        </w:rPr>
        <w:t>Tang WH, Wang Z, Fan Y, Levison B, Hazen JE, Donahue LM, Wu Y, Hazen SL</w:t>
      </w:r>
      <w:r w:rsidR="00922091">
        <w:rPr>
          <w:rFonts w:cs="Arial"/>
        </w:rPr>
        <w:t xml:space="preserve"> (2014)</w:t>
      </w:r>
      <w:r w:rsidRPr="00EC13A5">
        <w:rPr>
          <w:rFonts w:cs="Arial"/>
        </w:rPr>
        <w:t xml:space="preserve"> Prognostic value of elevated levels of intestinal microbe-generated metabolite trimethylamine-N-oxide in patients with heart failure: refining the gut hypothesis. J Am </w:t>
      </w:r>
      <w:r w:rsidR="00922091">
        <w:rPr>
          <w:rFonts w:cs="Arial"/>
        </w:rPr>
        <w:t>Coll Cardiol 64:1908–1914</w:t>
      </w:r>
    </w:p>
    <w:p w14:paraId="3E8AE0B2" w14:textId="77777777" w:rsidR="00785714" w:rsidRDefault="00785714" w:rsidP="00785714">
      <w:pPr>
        <w:rPr>
          <w:rFonts w:cs="Arial"/>
        </w:rPr>
      </w:pPr>
    </w:p>
    <w:p w14:paraId="1A33E43E" w14:textId="77777777" w:rsidR="00785714" w:rsidRDefault="00785714" w:rsidP="00785714">
      <w:pPr>
        <w:rPr>
          <w:rFonts w:cs="Arial"/>
        </w:rPr>
      </w:pPr>
    </w:p>
    <w:p w14:paraId="53C7E362" w14:textId="4EDF806C" w:rsidR="00785714" w:rsidRPr="004C2C4C" w:rsidRDefault="00785714" w:rsidP="00785714">
      <w:pPr>
        <w:rPr>
          <w:rFonts w:cs="Arial"/>
        </w:rPr>
      </w:pPr>
      <w:r w:rsidRPr="004C2C4C">
        <w:rPr>
          <w:rFonts w:cs="Arial"/>
        </w:rPr>
        <w:t>Tang WH, Wang Z, Kennedy DJ, Wu Y, Buffa JA, Agatisa-Boyle B, Li</w:t>
      </w:r>
      <w:r w:rsidR="00F55298">
        <w:rPr>
          <w:rFonts w:cs="Arial"/>
        </w:rPr>
        <w:t xml:space="preserve"> XS, Levison BS, Hazen SL (2015</w:t>
      </w:r>
      <w:r w:rsidRPr="004C2C4C">
        <w:rPr>
          <w:rFonts w:cs="Arial"/>
        </w:rPr>
        <w:t>) Gut microbiota-dependent trimethylamine N-oxide (TMAO) pathway contributes to both development of renal insufficiency and mortality risk in chronic kidney disease. Circ Res 116(3):448–455</w:t>
      </w:r>
    </w:p>
    <w:p w14:paraId="284D04A5" w14:textId="77777777" w:rsidR="00785714" w:rsidRDefault="00785714" w:rsidP="00785714">
      <w:pPr>
        <w:rPr>
          <w:rFonts w:cs="Arial"/>
        </w:rPr>
      </w:pPr>
    </w:p>
    <w:p w14:paraId="4E161785" w14:textId="77777777" w:rsidR="00785714" w:rsidRDefault="00785714" w:rsidP="00785714">
      <w:pPr>
        <w:rPr>
          <w:lang w:val="en-AU" w:eastAsia="en-AU" w:bidi="ar-SA"/>
        </w:rPr>
      </w:pPr>
      <w:r w:rsidRPr="00E60401">
        <w:rPr>
          <w:lang w:val="en-AU" w:eastAsia="en-AU" w:bidi="ar-SA"/>
        </w:rPr>
        <w:t>Toshida K and Wada Y</w:t>
      </w:r>
      <w:r>
        <w:rPr>
          <w:lang w:val="en-AU" w:eastAsia="en-AU" w:bidi="ar-SA"/>
        </w:rPr>
        <w:t xml:space="preserve"> (1988)</w:t>
      </w:r>
      <w:r w:rsidRPr="00E60401">
        <w:rPr>
          <w:lang w:val="en-AU" w:eastAsia="en-AU" w:bidi="ar-SA"/>
        </w:rPr>
        <w:t xml:space="preserve"> Acute toxicity studies of L-carnitine chloride in mice and rabbits. Iyakuhin Kenkyu 19(3):446-453 </w:t>
      </w:r>
    </w:p>
    <w:p w14:paraId="40912CF9" w14:textId="77777777" w:rsidR="00785714" w:rsidRDefault="00785714" w:rsidP="00785714">
      <w:pPr>
        <w:rPr>
          <w:lang w:val="en-AU" w:eastAsia="en-AU" w:bidi="ar-SA"/>
        </w:rPr>
      </w:pPr>
    </w:p>
    <w:p w14:paraId="1C771644" w14:textId="6A005285" w:rsidR="00785714" w:rsidRPr="00E60401" w:rsidRDefault="00785714" w:rsidP="00785714">
      <w:pPr>
        <w:rPr>
          <w:lang w:val="en-AU" w:eastAsia="en-AU" w:bidi="ar-SA"/>
        </w:rPr>
      </w:pPr>
      <w:r w:rsidRPr="00E60401">
        <w:rPr>
          <w:lang w:val="en-AU" w:eastAsia="en-AU" w:bidi="ar-SA"/>
        </w:rPr>
        <w:t>Toteno I, Furukawa S, Haguro S, Matsushima T, Awazu K, Morinaga T, Fuji</w:t>
      </w:r>
      <w:r>
        <w:rPr>
          <w:lang w:val="en-AU" w:eastAsia="en-AU" w:bidi="ar-SA"/>
        </w:rPr>
        <w:t>i S, Terada T and Wada Y (1988)</w:t>
      </w:r>
      <w:r w:rsidR="007941B9">
        <w:rPr>
          <w:lang w:val="en-AU" w:eastAsia="en-AU" w:bidi="ar-SA"/>
        </w:rPr>
        <w:t xml:space="preserve"> Teratogenicity study of L</w:t>
      </w:r>
      <w:r w:rsidRPr="00E60401">
        <w:rPr>
          <w:lang w:val="en-AU" w:eastAsia="en-AU" w:bidi="ar-SA"/>
        </w:rPr>
        <w:t>-carnitine chloride in rabb</w:t>
      </w:r>
      <w:r w:rsidR="007941B9">
        <w:rPr>
          <w:lang w:val="en-AU" w:eastAsia="en-AU" w:bidi="ar-SA"/>
        </w:rPr>
        <w:t>its. Iyakuhin Kenkyu 19(3):</w:t>
      </w:r>
      <w:r w:rsidR="00922091">
        <w:rPr>
          <w:lang w:val="en-AU" w:eastAsia="en-AU" w:bidi="ar-SA"/>
        </w:rPr>
        <w:t>510–</w:t>
      </w:r>
      <w:r w:rsidRPr="00E60401">
        <w:rPr>
          <w:lang w:val="en-AU" w:eastAsia="en-AU" w:bidi="ar-SA"/>
        </w:rPr>
        <w:t>521</w:t>
      </w:r>
    </w:p>
    <w:p w14:paraId="1F9DDEF6" w14:textId="77777777" w:rsidR="00785714" w:rsidRDefault="00785714" w:rsidP="00785714">
      <w:pPr>
        <w:rPr>
          <w:rFonts w:cs="Arial"/>
        </w:rPr>
      </w:pPr>
    </w:p>
    <w:p w14:paraId="530F1DC7" w14:textId="6F47A4E1" w:rsidR="00785714" w:rsidRDefault="00785714" w:rsidP="00785714">
      <w:pPr>
        <w:rPr>
          <w:rFonts w:cs="Arial"/>
        </w:rPr>
      </w:pPr>
      <w:r w:rsidRPr="00EF6486">
        <w:rPr>
          <w:rFonts w:cs="Arial"/>
        </w:rPr>
        <w:t>Trøseid M, Hov JR, Nestvold TK, Thoresen H, Ber</w:t>
      </w:r>
      <w:r w:rsidR="00F55298">
        <w:rPr>
          <w:rFonts w:cs="Arial"/>
        </w:rPr>
        <w:t>ge RK, Svardal A, Lappegård KT (2016) Major i</w:t>
      </w:r>
      <w:r w:rsidRPr="00EF6486">
        <w:rPr>
          <w:rFonts w:cs="Arial"/>
        </w:rPr>
        <w:t xml:space="preserve">ncrease </w:t>
      </w:r>
      <w:r w:rsidR="00F55298">
        <w:rPr>
          <w:rFonts w:cs="Arial"/>
        </w:rPr>
        <w:t>in microbiota-dependent p</w:t>
      </w:r>
      <w:r w:rsidRPr="00EF6486">
        <w:rPr>
          <w:rFonts w:cs="Arial"/>
        </w:rPr>
        <w:t>roather</w:t>
      </w:r>
      <w:r w:rsidR="00F55298">
        <w:rPr>
          <w:rFonts w:cs="Arial"/>
        </w:rPr>
        <w:t>ogenic metabolite TMAO one y</w:t>
      </w:r>
      <w:r>
        <w:rPr>
          <w:rFonts w:cs="Arial"/>
        </w:rPr>
        <w:t xml:space="preserve">ear </w:t>
      </w:r>
      <w:r w:rsidR="00F55298">
        <w:rPr>
          <w:rFonts w:cs="Arial"/>
        </w:rPr>
        <w:t>after bariatric s</w:t>
      </w:r>
      <w:r w:rsidRPr="00EF6486">
        <w:rPr>
          <w:rFonts w:cs="Arial"/>
        </w:rPr>
        <w:t>urgery. Metab Syndr Relat Disord</w:t>
      </w:r>
      <w:r w:rsidR="00F55298">
        <w:rPr>
          <w:rFonts w:cs="Arial"/>
        </w:rPr>
        <w:t xml:space="preserve"> 14(4):197–201</w:t>
      </w:r>
    </w:p>
    <w:p w14:paraId="076D381A" w14:textId="77777777" w:rsidR="00785714" w:rsidRDefault="00785714" w:rsidP="00785714">
      <w:pPr>
        <w:rPr>
          <w:rFonts w:cs="Arial"/>
        </w:rPr>
      </w:pPr>
    </w:p>
    <w:p w14:paraId="6D0300AD" w14:textId="77777777" w:rsidR="00785714" w:rsidRDefault="00785714" w:rsidP="00785714">
      <w:pPr>
        <w:rPr>
          <w:rFonts w:cs="Arial"/>
        </w:rPr>
      </w:pPr>
      <w:r w:rsidRPr="00BA5C73">
        <w:rPr>
          <w:rFonts w:cs="Arial"/>
        </w:rPr>
        <w:t>Villan</w:t>
      </w:r>
      <w:r>
        <w:rPr>
          <w:rFonts w:cs="Arial"/>
        </w:rPr>
        <w:t>i RG, Gannon J, Self M, Rich PA (2000) L-c</w:t>
      </w:r>
      <w:r w:rsidRPr="00BA5C73">
        <w:rPr>
          <w:rFonts w:cs="Arial"/>
        </w:rPr>
        <w:t>arnitine supplementation combined with aerobic training does not promote weight loss in moderately obese women.</w:t>
      </w:r>
      <w:r>
        <w:rPr>
          <w:rFonts w:cs="Arial"/>
        </w:rPr>
        <w:t xml:space="preserve"> </w:t>
      </w:r>
      <w:r w:rsidRPr="00BA5C73">
        <w:rPr>
          <w:rFonts w:cs="Arial"/>
        </w:rPr>
        <w:t>Int J Sport Nutr Exerc Metab</w:t>
      </w:r>
      <w:r>
        <w:rPr>
          <w:rFonts w:cs="Arial"/>
        </w:rPr>
        <w:t xml:space="preserve"> 10(2):199–207</w:t>
      </w:r>
    </w:p>
    <w:p w14:paraId="273DD3F3" w14:textId="77777777" w:rsidR="00785714" w:rsidRDefault="00785714" w:rsidP="00785714">
      <w:pPr>
        <w:rPr>
          <w:rFonts w:cs="Arial"/>
        </w:rPr>
      </w:pPr>
    </w:p>
    <w:p w14:paraId="23912D7A" w14:textId="77777777" w:rsidR="00844DB4" w:rsidRPr="004C2C4C" w:rsidRDefault="00844DB4" w:rsidP="00844DB4">
      <w:pPr>
        <w:keepNext/>
        <w:keepLines/>
        <w:rPr>
          <w:rFonts w:cs="Arial"/>
        </w:rPr>
      </w:pPr>
      <w:r w:rsidRPr="004C2C4C">
        <w:rPr>
          <w:rFonts w:cs="Arial"/>
        </w:rPr>
        <w:t>Wang Z, Klipfell E, Bennett BJ, Koeth R, Levison BS, Dugar B, Feldstein AE, Britt EB, Fu X, Chung YM, Wu Y, Schauer P, Smith JD, Allayee H, Tang WH, DiDonato JA, Lusis AJ, Hazen SL (2011) Gut flora metabolism of phosphatidylcholine promotes cardiovascular disease. Nature 72(7341):57–63</w:t>
      </w:r>
    </w:p>
    <w:p w14:paraId="4666195D" w14:textId="77777777" w:rsidR="00844DB4" w:rsidRPr="00EC13A5" w:rsidRDefault="00844DB4" w:rsidP="00785714">
      <w:pPr>
        <w:autoSpaceDE w:val="0"/>
        <w:autoSpaceDN w:val="0"/>
        <w:adjustRightInd w:val="0"/>
        <w:rPr>
          <w:rFonts w:cs="Arial"/>
        </w:rPr>
      </w:pPr>
    </w:p>
    <w:p w14:paraId="1028593C" w14:textId="5BB905C2" w:rsidR="00785714" w:rsidRPr="0056111D" w:rsidRDefault="00785714" w:rsidP="00785714">
      <w:pPr>
        <w:autoSpaceDE w:val="0"/>
        <w:autoSpaceDN w:val="0"/>
        <w:adjustRightInd w:val="0"/>
        <w:rPr>
          <w:rFonts w:ascii="Calibri" w:hAnsi="Calibri" w:cs="Calibri"/>
          <w:b/>
          <w:color w:val="F00000"/>
          <w:szCs w:val="22"/>
        </w:rPr>
      </w:pPr>
      <w:r w:rsidRPr="00EC13A5">
        <w:rPr>
          <w:rFonts w:cs="Arial"/>
        </w:rPr>
        <w:t>Wang Z, Tang WH, Buffa JA, Fu X, Britt EB, Koeth RA, Lev</w:t>
      </w:r>
      <w:r w:rsidR="00844DB4">
        <w:rPr>
          <w:rFonts w:cs="Arial"/>
        </w:rPr>
        <w:t xml:space="preserve">ison BS, Fan Y, Wu Y, Hazen SL (2014) </w:t>
      </w:r>
      <w:r w:rsidRPr="00EC13A5">
        <w:rPr>
          <w:rFonts w:cs="Arial"/>
        </w:rPr>
        <w:t>Prognostic value of choline and betaine depends on intestinal microbiota-generated metabolite trimethylamine-N-oxide</w:t>
      </w:r>
      <w:r>
        <w:rPr>
          <w:rFonts w:cs="Arial"/>
        </w:rPr>
        <w:t xml:space="preserve">. Eur Heart J </w:t>
      </w:r>
      <w:r w:rsidR="00844DB4">
        <w:rPr>
          <w:rFonts w:cs="Arial"/>
        </w:rPr>
        <w:t>35:904–910</w:t>
      </w:r>
      <w:r w:rsidRPr="0056111D">
        <w:rPr>
          <w:rFonts w:cs="Arial"/>
          <w:szCs w:val="22"/>
        </w:rPr>
        <w:fldChar w:fldCharType="begin" w:fldLock="1"/>
      </w:r>
      <w:r w:rsidRPr="0056111D">
        <w:rPr>
          <w:rFonts w:cs="Arial"/>
          <w:szCs w:val="22"/>
        </w:rPr>
        <w:instrText xml:space="preserve"> DOCPROPERTY bjHeaderBothDocProperty \* MERGEFORMAT </w:instrText>
      </w:r>
      <w:r w:rsidRPr="0056111D">
        <w:rPr>
          <w:rFonts w:cs="Arial"/>
          <w:szCs w:val="22"/>
        </w:rPr>
        <w:fldChar w:fldCharType="separate"/>
      </w:r>
    </w:p>
    <w:p w14:paraId="76F41B53" w14:textId="77777777" w:rsidR="00785714" w:rsidRPr="0056111D" w:rsidRDefault="00785714" w:rsidP="00785714">
      <w:pPr>
        <w:autoSpaceDE w:val="0"/>
        <w:autoSpaceDN w:val="0"/>
        <w:adjustRightInd w:val="0"/>
        <w:jc w:val="center"/>
        <w:rPr>
          <w:rFonts w:cs="Arial"/>
          <w:szCs w:val="22"/>
        </w:rPr>
      </w:pPr>
      <w:r w:rsidRPr="0056111D">
        <w:rPr>
          <w:rFonts w:ascii="Calibri" w:hAnsi="Calibri" w:cs="Calibri"/>
          <w:b/>
          <w:color w:val="F00000"/>
          <w:szCs w:val="22"/>
        </w:rPr>
        <w:t xml:space="preserve"> </w:t>
      </w:r>
      <w:r w:rsidRPr="0056111D">
        <w:rPr>
          <w:rFonts w:cs="Arial"/>
          <w:szCs w:val="22"/>
        </w:rPr>
        <w:fldChar w:fldCharType="end"/>
      </w:r>
    </w:p>
    <w:p w14:paraId="7B5DC8DF" w14:textId="77777777" w:rsidR="00785714" w:rsidRPr="0056111D" w:rsidRDefault="00785714" w:rsidP="00785714">
      <w:pPr>
        <w:rPr>
          <w:rFonts w:cs="Arial"/>
          <w:szCs w:val="22"/>
          <w:lang w:val="en-AU" w:eastAsia="en-AU" w:bidi="ar-SA"/>
        </w:rPr>
      </w:pPr>
      <w:r w:rsidRPr="0056111D">
        <w:rPr>
          <w:szCs w:val="22"/>
          <w:lang w:val="en-AU" w:eastAsia="en-AU" w:bidi="ar-SA"/>
        </w:rPr>
        <w:t>Weinert CH, Empl MT, Kr</w:t>
      </w:r>
      <w:r w:rsidRPr="0056111D">
        <w:rPr>
          <w:rFonts w:cs="Arial"/>
          <w:szCs w:val="22"/>
          <w:lang w:val="en-AU" w:eastAsia="en-AU" w:bidi="ar-SA"/>
        </w:rPr>
        <w:t xml:space="preserve">üger R, Frommherz L, Egert B, Steinberg P and Kulling SE (2016) The influence of a chronic L-carnitine administration on the plasma metabolome of male Fischer 344 rats. Molecular Nutrition and Food Research DOI 10:1002/mnfr.201600651 </w:t>
      </w:r>
    </w:p>
    <w:p w14:paraId="57F003B4" w14:textId="77777777" w:rsidR="00785714" w:rsidRPr="0056111D" w:rsidRDefault="00785714" w:rsidP="00785714">
      <w:pPr>
        <w:rPr>
          <w:rFonts w:cs="Arial"/>
          <w:szCs w:val="22"/>
          <w:lang w:val="en-AU" w:eastAsia="en-AU" w:bidi="ar-SA"/>
        </w:rPr>
      </w:pPr>
    </w:p>
    <w:p w14:paraId="2DCAF16D" w14:textId="77777777" w:rsidR="00785714" w:rsidRPr="0056111D" w:rsidRDefault="00785714" w:rsidP="00785714">
      <w:pPr>
        <w:widowControl/>
        <w:rPr>
          <w:szCs w:val="22"/>
          <w:lang w:bidi="ar-SA"/>
        </w:rPr>
      </w:pPr>
      <w:r w:rsidRPr="0056111D">
        <w:rPr>
          <w:szCs w:val="22"/>
          <w:lang w:bidi="ar-SA"/>
        </w:rPr>
        <w:t xml:space="preserve">WHO (2012) Combined Compendium of Food Additive Specifications, Joint FAO/WHO Expert Committee on Food Additives (JECFA). JECFA food additive specifications can be retrieved at: </w:t>
      </w:r>
      <w:hyperlink r:id="rId138" w:history="1">
        <w:r w:rsidRPr="0056111D">
          <w:rPr>
            <w:color w:val="3333FF"/>
            <w:szCs w:val="22"/>
            <w:u w:val="single"/>
            <w:lang w:bidi="ar-SA"/>
          </w:rPr>
          <w:t>http://www.fao.org/ag/agn/jecfa-additives/search.html?lang=en</w:t>
        </w:r>
      </w:hyperlink>
    </w:p>
    <w:p w14:paraId="5D9C9EB0" w14:textId="77777777" w:rsidR="00785714" w:rsidRPr="0056111D" w:rsidRDefault="00785714" w:rsidP="00785714">
      <w:pPr>
        <w:rPr>
          <w:szCs w:val="22"/>
          <w:lang w:val="en-AU" w:eastAsia="en-AU" w:bidi="ar-SA"/>
        </w:rPr>
      </w:pPr>
    </w:p>
    <w:p w14:paraId="5C80B9B3" w14:textId="5451E0A0" w:rsidR="00785714" w:rsidRDefault="00785714" w:rsidP="00785714">
      <w:pPr>
        <w:rPr>
          <w:rFonts w:cs="Arial"/>
          <w:szCs w:val="22"/>
        </w:rPr>
      </w:pPr>
      <w:r w:rsidRPr="0056111D">
        <w:rPr>
          <w:rFonts w:cs="Arial"/>
          <w:szCs w:val="22"/>
        </w:rPr>
        <w:t xml:space="preserve">WHO (2017) Evaluation of certain food additives: eighty-fourth report of the Joint FAO/WHO Expert Committee on Food Additives (JECFA). WHO technical report series; No. 1007. </w:t>
      </w:r>
      <w:r w:rsidRPr="0056111D">
        <w:rPr>
          <w:rFonts w:cs="Arial"/>
          <w:szCs w:val="22"/>
        </w:rPr>
        <w:lastRenderedPageBreak/>
        <w:t>World Health Organization.</w:t>
      </w:r>
    </w:p>
    <w:p w14:paraId="64234113" w14:textId="31652549" w:rsidR="0056111D" w:rsidRDefault="0056111D" w:rsidP="00785714">
      <w:pPr>
        <w:rPr>
          <w:rFonts w:cs="Arial"/>
          <w:szCs w:val="22"/>
        </w:rPr>
      </w:pPr>
    </w:p>
    <w:p w14:paraId="10542389" w14:textId="6D742D83" w:rsidR="0056111D" w:rsidRPr="0056111D" w:rsidRDefault="0056111D" w:rsidP="0056111D">
      <w:pPr>
        <w:rPr>
          <w:rFonts w:cs="Arial"/>
          <w:szCs w:val="22"/>
        </w:rPr>
      </w:pPr>
      <w:r w:rsidRPr="0056111D">
        <w:rPr>
          <w:rFonts w:cs="Arial"/>
          <w:szCs w:val="22"/>
        </w:rPr>
        <w:t>Xue YZ, Wang LX, Liu HZ, Qi XW, Wang XH, Ren HZ</w:t>
      </w:r>
      <w:r>
        <w:rPr>
          <w:rFonts w:cs="Arial"/>
          <w:szCs w:val="22"/>
        </w:rPr>
        <w:t xml:space="preserve"> (2007) L-carnitine as an adjunct </w:t>
      </w:r>
      <w:r w:rsidRPr="0056111D">
        <w:rPr>
          <w:rFonts w:cs="Arial"/>
          <w:szCs w:val="22"/>
        </w:rPr>
        <w:t xml:space="preserve">therapy to percutaneous coronary intervention </w:t>
      </w:r>
      <w:r>
        <w:rPr>
          <w:rFonts w:cs="Arial"/>
          <w:szCs w:val="22"/>
        </w:rPr>
        <w:t xml:space="preserve">for non-ST elevation myocardial </w:t>
      </w:r>
      <w:r w:rsidRPr="0056111D">
        <w:rPr>
          <w:rFonts w:cs="Arial"/>
          <w:szCs w:val="22"/>
        </w:rPr>
        <w:t xml:space="preserve">infarction. </w:t>
      </w:r>
      <w:r>
        <w:rPr>
          <w:rFonts w:cs="Arial"/>
          <w:szCs w:val="22"/>
        </w:rPr>
        <w:t>Cardiovasc Drugs Ther. 21(6):445–44</w:t>
      </w:r>
      <w:r w:rsidRPr="0056111D">
        <w:rPr>
          <w:rFonts w:cs="Arial"/>
          <w:szCs w:val="22"/>
        </w:rPr>
        <w:t>8</w:t>
      </w:r>
    </w:p>
    <w:p w14:paraId="5160FA38" w14:textId="77777777" w:rsidR="00785714" w:rsidRPr="0056111D" w:rsidRDefault="00785714" w:rsidP="00785714">
      <w:pPr>
        <w:rPr>
          <w:rFonts w:cs="Arial"/>
          <w:szCs w:val="22"/>
        </w:rPr>
      </w:pPr>
    </w:p>
    <w:p w14:paraId="4C667F41" w14:textId="0E83F57B" w:rsidR="00785714" w:rsidRPr="0056111D" w:rsidRDefault="00785714" w:rsidP="00785714">
      <w:pPr>
        <w:rPr>
          <w:rFonts w:cs="Arial"/>
          <w:szCs w:val="22"/>
        </w:rPr>
      </w:pPr>
      <w:r w:rsidRPr="0056111D">
        <w:rPr>
          <w:szCs w:val="22"/>
          <w:lang w:val="en-AU" w:eastAsia="en-AU" w:bidi="ar-SA"/>
        </w:rPr>
        <w:t>Yamate J, Shinoda S, Maruyama Y, Kudow S, Takehara K, Tajima M, Wada Y, Hirose Y and Kuwahara K (1988) Subacute toxicity study of L-carnitine chloride in r</w:t>
      </w:r>
      <w:r w:rsidR="007941B9" w:rsidRPr="0056111D">
        <w:rPr>
          <w:szCs w:val="22"/>
          <w:lang w:val="en-AU" w:eastAsia="en-AU" w:bidi="ar-SA"/>
        </w:rPr>
        <w:t>ats. Iyakuhin Kenkyu 19(2):</w:t>
      </w:r>
      <w:r w:rsidR="00844DB4" w:rsidRPr="0056111D">
        <w:rPr>
          <w:szCs w:val="22"/>
          <w:lang w:val="en-AU" w:eastAsia="en-AU" w:bidi="ar-SA"/>
        </w:rPr>
        <w:t>197–</w:t>
      </w:r>
      <w:r w:rsidRPr="0056111D">
        <w:rPr>
          <w:szCs w:val="22"/>
          <w:lang w:val="en-AU" w:eastAsia="en-AU" w:bidi="ar-SA"/>
        </w:rPr>
        <w:t>220</w:t>
      </w:r>
    </w:p>
    <w:p w14:paraId="6B0E4507" w14:textId="77777777" w:rsidR="00785714" w:rsidRPr="0056111D" w:rsidRDefault="00785714" w:rsidP="00785714">
      <w:pPr>
        <w:rPr>
          <w:rFonts w:cs="Arial"/>
          <w:szCs w:val="22"/>
        </w:rPr>
      </w:pPr>
    </w:p>
    <w:p w14:paraId="0326E390" w14:textId="6749195A" w:rsidR="00785714" w:rsidRPr="0056111D" w:rsidRDefault="00785714" w:rsidP="00785714">
      <w:pPr>
        <w:rPr>
          <w:rFonts w:cs="Arial"/>
          <w:szCs w:val="22"/>
        </w:rPr>
      </w:pPr>
    </w:p>
    <w:p w14:paraId="05F4B56D" w14:textId="77777777" w:rsidR="00785714" w:rsidRDefault="00785714" w:rsidP="00785714">
      <w:pPr>
        <w:widowControl/>
        <w:rPr>
          <w:rFonts w:eastAsiaTheme="minorEastAsia" w:cs="Arial"/>
          <w:b/>
          <w:bCs/>
          <w:color w:val="000000" w:themeColor="text1"/>
          <w:kern w:val="24"/>
          <w:szCs w:val="22"/>
          <w:lang w:val="en-AU" w:eastAsia="en-GB"/>
        </w:rPr>
      </w:pPr>
      <w:r>
        <w:br w:type="page"/>
      </w:r>
    </w:p>
    <w:p w14:paraId="17E0CD3A" w14:textId="77777777" w:rsidR="00785714" w:rsidRDefault="00785714" w:rsidP="003D354D">
      <w:pPr>
        <w:pStyle w:val="Heading1"/>
        <w:widowControl/>
        <w:ind w:left="0" w:firstLine="0"/>
      </w:pPr>
      <w:bookmarkStart w:id="65" w:name="_Toc520888232"/>
      <w:r w:rsidRPr="002F5E2B">
        <w:lastRenderedPageBreak/>
        <w:t>Appendix 1</w:t>
      </w:r>
      <w:r>
        <w:t>: Evaluation of in vitro and animal toxicity studies on L-carnitine</w:t>
      </w:r>
      <w:bookmarkEnd w:id="65"/>
    </w:p>
    <w:p w14:paraId="262DDE23" w14:textId="77777777" w:rsidR="00785714" w:rsidRPr="00D03C4D" w:rsidRDefault="00785714" w:rsidP="00571A9D">
      <w:pPr>
        <w:keepNext/>
        <w:widowControl/>
        <w:spacing w:before="240" w:after="240"/>
        <w:ind w:left="851" w:hanging="851"/>
        <w:outlineLvl w:val="3"/>
        <w:rPr>
          <w:b/>
          <w:bCs/>
          <w:i/>
          <w:iCs/>
          <w:szCs w:val="22"/>
          <w:lang w:bidi="ar-SA"/>
        </w:rPr>
      </w:pPr>
      <w:r w:rsidRPr="00D03C4D">
        <w:rPr>
          <w:b/>
          <w:bCs/>
          <w:i/>
          <w:iCs/>
          <w:szCs w:val="22"/>
          <w:lang w:bidi="ar-SA"/>
        </w:rPr>
        <w:t>Acute studies; L-carnitine</w:t>
      </w:r>
    </w:p>
    <w:p w14:paraId="48AFB886" w14:textId="77777777" w:rsidR="00785714" w:rsidRPr="00D03C4D" w:rsidRDefault="00785714" w:rsidP="00571A9D">
      <w:pPr>
        <w:widowControl/>
        <w:rPr>
          <w:i/>
          <w:lang w:bidi="ar-SA"/>
        </w:rPr>
      </w:pPr>
      <w:r w:rsidRPr="00D03C4D">
        <w:rPr>
          <w:i/>
          <w:lang w:bidi="ar-SA"/>
        </w:rPr>
        <w:t>Acute oral toxicity study of L-carnitine in</w:t>
      </w:r>
      <w:r>
        <w:rPr>
          <w:i/>
          <w:lang w:bidi="ar-SA"/>
        </w:rPr>
        <w:t xml:space="preserve"> rats (Harlan Laboratories 2008a</w:t>
      </w:r>
      <w:r w:rsidRPr="00D03C4D">
        <w:rPr>
          <w:i/>
          <w:lang w:bidi="ar-SA"/>
        </w:rPr>
        <w:t>).</w:t>
      </w:r>
    </w:p>
    <w:p w14:paraId="1846B9AC" w14:textId="77777777" w:rsidR="00785714" w:rsidRPr="00D03C4D" w:rsidRDefault="00785714" w:rsidP="00571A9D">
      <w:pPr>
        <w:widowControl/>
        <w:rPr>
          <w:i/>
          <w:lang w:bidi="ar-SA"/>
        </w:rPr>
      </w:pPr>
    </w:p>
    <w:p w14:paraId="6C4DB421" w14:textId="77777777" w:rsidR="00785714" w:rsidRPr="00D03C4D" w:rsidRDefault="00785714" w:rsidP="00571A9D">
      <w:pPr>
        <w:widowControl/>
        <w:rPr>
          <w:lang w:bidi="ar-SA"/>
        </w:rPr>
      </w:pPr>
      <w:r w:rsidRPr="00D03C4D">
        <w:rPr>
          <w:lang w:bidi="ar-SA"/>
        </w:rPr>
        <w:t xml:space="preserve">Subjects for this GLP-compliant study were female Wistar rats, aged 11 weeks at time of treatment. The rats were group-housed, 3/cage, under standard laboratory husbandry conditions. The test substance was identified as LZ1000, with a purity of approximately 99%. According to the applicant, LZ1000 is L-carnitine. The vehicle was deionised water. The rats were assigned to two groups of three rats each, and both groups were treated with the test substance. Rats were fasted for 16.5 to 17 hours, with access to water, prior to administration of the test substance at 2000 mg/kg bw, at a dose volume of 10 mL/kg bw, by oral gavage. The rats were permitted </w:t>
      </w:r>
      <w:r w:rsidRPr="00D03C4D">
        <w:rPr>
          <w:i/>
          <w:lang w:bidi="ar-SA"/>
        </w:rPr>
        <w:t>ad libitum</w:t>
      </w:r>
      <w:r w:rsidRPr="00D03C4D">
        <w:rPr>
          <w:lang w:bidi="ar-SA"/>
        </w:rPr>
        <w:t xml:space="preserve"> access to food from 3 hours after dose administration. Rats were observed for clinical signs 1, 2, 3 and 5 hours after dose administration, and daily thereafter, in addition to twice-daily cageside checks for moribundity or mortality. Bodyweights were recorded on test days 1, 8 and 15. Rats were killed by CO</w:t>
      </w:r>
      <w:r w:rsidRPr="00D03C4D">
        <w:rPr>
          <w:vertAlign w:val="subscript"/>
          <w:lang w:bidi="ar-SA"/>
        </w:rPr>
        <w:t>2</w:t>
      </w:r>
      <w:r w:rsidRPr="00D03C4D">
        <w:rPr>
          <w:lang w:bidi="ar-SA"/>
        </w:rPr>
        <w:t xml:space="preserve"> asphyxiation on Day 15, and were subjected to gross necropsy. </w:t>
      </w:r>
    </w:p>
    <w:p w14:paraId="7C043C1D" w14:textId="77777777" w:rsidR="00785714" w:rsidRPr="00D03C4D" w:rsidRDefault="00785714" w:rsidP="00571A9D">
      <w:pPr>
        <w:widowControl/>
        <w:rPr>
          <w:lang w:bidi="ar-SA"/>
        </w:rPr>
      </w:pPr>
    </w:p>
    <w:p w14:paraId="4983148D" w14:textId="77777777" w:rsidR="00785714" w:rsidRPr="008D52D8" w:rsidRDefault="00785714" w:rsidP="00571A9D">
      <w:pPr>
        <w:widowControl/>
        <w:rPr>
          <w:lang w:bidi="ar-SA"/>
        </w:rPr>
      </w:pPr>
      <w:r w:rsidRPr="00D03C4D">
        <w:rPr>
          <w:lang w:bidi="ar-SA"/>
        </w:rPr>
        <w:t>All rats survived to the end of the study period and no treatment-related clinical signs, or effects on bodyweight, were observed. No lesions were discovered on gross necropsy. It was concluded that the acute oral LD</w:t>
      </w:r>
      <w:r w:rsidRPr="00D03C4D">
        <w:rPr>
          <w:vertAlign w:val="subscript"/>
          <w:lang w:bidi="ar-SA"/>
        </w:rPr>
        <w:t>50</w:t>
      </w:r>
      <w:r w:rsidRPr="00D03C4D">
        <w:rPr>
          <w:lang w:bidi="ar-SA"/>
        </w:rPr>
        <w:t xml:space="preserve"> of L-carnitine in the Wistar rat is &gt;2000 mg/kg bw</w:t>
      </w:r>
      <w:r>
        <w:rPr>
          <w:lang w:bidi="ar-SA"/>
        </w:rPr>
        <w:t xml:space="preserve">. </w:t>
      </w:r>
    </w:p>
    <w:p w14:paraId="44B85457" w14:textId="77777777" w:rsidR="00785714" w:rsidRPr="00D03C4D" w:rsidRDefault="00785714" w:rsidP="00571A9D">
      <w:pPr>
        <w:keepNext/>
        <w:widowControl/>
        <w:spacing w:before="240" w:after="240"/>
        <w:ind w:left="851" w:hanging="851"/>
        <w:outlineLvl w:val="3"/>
        <w:rPr>
          <w:b/>
          <w:bCs/>
          <w:i/>
          <w:iCs/>
          <w:szCs w:val="22"/>
          <w:lang w:bidi="ar-SA"/>
        </w:rPr>
      </w:pPr>
      <w:r w:rsidRPr="00D03C4D">
        <w:rPr>
          <w:b/>
          <w:bCs/>
          <w:i/>
          <w:iCs/>
          <w:szCs w:val="22"/>
          <w:lang w:bidi="ar-SA"/>
        </w:rPr>
        <w:t>Acute studies; L-carnitine chloride</w:t>
      </w:r>
    </w:p>
    <w:p w14:paraId="6E8875C1" w14:textId="77777777" w:rsidR="00785714" w:rsidRPr="00D03C4D" w:rsidRDefault="00785714" w:rsidP="00571A9D">
      <w:pPr>
        <w:widowControl/>
        <w:rPr>
          <w:i/>
          <w:lang w:bidi="ar-SA"/>
        </w:rPr>
      </w:pPr>
      <w:r w:rsidRPr="00D03C4D">
        <w:rPr>
          <w:i/>
          <w:lang w:bidi="ar-SA"/>
        </w:rPr>
        <w:t>Acute toxicity studies of L-carnitine chloride in mice and rabbits (Toshida and Wada 1988)</w:t>
      </w:r>
    </w:p>
    <w:p w14:paraId="041A5963" w14:textId="77777777" w:rsidR="00785714" w:rsidRPr="00D03C4D" w:rsidRDefault="00785714" w:rsidP="00571A9D">
      <w:pPr>
        <w:widowControl/>
        <w:rPr>
          <w:i/>
          <w:lang w:bidi="ar-SA"/>
        </w:rPr>
      </w:pPr>
    </w:p>
    <w:p w14:paraId="01E3F094" w14:textId="77777777" w:rsidR="00785714" w:rsidRPr="00D03C4D" w:rsidRDefault="00785714" w:rsidP="00571A9D">
      <w:pPr>
        <w:widowControl/>
        <w:rPr>
          <w:lang w:bidi="ar-SA"/>
        </w:rPr>
      </w:pPr>
      <w:r w:rsidRPr="00D03C4D">
        <w:rPr>
          <w:lang w:bidi="ar-SA"/>
        </w:rPr>
        <w:t xml:space="preserve">The acute toxicity of L-carnitine chloride by the oral, intravenous, subcutaneous and intraperitoneal routes in ddY mice, and by the oral and intravenous routes in Japanese white rabbits, were reported in this publication. Only the results of oral administration are reviewed here, because the other routes are not relevant to food safety. </w:t>
      </w:r>
    </w:p>
    <w:p w14:paraId="2091076E" w14:textId="77777777" w:rsidR="00785714" w:rsidRPr="00D03C4D" w:rsidRDefault="00785714" w:rsidP="00571A9D">
      <w:pPr>
        <w:widowControl/>
        <w:rPr>
          <w:lang w:bidi="ar-SA"/>
        </w:rPr>
      </w:pPr>
    </w:p>
    <w:p w14:paraId="76D6BA23" w14:textId="77777777" w:rsidR="00785714" w:rsidRPr="00D03C4D" w:rsidRDefault="00785714" w:rsidP="00571A9D">
      <w:pPr>
        <w:widowControl/>
        <w:rPr>
          <w:lang w:bidi="ar-SA"/>
        </w:rPr>
      </w:pPr>
      <w:r w:rsidRPr="00D03C4D">
        <w:rPr>
          <w:lang w:bidi="ar-SA"/>
        </w:rPr>
        <w:t xml:space="preserve">Mice were four weeks old at the time of purchase and were acclimated to standard laboratory husbandry conditions for one week prior to dose administration. They were group-housed, 5/cage, with </w:t>
      </w:r>
      <w:r w:rsidRPr="00D03C4D">
        <w:rPr>
          <w:i/>
          <w:lang w:bidi="ar-SA"/>
        </w:rPr>
        <w:t>ad libitum</w:t>
      </w:r>
      <w:r w:rsidRPr="00D03C4D">
        <w:rPr>
          <w:lang w:bidi="ar-SA"/>
        </w:rPr>
        <w:t xml:space="preserve"> feed and water. Male and female mice, 10/sex/group, were assigned to the study groups. The purity of the L-carnitine chloride was not stated, but the doses were described as 6000, 7200, 8640, 10400 and 12400 mg/kg bw. The test material was dissolved in distilled water and administered by oral gavage at a dose volume of 2 mL/100 g bw. After dosing, mice were observed for 4 to 6 hours, and then daily for the rest of the in-life phase. Bodyweights were determined on days 0,1,3,7,10 and 14. Food consumption was recorded on Days -2, -1, 0,</w:t>
      </w:r>
      <w:r>
        <w:rPr>
          <w:lang w:bidi="ar-SA"/>
        </w:rPr>
        <w:t xml:space="preserve"> </w:t>
      </w:r>
      <w:r w:rsidRPr="00D03C4D">
        <w:rPr>
          <w:lang w:bidi="ar-SA"/>
        </w:rPr>
        <w:t>1,</w:t>
      </w:r>
      <w:r>
        <w:rPr>
          <w:lang w:bidi="ar-SA"/>
        </w:rPr>
        <w:t xml:space="preserve"> </w:t>
      </w:r>
      <w:r w:rsidRPr="00D03C4D">
        <w:rPr>
          <w:lang w:bidi="ar-SA"/>
        </w:rPr>
        <w:t>3,</w:t>
      </w:r>
      <w:r>
        <w:rPr>
          <w:lang w:bidi="ar-SA"/>
        </w:rPr>
        <w:t xml:space="preserve"> </w:t>
      </w:r>
      <w:r w:rsidRPr="00D03C4D">
        <w:rPr>
          <w:lang w:bidi="ar-SA"/>
        </w:rPr>
        <w:t>7,</w:t>
      </w:r>
      <w:r>
        <w:rPr>
          <w:lang w:bidi="ar-SA"/>
        </w:rPr>
        <w:t xml:space="preserve"> </w:t>
      </w:r>
      <w:r w:rsidRPr="00D03C4D">
        <w:rPr>
          <w:lang w:bidi="ar-SA"/>
        </w:rPr>
        <w:t>10 and 14. Mice found dead, and mice that survived to termination on day 14, were subject to prompt gross necropsy.</w:t>
      </w:r>
    </w:p>
    <w:p w14:paraId="26AFC3E2" w14:textId="77777777" w:rsidR="00785714" w:rsidRPr="00D03C4D" w:rsidRDefault="00785714" w:rsidP="00571A9D">
      <w:pPr>
        <w:widowControl/>
        <w:rPr>
          <w:lang w:bidi="ar-SA"/>
        </w:rPr>
      </w:pPr>
    </w:p>
    <w:p w14:paraId="3FFA6F9F" w14:textId="77777777" w:rsidR="00785714" w:rsidRPr="00D03C4D" w:rsidRDefault="00785714" w:rsidP="00571A9D">
      <w:pPr>
        <w:widowControl/>
        <w:rPr>
          <w:lang w:bidi="ar-SA"/>
        </w:rPr>
      </w:pPr>
      <w:r w:rsidRPr="00D03C4D">
        <w:rPr>
          <w:lang w:bidi="ar-SA"/>
        </w:rPr>
        <w:t>All mice treated with 12400 mg/kg bw died, the males within three hours of dosing and females within 2 days of dosing. Nine of 10 males, and 16 of 19 females dosed with 10400 mg/kg bw, died, all within one day of treatment. The mortality rate in mice dosed with 8640 mg/kg bw was 7/10 for males and 4/10 for females, all deaths occurring within one day of dosing. The mortality rate in mice dosed with 7200 mg/kg bw, on the other hand, was 2/10 for males and 3/10 for females, all within 2 days of treatment. There were no mortalities in either sex at 6,000 mg/kg bw. It was calculated that the acute oral LD</w:t>
      </w:r>
      <w:r w:rsidRPr="00D03C4D">
        <w:rPr>
          <w:vertAlign w:val="subscript"/>
          <w:lang w:bidi="ar-SA"/>
        </w:rPr>
        <w:t xml:space="preserve">50 </w:t>
      </w:r>
      <w:r w:rsidRPr="00D03C4D">
        <w:rPr>
          <w:lang w:bidi="ar-SA"/>
        </w:rPr>
        <w:t xml:space="preserve">of L-carnitine chloride is 8200 mg/kg bw in the male mouse and 8000 mg/kg bw in the female mouse. </w:t>
      </w:r>
    </w:p>
    <w:p w14:paraId="0598FB49" w14:textId="77777777" w:rsidR="00785714" w:rsidRPr="00D03C4D" w:rsidRDefault="00785714" w:rsidP="00571A9D">
      <w:pPr>
        <w:widowControl/>
        <w:rPr>
          <w:lang w:bidi="ar-SA"/>
        </w:rPr>
      </w:pPr>
    </w:p>
    <w:p w14:paraId="58ECCECC" w14:textId="77777777" w:rsidR="00785714" w:rsidRPr="00D03C4D" w:rsidRDefault="00785714" w:rsidP="00571A9D">
      <w:pPr>
        <w:widowControl/>
        <w:rPr>
          <w:lang w:bidi="ar-SA"/>
        </w:rPr>
      </w:pPr>
      <w:r w:rsidRPr="00D03C4D">
        <w:rPr>
          <w:lang w:bidi="ar-SA"/>
        </w:rPr>
        <w:lastRenderedPageBreak/>
        <w:t xml:space="preserve">The Japanese white rabbits were purchased at 12 weeks of age, and acclimated for three weeks before dosing. They were individually housed under standard laboratory husbandry conditions, with </w:t>
      </w:r>
      <w:r w:rsidRPr="00D03C4D">
        <w:rPr>
          <w:i/>
          <w:lang w:bidi="ar-SA"/>
        </w:rPr>
        <w:t>ad libitum</w:t>
      </w:r>
      <w:r w:rsidRPr="00D03C4D">
        <w:rPr>
          <w:lang w:bidi="ar-SA"/>
        </w:rPr>
        <w:t xml:space="preserve"> access to feed and water. Five rabbits/sex/group were assigned to treatment groups and gavaged with L-carnitine chloride at 3610, 4330, 5200, 6240 or 7490 mg/kg bw. Rabbits were observed for 4 to 13 hours on the day of dosing, and daily thereafter until 14 days after dosing. Bodyweights were recorded on days 0, 1, 3, 7, 10 and 14, and food consumption was recorded on days -2, -1, 0, 1, 3, 7, 10 and 14. Rabbits found dead, and rabbits that survived to scheduled termination on day 14, were subjected to necropsy. </w:t>
      </w:r>
    </w:p>
    <w:p w14:paraId="0FC6598E" w14:textId="77777777" w:rsidR="00785714" w:rsidRPr="00D03C4D" w:rsidRDefault="00785714" w:rsidP="00571A9D">
      <w:pPr>
        <w:widowControl/>
        <w:rPr>
          <w:lang w:bidi="ar-SA"/>
        </w:rPr>
      </w:pPr>
    </w:p>
    <w:p w14:paraId="47665036" w14:textId="77777777" w:rsidR="00785714" w:rsidRPr="00D03C4D" w:rsidRDefault="00785714" w:rsidP="00571A9D">
      <w:pPr>
        <w:widowControl/>
        <w:rPr>
          <w:lang w:bidi="ar-SA"/>
        </w:rPr>
      </w:pPr>
      <w:r w:rsidRPr="00D03C4D">
        <w:rPr>
          <w:lang w:bidi="ar-SA"/>
        </w:rPr>
        <w:t>All rabbits dosed with 7490 mg/kg bw, and 4 out of 5 rabbits of each sex dosed with 6240 mg/kg bw, died within 2 days of dosing. The mortality rate at 5200 mg L-carnitine chloride was 1/5 in male rabbits and 3/5 in female rabbits. One male and one female rabbit dosed with 4330 mg/kg bw died, whereas all rabbits dosed with 3610 mg/kg bw survived to scheduled termination. It was calculated that the acute oral LD</w:t>
      </w:r>
      <w:r w:rsidRPr="00D03C4D">
        <w:rPr>
          <w:vertAlign w:val="subscript"/>
          <w:lang w:bidi="ar-SA"/>
        </w:rPr>
        <w:t>50</w:t>
      </w:r>
      <w:r w:rsidRPr="00D03C4D">
        <w:rPr>
          <w:lang w:bidi="ar-SA"/>
        </w:rPr>
        <w:t xml:space="preserve"> of L-carnitine chloride in the male rabbit is 5400 mg/kg bw whereas in the female rabbit, it is 6000 mg/kg bw. </w:t>
      </w:r>
    </w:p>
    <w:p w14:paraId="3B20073A" w14:textId="77777777" w:rsidR="00785714" w:rsidRPr="00D03C4D" w:rsidRDefault="00785714" w:rsidP="00571A9D">
      <w:pPr>
        <w:widowControl/>
        <w:rPr>
          <w:lang w:bidi="ar-SA"/>
        </w:rPr>
      </w:pPr>
    </w:p>
    <w:p w14:paraId="56C20D37" w14:textId="2E688A95" w:rsidR="00785714" w:rsidRPr="00D03C4D" w:rsidRDefault="00785714" w:rsidP="00571A9D">
      <w:pPr>
        <w:widowControl/>
        <w:rPr>
          <w:i/>
          <w:lang w:bidi="ar-SA"/>
        </w:rPr>
      </w:pPr>
      <w:r w:rsidRPr="00D03C4D">
        <w:rPr>
          <w:i/>
          <w:lang w:bidi="ar-SA"/>
        </w:rPr>
        <w:t xml:space="preserve">Acute toxicity study of L-carnitine chloride in rats (Narita </w:t>
      </w:r>
      <w:r w:rsidR="000B7678">
        <w:rPr>
          <w:i/>
          <w:lang w:bidi="ar-SA"/>
        </w:rPr>
        <w:t>et al. 1</w:t>
      </w:r>
      <w:r w:rsidRPr="00D03C4D">
        <w:rPr>
          <w:i/>
          <w:lang w:bidi="ar-SA"/>
        </w:rPr>
        <w:t>988)</w:t>
      </w:r>
    </w:p>
    <w:p w14:paraId="6D81EC51" w14:textId="77777777" w:rsidR="00785714" w:rsidRPr="00D03C4D" w:rsidRDefault="00785714" w:rsidP="00571A9D">
      <w:pPr>
        <w:widowControl/>
        <w:rPr>
          <w:i/>
          <w:lang w:bidi="ar-SA"/>
        </w:rPr>
      </w:pPr>
    </w:p>
    <w:p w14:paraId="2C53CA80" w14:textId="77777777" w:rsidR="00785714" w:rsidRPr="00D03C4D" w:rsidRDefault="00785714" w:rsidP="00571A9D">
      <w:pPr>
        <w:widowControl/>
        <w:rPr>
          <w:lang w:bidi="ar-SA"/>
        </w:rPr>
      </w:pPr>
      <w:r w:rsidRPr="00D03C4D">
        <w:rPr>
          <w:lang w:bidi="ar-SA"/>
        </w:rPr>
        <w:t xml:space="preserve">The acute toxicity of L-carnitine chloride to five week old Crj:CD rats by the oral intraperitoneal, subcutaneous and intravenous routes was reported in this study, but only the oral toxicity will be reviewed here, because the other routes are not relevant to the safety of L-carnitine or L-carnitine chloride in food. </w:t>
      </w:r>
    </w:p>
    <w:p w14:paraId="258C59B5" w14:textId="77777777" w:rsidR="00785714" w:rsidRPr="00D03C4D" w:rsidRDefault="00785714" w:rsidP="00571A9D">
      <w:pPr>
        <w:widowControl/>
        <w:rPr>
          <w:lang w:bidi="ar-SA"/>
        </w:rPr>
      </w:pPr>
    </w:p>
    <w:p w14:paraId="145A39FE" w14:textId="77777777" w:rsidR="00785714" w:rsidRPr="00D03C4D" w:rsidRDefault="00785714" w:rsidP="00571A9D">
      <w:pPr>
        <w:widowControl/>
        <w:rPr>
          <w:lang w:bidi="ar-SA"/>
        </w:rPr>
      </w:pPr>
      <w:r w:rsidRPr="00D03C4D">
        <w:rPr>
          <w:lang w:bidi="ar-SA"/>
        </w:rPr>
        <w:t xml:space="preserve">Male and female rats, 10/sex/group, were maintained under standard laboratory husbandry conditions. They were fasted for 16 hours before administration of a single dose of L-carnitine chloride by oral gavage. The purity of the test material was not stated. The dose groups for males were 0, 6200, 7130, 8200, 9430, 10845 and 12470 mg/kg bw. The dose groups for females also included a 5390 mg/kg bw group, but were otherwise the same. The dose volume was 20 mL/kg. The vehicle, and negative control material, was distilled water. On the day of dosing, clinical observations were made immediately after dosing and at 0.5, 1, 3 and 6 hours after dosing. Clinical observations were made twice daily from the day after dosing. Body weights were recorded on days 2, 3, 5, 8, 11, 13 and 15. Rats that died during the course of the study, and rats killed at scheduled termination on day 14, were subject to gross necropsy, and histopathological examination of liver, kidneys, spleen, heart, lungs, brain, stomach, jejunum, ileum, caecum and colon. </w:t>
      </w:r>
    </w:p>
    <w:p w14:paraId="646F7274" w14:textId="77777777" w:rsidR="00785714" w:rsidRPr="00D03C4D" w:rsidRDefault="00785714" w:rsidP="00571A9D">
      <w:pPr>
        <w:widowControl/>
        <w:rPr>
          <w:lang w:bidi="ar-SA"/>
        </w:rPr>
      </w:pPr>
    </w:p>
    <w:p w14:paraId="2286BA4A" w14:textId="77777777" w:rsidR="00785714" w:rsidRPr="00D03C4D" w:rsidRDefault="00785714" w:rsidP="00571A9D">
      <w:pPr>
        <w:widowControl/>
        <w:rPr>
          <w:lang w:bidi="ar-SA"/>
        </w:rPr>
      </w:pPr>
      <w:r w:rsidRPr="00D03C4D">
        <w:rPr>
          <w:lang w:bidi="ar-SA"/>
        </w:rPr>
        <w:t xml:space="preserve">Clinical signs included piloerection, hypersalivation, pallor of the pinnae, diarrhoea, polydipsia, and decreased activity. Some rats exhibited exophthalmos and abnormal movements. The distribution of clinical signs with regard to dose groups is unclear. All control rats, all the females dosed with 5390 mg/kg bw, and all male rats dosed with 6200 mg/kg bw, survived to scheduled termination. Mortalities occurred from 30 minutes to 4 days after dosing, with a time to death inversely related to dose. Mortality rates were 2/10 for females dosed with 6200 mg/kg bw, 6/10 for males and 6/10 for females dosed with 7130 mg/kg bw, and 10/10 for both sexes at dose levels </w:t>
      </w:r>
      <w:r w:rsidRPr="00D03C4D">
        <w:rPr>
          <w:rFonts w:cs="Arial"/>
          <w:lang w:bidi="ar-SA"/>
        </w:rPr>
        <w:t>≥</w:t>
      </w:r>
      <w:r w:rsidRPr="00D03C4D">
        <w:rPr>
          <w:lang w:bidi="ar-SA"/>
        </w:rPr>
        <w:t xml:space="preserve">8200 mg/kg bw. Necropsy findings in unscheduled mortalities included congestion and haemorrhaging of the gastric mucosa, oedema of the intestinal mucosa, and general visceral congestion. Negative effects on bodyweight or bodyweight gain were limited to the first three days after dose administration, with subsequent recovery of bodyweight gain. No abnormalities were found at gross necropsy or histopathological examination of rats that survived to scheduled termination. </w:t>
      </w:r>
    </w:p>
    <w:p w14:paraId="25A55CCF" w14:textId="77777777" w:rsidR="00785714" w:rsidRPr="00D03C4D" w:rsidRDefault="00785714" w:rsidP="00571A9D">
      <w:pPr>
        <w:widowControl/>
        <w:rPr>
          <w:lang w:bidi="ar-SA"/>
        </w:rPr>
      </w:pPr>
    </w:p>
    <w:p w14:paraId="53E64651" w14:textId="77777777" w:rsidR="00785714" w:rsidRPr="00D03C4D" w:rsidRDefault="00785714" w:rsidP="00571A9D">
      <w:pPr>
        <w:widowControl/>
        <w:rPr>
          <w:lang w:bidi="ar-SA"/>
        </w:rPr>
      </w:pPr>
      <w:r w:rsidRPr="00D03C4D">
        <w:rPr>
          <w:lang w:bidi="ar-SA"/>
        </w:rPr>
        <w:t>The calculated acute oral LD</w:t>
      </w:r>
      <w:r w:rsidRPr="00D03C4D">
        <w:rPr>
          <w:vertAlign w:val="subscript"/>
          <w:lang w:bidi="ar-SA"/>
        </w:rPr>
        <w:t xml:space="preserve">50 </w:t>
      </w:r>
      <w:r w:rsidRPr="00D03C4D">
        <w:rPr>
          <w:lang w:bidi="ar-SA"/>
        </w:rPr>
        <w:t>(95% confidence limit) for L-ca</w:t>
      </w:r>
      <w:r>
        <w:rPr>
          <w:lang w:bidi="ar-SA"/>
        </w:rPr>
        <w:t>rnitine chloride was 6900 (6330–</w:t>
      </w:r>
      <w:r w:rsidRPr="00D03C4D">
        <w:rPr>
          <w:lang w:bidi="ar-SA"/>
        </w:rPr>
        <w:t>7521) mg/kg bw in male rats and 6890 (6</w:t>
      </w:r>
      <w:r>
        <w:rPr>
          <w:lang w:bidi="ar-SA"/>
        </w:rPr>
        <w:t>380</w:t>
      </w:r>
      <w:r w:rsidRPr="0081447C">
        <w:rPr>
          <w:lang w:bidi="ar-SA"/>
        </w:rPr>
        <w:t>–</w:t>
      </w:r>
      <w:r w:rsidRPr="00D03C4D">
        <w:rPr>
          <w:lang w:bidi="ar-SA"/>
        </w:rPr>
        <w:t xml:space="preserve">7441) mg/kg bw in female rats. </w:t>
      </w:r>
    </w:p>
    <w:p w14:paraId="44247874" w14:textId="77777777" w:rsidR="00785714" w:rsidRDefault="00785714" w:rsidP="00571A9D">
      <w:pPr>
        <w:widowControl/>
        <w:rPr>
          <w:lang w:bidi="ar-SA"/>
        </w:rPr>
      </w:pPr>
    </w:p>
    <w:p w14:paraId="462DCA9D" w14:textId="4289BB2E" w:rsidR="00785714" w:rsidRPr="00077096" w:rsidRDefault="00785714" w:rsidP="00E874BB">
      <w:pPr>
        <w:keepNext/>
        <w:widowControl/>
        <w:rPr>
          <w:i/>
          <w:lang w:bidi="ar-SA"/>
        </w:rPr>
      </w:pPr>
      <w:r w:rsidRPr="00077096">
        <w:rPr>
          <w:i/>
          <w:lang w:bidi="ar-SA"/>
        </w:rPr>
        <w:lastRenderedPageBreak/>
        <w:t>Acute toxicity study of L-carnitine chl</w:t>
      </w:r>
      <w:r>
        <w:rPr>
          <w:i/>
          <w:lang w:bidi="ar-SA"/>
        </w:rPr>
        <w:t xml:space="preserve">oride in rats (Kudow </w:t>
      </w:r>
      <w:r w:rsidR="000B7678">
        <w:rPr>
          <w:i/>
          <w:lang w:bidi="ar-SA"/>
        </w:rPr>
        <w:t>et al. 1</w:t>
      </w:r>
      <w:r>
        <w:rPr>
          <w:i/>
          <w:lang w:bidi="ar-SA"/>
        </w:rPr>
        <w:t>988a</w:t>
      </w:r>
      <w:r w:rsidRPr="00077096">
        <w:rPr>
          <w:i/>
          <w:lang w:bidi="ar-SA"/>
        </w:rPr>
        <w:t>)</w:t>
      </w:r>
    </w:p>
    <w:p w14:paraId="65C2C605" w14:textId="77777777" w:rsidR="00785714" w:rsidRDefault="00785714" w:rsidP="00E874BB">
      <w:pPr>
        <w:keepNext/>
        <w:widowControl/>
        <w:rPr>
          <w:lang w:bidi="ar-SA"/>
        </w:rPr>
      </w:pPr>
    </w:p>
    <w:p w14:paraId="7C33979D" w14:textId="77777777" w:rsidR="00785714" w:rsidRDefault="00785714" w:rsidP="00571A9D">
      <w:pPr>
        <w:widowControl/>
        <w:rPr>
          <w:lang w:bidi="ar-SA"/>
        </w:rPr>
      </w:pPr>
      <w:r>
        <w:rPr>
          <w:lang w:bidi="ar-SA"/>
        </w:rPr>
        <w:t>Only the abstract of this study is available in the English language. The study was conducted in Crj:CD rats of different ages. Acute oral toxicity was determined for rats of 10 days old and 22 days old, while intraperitoneal and 5 weeks old. Both male and female rats were used in the study, and both oral and intraperitoneal toxicity was investigated. The number of rats/sex/group, and the method used to calculate the LD50 is not evident from the abstract. The acute oral LD50 (95% confidence limit) of L-carnitine chloride in 10 day old rats was determined to be 4374 (3995-4790) in males and 4578 (4128-5093) in females. The acute oral LD50 (95% confidence limit) of L-carnitine chloride in 22 day old rats was determined to be 4374 (3995-4790) in males and 4578 (4128-5093) in females.</w:t>
      </w:r>
    </w:p>
    <w:p w14:paraId="624C4E28" w14:textId="77777777" w:rsidR="00785714" w:rsidRPr="00D03C4D" w:rsidRDefault="00785714" w:rsidP="00571A9D">
      <w:pPr>
        <w:widowControl/>
        <w:rPr>
          <w:lang w:bidi="ar-SA"/>
        </w:rPr>
      </w:pPr>
    </w:p>
    <w:p w14:paraId="245F3291" w14:textId="537537B8" w:rsidR="00785714" w:rsidRPr="00D03C4D" w:rsidRDefault="00785714" w:rsidP="00571A9D">
      <w:pPr>
        <w:widowControl/>
        <w:rPr>
          <w:i/>
          <w:lang w:bidi="ar-SA"/>
        </w:rPr>
      </w:pPr>
      <w:r w:rsidRPr="00D03C4D">
        <w:rPr>
          <w:i/>
          <w:lang w:bidi="ar-SA"/>
        </w:rPr>
        <w:t xml:space="preserve">Acute toxicity study of L-carnitine chloride in Beagles (Kikumori </w:t>
      </w:r>
      <w:r w:rsidR="000B7678">
        <w:rPr>
          <w:i/>
          <w:lang w:bidi="ar-SA"/>
        </w:rPr>
        <w:t>et al. 1</w:t>
      </w:r>
      <w:r w:rsidRPr="00D03C4D">
        <w:rPr>
          <w:i/>
          <w:lang w:bidi="ar-SA"/>
        </w:rPr>
        <w:t>988a)</w:t>
      </w:r>
    </w:p>
    <w:p w14:paraId="7323BCF0" w14:textId="77777777" w:rsidR="00785714" w:rsidRPr="00D03C4D" w:rsidRDefault="00785714" w:rsidP="00571A9D">
      <w:pPr>
        <w:widowControl/>
        <w:rPr>
          <w:lang w:bidi="ar-SA"/>
        </w:rPr>
      </w:pPr>
    </w:p>
    <w:p w14:paraId="3D144257" w14:textId="7A1DEED9" w:rsidR="00785714" w:rsidRPr="00D03C4D" w:rsidRDefault="00785714" w:rsidP="00571A9D">
      <w:pPr>
        <w:widowControl/>
        <w:rPr>
          <w:lang w:bidi="ar-SA"/>
        </w:rPr>
      </w:pPr>
      <w:r w:rsidRPr="00D03C4D">
        <w:rPr>
          <w:lang w:bidi="ar-SA"/>
        </w:rPr>
        <w:t>Male and female Beagle dogs were purchased at approximately six months of age and acclimated to the laboratory husbandry conditions for a month before the start of the in-life phase. Male dogs weighed 8.4 to 10.7 kg, and female dogs weighed 8.0 to 9.7 kg, at the time of dosing. It was found in a preliminary study that administration of a single dose of 1000 mg/kg bw, or two 800 mg/kg bw doses at 2- or 4-hour intervals, resulted in vomiting in all dosed dogs. Therefore, the dosing regimens selected for the definitive study were a single oral dose of 800 mg/kg bw or two oral doses of 800 mg/kg bw with a two-hour interval between the doses. The test material was administered in gelatin capsules. The purity of the test material was not stated. Three male and three female dogs were assigned to each group. After dose administration, all dogs were maintained on study for 14 days before being killed and necropsied. Parameters included clinical observations, food consumption, water consumption and bodyweight</w:t>
      </w:r>
      <w:r w:rsidR="0055564D">
        <w:rPr>
          <w:lang w:bidi="ar-SA"/>
        </w:rPr>
        <w:t xml:space="preserve">. </w:t>
      </w:r>
      <w:r w:rsidRPr="00D03C4D">
        <w:rPr>
          <w:lang w:bidi="ar-SA"/>
        </w:rPr>
        <w:t>All dogs survived to the end of the in-life phase. Mild gastroenteric signs of vomiting and transient diarrhoea were observed in most dogs within 24 hours of dosing</w:t>
      </w:r>
      <w:r w:rsidR="0055564D">
        <w:rPr>
          <w:lang w:bidi="ar-SA"/>
        </w:rPr>
        <w:t xml:space="preserve">. </w:t>
      </w:r>
      <w:r w:rsidRPr="00D03C4D">
        <w:rPr>
          <w:lang w:bidi="ar-SA"/>
        </w:rPr>
        <w:t xml:space="preserve">Food consumption was unaffected in most dogs. One female in the group dosed with two doses of 800 mg/kg bw exhibited a transient decrease in food consumption on Day 4 after dose administration, but it is not clear that this was a treatment-related effect. Water intake was not affected in any dogs, and all the dogs gained weight between dose administration and scheduled termination on Day 14. No treatment-related lesions were discovered at scheduled necropsy. It was concluded that the acute oral LD50 of L-carnitine chloride in the Beagle dog is &gt;1600 mg/kg bw. </w:t>
      </w:r>
    </w:p>
    <w:p w14:paraId="4D41E6E3" w14:textId="77777777" w:rsidR="00785714" w:rsidRPr="00D03C4D" w:rsidRDefault="00785714" w:rsidP="00571A9D">
      <w:pPr>
        <w:keepNext/>
        <w:widowControl/>
        <w:spacing w:before="240" w:after="240"/>
        <w:ind w:left="851" w:hanging="851"/>
        <w:outlineLvl w:val="3"/>
        <w:rPr>
          <w:b/>
          <w:bCs/>
          <w:i/>
          <w:iCs/>
          <w:szCs w:val="22"/>
          <w:lang w:bidi="ar-SA"/>
        </w:rPr>
      </w:pPr>
      <w:r w:rsidRPr="00D03C4D">
        <w:rPr>
          <w:b/>
          <w:bCs/>
          <w:i/>
          <w:iCs/>
          <w:szCs w:val="22"/>
          <w:lang w:bidi="ar-SA"/>
        </w:rPr>
        <w:t>Subacute and subchronic studies; L-carnitine</w:t>
      </w:r>
    </w:p>
    <w:p w14:paraId="74435FCA" w14:textId="13D4A6FD" w:rsidR="00785714" w:rsidRPr="00D03C4D" w:rsidRDefault="00785714" w:rsidP="00571A9D">
      <w:pPr>
        <w:widowControl/>
        <w:rPr>
          <w:i/>
          <w:lang w:bidi="ar-SA"/>
        </w:rPr>
      </w:pPr>
      <w:r w:rsidRPr="00D03C4D">
        <w:rPr>
          <w:i/>
          <w:lang w:bidi="ar-SA"/>
        </w:rPr>
        <w:t xml:space="preserve">Subacute and subchronic dietary studies of L-carnitine in the Wistar rat (Clouet </w:t>
      </w:r>
      <w:r w:rsidR="000B7678">
        <w:rPr>
          <w:i/>
          <w:lang w:bidi="ar-SA"/>
        </w:rPr>
        <w:t>et al. 1996)</w:t>
      </w:r>
    </w:p>
    <w:p w14:paraId="57BEB39B" w14:textId="77777777" w:rsidR="00785714" w:rsidRPr="00D03C4D" w:rsidRDefault="00785714" w:rsidP="00571A9D">
      <w:pPr>
        <w:widowControl/>
        <w:rPr>
          <w:i/>
          <w:lang w:bidi="ar-SA"/>
        </w:rPr>
      </w:pPr>
    </w:p>
    <w:p w14:paraId="49FD1873" w14:textId="293926B0" w:rsidR="00785714" w:rsidRPr="00D03C4D" w:rsidRDefault="00785714" w:rsidP="00571A9D">
      <w:pPr>
        <w:widowControl/>
        <w:rPr>
          <w:lang w:bidi="ar-SA"/>
        </w:rPr>
      </w:pPr>
      <w:r w:rsidRPr="00D03C4D">
        <w:rPr>
          <w:lang w:bidi="ar-SA"/>
        </w:rPr>
        <w:t>This publication describes two separate experiments, of which one had an in-life phase of 10 days and the other had an in-life phase of 30 days. The husbandry, dose group assignment and dose administration of the two experiments were the same. For each experiment, male Wistar rats were obtained at 8 weeks of age and acclimated to standard laboratory husbandry conditions, in individual housing, for one week prior to assignment to two groups of 12 rats/group. Rats were fed powdered diet that was identical except that the diet of the control group was wetted with a controlled volume of water and the diet of the treated group was wetted with an aqueous solution of L-carnitine. The basal level of L-carnitine in the powdered diet was not reported. The volume of water or L-carnitine solution was based on the bodyweight of the rat, and in the treated rats provided 14 mg/kg bw/d</w:t>
      </w:r>
      <w:r w:rsidR="00952144">
        <w:rPr>
          <w:lang w:bidi="ar-SA"/>
        </w:rPr>
        <w:t>ay</w:t>
      </w:r>
      <w:r w:rsidRPr="00D03C4D">
        <w:rPr>
          <w:lang w:bidi="ar-SA"/>
        </w:rPr>
        <w:t xml:space="preserve"> L-carnitine. Food was provided daily at a level anticipated to be 80% of maximum daily intake, and drinking water was provided </w:t>
      </w:r>
      <w:r w:rsidRPr="00D03C4D">
        <w:rPr>
          <w:i/>
          <w:lang w:bidi="ar-SA"/>
        </w:rPr>
        <w:t>ad libitum</w:t>
      </w:r>
      <w:r w:rsidRPr="00D03C4D">
        <w:rPr>
          <w:lang w:bidi="ar-SA"/>
        </w:rPr>
        <w:t xml:space="preserve">. Rats were fasted, with access to water, from the day before scheduled termination. Two hours prior to scheduled euthanasia, they were administered tritiated water intraperitoneally for determination of </w:t>
      </w:r>
      <w:r w:rsidRPr="00D03C4D">
        <w:rPr>
          <w:i/>
          <w:lang w:bidi="ar-SA"/>
        </w:rPr>
        <w:t>in vivo</w:t>
      </w:r>
      <w:r w:rsidRPr="00D03C4D">
        <w:rPr>
          <w:lang w:bidi="ar-SA"/>
        </w:rPr>
        <w:t xml:space="preserve"> lipogenesis as determined from tissue samples collected following euthanasia</w:t>
      </w:r>
      <w:r w:rsidR="0055564D">
        <w:rPr>
          <w:lang w:bidi="ar-SA"/>
        </w:rPr>
        <w:t xml:space="preserve">. </w:t>
      </w:r>
    </w:p>
    <w:p w14:paraId="0D9FD723" w14:textId="77777777" w:rsidR="00785714" w:rsidRPr="00D03C4D" w:rsidRDefault="00785714" w:rsidP="00571A9D">
      <w:pPr>
        <w:widowControl/>
        <w:rPr>
          <w:lang w:bidi="ar-SA"/>
        </w:rPr>
      </w:pPr>
    </w:p>
    <w:p w14:paraId="480D07A5" w14:textId="77777777" w:rsidR="00785714" w:rsidRPr="00D03C4D" w:rsidRDefault="00785714" w:rsidP="00571A9D">
      <w:pPr>
        <w:widowControl/>
        <w:rPr>
          <w:lang w:bidi="ar-SA"/>
        </w:rPr>
      </w:pPr>
      <w:r w:rsidRPr="00D03C4D">
        <w:rPr>
          <w:lang w:bidi="ar-SA"/>
        </w:rPr>
        <w:lastRenderedPageBreak/>
        <w:t xml:space="preserve">This study was not designed to be a toxicology study, and most endpoints determined in the study are not directly relevant to toxicology. Parameters measured during the in-life phase of each experiment included bodyweight, food intake and, in six rats/group housed for eight hours in metabolism cages, urinary carnitine excretion. Blood collected on the day of scheduled termination was analysed for ketone bodies, free and total carnitine, triacylglycerols and glucose in whole blood or plasma. Tissues, including liver, kidneys, heart, skeletal muscle and periepididymal adipose tissue were collected and weighed at scheduled necropsy, and analysed as appropriate for parameters which included free and total carnitine content, lipid analysis, lipogenesis, and hepatic fatty acid oxidising system activity. </w:t>
      </w:r>
    </w:p>
    <w:p w14:paraId="36EB2C0B" w14:textId="77777777" w:rsidR="00785714" w:rsidRPr="00D03C4D" w:rsidRDefault="00785714" w:rsidP="00571A9D">
      <w:pPr>
        <w:widowControl/>
        <w:rPr>
          <w:lang w:bidi="ar-SA"/>
        </w:rPr>
      </w:pPr>
    </w:p>
    <w:p w14:paraId="7705796F" w14:textId="72412C5A" w:rsidR="00785714" w:rsidRPr="00D03C4D" w:rsidRDefault="00785714" w:rsidP="00571A9D">
      <w:pPr>
        <w:widowControl/>
        <w:rPr>
          <w:lang w:bidi="ar-SA"/>
        </w:rPr>
      </w:pPr>
      <w:r w:rsidRPr="00D03C4D">
        <w:rPr>
          <w:lang w:bidi="ar-SA"/>
        </w:rPr>
        <w:t xml:space="preserve">Findings relevant to the assessment of preclinical toxicology of L-carnitine were that all rats survived to scheduled termination, and that dietary administration of L-carnitine at </w:t>
      </w:r>
      <w:r w:rsidR="00952144">
        <w:rPr>
          <w:lang w:bidi="ar-SA"/>
        </w:rPr>
        <w:t>14 mg</w:t>
      </w:r>
      <w:r w:rsidRPr="00D03C4D">
        <w:rPr>
          <w:lang w:bidi="ar-SA"/>
        </w:rPr>
        <w:t>/kg bw/d</w:t>
      </w:r>
      <w:r w:rsidR="00952144">
        <w:rPr>
          <w:lang w:bidi="ar-SA"/>
        </w:rPr>
        <w:t>ay</w:t>
      </w:r>
      <w:r w:rsidRPr="00D03C4D">
        <w:rPr>
          <w:lang w:bidi="ar-SA"/>
        </w:rPr>
        <w:t xml:space="preserve"> had no significant effects on body weights. Organ weights were unaffected with the exception of a significant decrease in the absolute and relative weights of periepididymal adipose tissue, which was not associated with any histopathological findings. No adverse effects on lipid metabolism, including ketone body formation, were found. </w:t>
      </w:r>
    </w:p>
    <w:p w14:paraId="2810968E" w14:textId="77777777" w:rsidR="00785714" w:rsidRPr="00D03C4D" w:rsidRDefault="00785714" w:rsidP="00571A9D">
      <w:pPr>
        <w:keepNext/>
        <w:widowControl/>
        <w:spacing w:before="240" w:after="240"/>
        <w:ind w:left="851" w:hanging="851"/>
        <w:outlineLvl w:val="3"/>
        <w:rPr>
          <w:b/>
          <w:bCs/>
          <w:i/>
          <w:iCs/>
          <w:szCs w:val="22"/>
          <w:lang w:bidi="ar-SA"/>
        </w:rPr>
      </w:pPr>
      <w:r w:rsidRPr="00D03C4D">
        <w:rPr>
          <w:b/>
          <w:bCs/>
          <w:i/>
          <w:iCs/>
          <w:szCs w:val="22"/>
          <w:lang w:bidi="ar-SA"/>
        </w:rPr>
        <w:t xml:space="preserve">Subacute and subchronic studies; salts of L-carnitine </w:t>
      </w:r>
    </w:p>
    <w:p w14:paraId="1F6C898C" w14:textId="77777777" w:rsidR="00785714" w:rsidRPr="00D03C4D" w:rsidRDefault="00785714" w:rsidP="00571A9D">
      <w:pPr>
        <w:widowControl/>
        <w:rPr>
          <w:i/>
          <w:lang w:bidi="ar-SA"/>
        </w:rPr>
      </w:pPr>
      <w:r w:rsidRPr="00D03C4D">
        <w:rPr>
          <w:i/>
          <w:lang w:bidi="ar-SA"/>
        </w:rPr>
        <w:t>13-week dietary study of L-</w:t>
      </w:r>
      <w:r>
        <w:rPr>
          <w:i/>
          <w:lang w:bidi="ar-SA"/>
        </w:rPr>
        <w:t>carnitine-L-tartrate</w:t>
      </w:r>
      <w:r w:rsidRPr="00D03C4D">
        <w:rPr>
          <w:i/>
          <w:lang w:bidi="ar-SA"/>
        </w:rPr>
        <w:t xml:space="preserve"> in rats (LPT 2003)</w:t>
      </w:r>
    </w:p>
    <w:p w14:paraId="21E59009" w14:textId="77777777" w:rsidR="00785714" w:rsidRPr="00D03C4D" w:rsidRDefault="00785714" w:rsidP="00571A9D">
      <w:pPr>
        <w:widowControl/>
        <w:rPr>
          <w:lang w:bidi="ar-SA"/>
        </w:rPr>
      </w:pPr>
    </w:p>
    <w:p w14:paraId="7ED36A61" w14:textId="6349C056" w:rsidR="00785714" w:rsidRPr="00D03C4D" w:rsidRDefault="00785714" w:rsidP="00571A9D">
      <w:pPr>
        <w:widowControl/>
        <w:rPr>
          <w:lang w:bidi="ar-SA"/>
        </w:rPr>
      </w:pPr>
      <w:r w:rsidRPr="00D03C4D">
        <w:rPr>
          <w:lang w:bidi="ar-SA"/>
        </w:rPr>
        <w:t>This GLP-compliant study was conducted with CD</w:t>
      </w:r>
      <w:r w:rsidRPr="00D03C4D">
        <w:rPr>
          <w:rFonts w:cs="Arial"/>
          <w:lang w:bidi="ar-SA"/>
        </w:rPr>
        <w:t>®</w:t>
      </w:r>
      <w:r w:rsidRPr="00D03C4D">
        <w:rPr>
          <w:lang w:bidi="ar-SA"/>
        </w:rPr>
        <w:t xml:space="preserve"> rats as the test system. The test material was identified as LZ1780, with a stated purity of 99.9%. According to the </w:t>
      </w:r>
      <w:r w:rsidR="00E202CC">
        <w:rPr>
          <w:lang w:bidi="ar-SA"/>
        </w:rPr>
        <w:t>application</w:t>
      </w:r>
      <w:r w:rsidRPr="00D03C4D">
        <w:rPr>
          <w:lang w:bidi="ar-SA"/>
        </w:rPr>
        <w:t>, this test material is L-</w:t>
      </w:r>
      <w:r>
        <w:rPr>
          <w:lang w:bidi="ar-SA"/>
        </w:rPr>
        <w:t>carnitine-L-tartrate</w:t>
      </w:r>
      <w:r w:rsidRPr="00D03C4D">
        <w:rPr>
          <w:lang w:bidi="ar-SA"/>
        </w:rPr>
        <w:t xml:space="preserve">. Rats were aged 41 to 43 days at the start of the study. The target dietary concentrations of test material were 0, 0.25%, 1.25% and 5.0% w/w in the diet. Group sizes were 10 rats/sex/group for the low and mid-dose groups (0.25 and 1.25% w/w in the diet) and 15 rats/sex/group for the control and high-dose groups (0 and 5.0% w/w in the diet). Ten rats/sex/group were scheduled to be killed at the end of the 90-day dosing period, while 5 rats/sex/group in the control and 5.0% groups were scheduled for a 4-week recovery period after the end of dosing before being killed. Rats were individually housed under standard laboratory environmental conditions and provided with food and water </w:t>
      </w:r>
      <w:r w:rsidRPr="00D03C4D">
        <w:rPr>
          <w:i/>
          <w:lang w:bidi="ar-SA"/>
        </w:rPr>
        <w:t>ad libitum</w:t>
      </w:r>
      <w:r w:rsidRPr="00D03C4D">
        <w:rPr>
          <w:lang w:bidi="ar-SA"/>
        </w:rPr>
        <w:t>. Concentration, stability and homogeneity of the test material in the diet was confirmed. Endpoints determined during the in-life phase were survival, daily cageside clinical observations, weekly detailed in-hand clinical observations, weekly bodyweights, weekly food consumption, and quantitative water consumption in weeks 6 and 12. Ophthalmoscopic examination was conducted on all surviving rats in the week prior to their scheduled termination. Urine was collected overnight from fasted rats, and blood for haematology and clinical chemistry collected under light anaesthesia, during the week prior to their scheduled termination. Anesthetised rats were killed by exsanguination and a gross necropsy was performed. Gross necropsy was also performed on rats that did not survive to scheduled termination. Fresh weights were recorded for adrenal glands, brain, heart, kidneys, liver, lungs, gonads, pituitary gland, salivary glands (mandibular, sublingual and parotid), spleen, thymus, and thyroids including the parathyroid glands. In addition, fresh weights of prostate and seminal vesicles of males, and uterus of females, were recorded. A comprehensive list of organs and tissues were preserved in 7% buffered formalin for histopathological examination. In addition, testes were preserved in Bouin’s solution and frozen sections of heart, liver and kidney were prepared and stained with Scarlet R (a stain for fats and oils</w:t>
      </w:r>
      <w:r>
        <w:rPr>
          <w:lang w:bidi="ar-SA"/>
        </w:rPr>
        <w:t>)</w:t>
      </w:r>
      <w:r w:rsidRPr="00D03C4D">
        <w:rPr>
          <w:lang w:bidi="ar-SA"/>
        </w:rPr>
        <w:t>. Histopathological examination of tissue sections stained with haematoxylin and eosin (HE), and the frozen sections stained with Scarlet R, was performed for rats in the control and 5.0% (high dose) group</w:t>
      </w:r>
      <w:r w:rsidR="0055564D">
        <w:rPr>
          <w:lang w:bidi="ar-SA"/>
        </w:rPr>
        <w:t xml:space="preserve">. </w:t>
      </w:r>
    </w:p>
    <w:p w14:paraId="0FA50586" w14:textId="77777777" w:rsidR="00785714" w:rsidRPr="00D03C4D" w:rsidRDefault="00785714" w:rsidP="00571A9D">
      <w:pPr>
        <w:widowControl/>
        <w:rPr>
          <w:lang w:bidi="ar-SA"/>
        </w:rPr>
      </w:pPr>
    </w:p>
    <w:p w14:paraId="48D1A9F0" w14:textId="77777777" w:rsidR="00785714" w:rsidRDefault="00785714" w:rsidP="00571A9D">
      <w:pPr>
        <w:widowControl/>
        <w:rPr>
          <w:lang w:bidi="ar-SA"/>
        </w:rPr>
      </w:pPr>
      <w:r w:rsidRPr="00D03C4D">
        <w:rPr>
          <w:lang w:bidi="ar-SA"/>
        </w:rPr>
        <w:t xml:space="preserve">There were two unscheduled deaths, those of one male in the main cohort and one female in the recovery cohort of the 5.0% group, but both were due to the blood collection procedure prior to scheduled termination and their deaths were not therefore attributable to </w:t>
      </w:r>
      <w:r w:rsidRPr="00D03C4D">
        <w:rPr>
          <w:lang w:bidi="ar-SA"/>
        </w:rPr>
        <w:lastRenderedPageBreak/>
        <w:t>con</w:t>
      </w:r>
      <w:r>
        <w:rPr>
          <w:lang w:bidi="ar-SA"/>
        </w:rPr>
        <w:t xml:space="preserve">sumption of the test material. </w:t>
      </w:r>
      <w:r w:rsidRPr="00D03C4D">
        <w:rPr>
          <w:lang w:bidi="ar-SA"/>
        </w:rPr>
        <w:t xml:space="preserve">Clinical observations during the study were limited to soft faeces in all animals in the 5.0% group. The same group exhibited significantly increased water consumption. These changes were all rapidly reversible during the recovery period. Rats in the 5.0% group also exhibited marginal decreases in body weight, which did not reach statistical significance. Group mean values for food consumption and water intake of rats of both sexes in the 5.0% group were increased, effects attributed to treatment. </w:t>
      </w:r>
    </w:p>
    <w:p w14:paraId="2E71483C" w14:textId="77777777" w:rsidR="00785714" w:rsidRDefault="00785714" w:rsidP="00571A9D">
      <w:pPr>
        <w:widowControl/>
        <w:rPr>
          <w:lang w:bidi="ar-SA"/>
        </w:rPr>
      </w:pPr>
    </w:p>
    <w:p w14:paraId="4AECFCCA" w14:textId="21C4EF2C" w:rsidR="00785714" w:rsidRPr="00D03C4D" w:rsidRDefault="00785714" w:rsidP="00571A9D">
      <w:pPr>
        <w:widowControl/>
        <w:rPr>
          <w:lang w:bidi="ar-SA"/>
        </w:rPr>
      </w:pPr>
      <w:r w:rsidRPr="003B71FF">
        <w:rPr>
          <w:lang w:bidi="ar-SA"/>
        </w:rPr>
        <w:t>Organ weights were unaffected by treatment, with the exception of group mean absolute and relative weights of seminal vesicles in the 5.0% males, which were decreased relative to those of the control males. This was considered to be an effect of treatment, although there was no associated histopathology, and was reversible, in that it was not apparent at necropsy of males in the recovery cohort.</w:t>
      </w:r>
      <w:r>
        <w:rPr>
          <w:lang w:bidi="ar-SA"/>
        </w:rPr>
        <w:t xml:space="preserve"> </w:t>
      </w:r>
      <w:r w:rsidRPr="003B71FF">
        <w:rPr>
          <w:lang w:bidi="ar-SA"/>
        </w:rPr>
        <w:t>Dietary exposure to L-</w:t>
      </w:r>
      <w:r>
        <w:rPr>
          <w:lang w:bidi="ar-SA"/>
        </w:rPr>
        <w:t>carnitine-L-tartrate</w:t>
      </w:r>
      <w:r w:rsidRPr="003B71FF">
        <w:rPr>
          <w:lang w:bidi="ar-SA"/>
        </w:rPr>
        <w:t xml:space="preserve"> had no effect on haematology, clinical chemistry, urinary electrolytes, ophthalmologic findings, gross necropsy findings or histopathological findings. </w:t>
      </w:r>
      <w:r w:rsidRPr="00D03C4D">
        <w:rPr>
          <w:lang w:bidi="ar-SA"/>
        </w:rPr>
        <w:t>There was a slight but statistically significant decrease in group mean urinary pH, and a slight but statistically significant increase in group mean urine specific gravity in both sexes the 5.0% group. These changes disappeared during the recovery phase and were considered to be possibly test material-related, but not adverse</w:t>
      </w:r>
      <w:r w:rsidR="0055564D">
        <w:rPr>
          <w:lang w:bidi="ar-SA"/>
        </w:rPr>
        <w:t xml:space="preserve">. </w:t>
      </w:r>
    </w:p>
    <w:p w14:paraId="00AAA6CE" w14:textId="77777777" w:rsidR="00785714" w:rsidRPr="00D03C4D" w:rsidRDefault="00785714" w:rsidP="00571A9D">
      <w:pPr>
        <w:widowControl/>
        <w:rPr>
          <w:lang w:bidi="ar-SA"/>
        </w:rPr>
      </w:pPr>
    </w:p>
    <w:p w14:paraId="2DCDE303" w14:textId="77777777" w:rsidR="00785714" w:rsidRPr="00D03C4D" w:rsidRDefault="00785714" w:rsidP="00571A9D">
      <w:pPr>
        <w:widowControl/>
        <w:rPr>
          <w:lang w:bidi="ar-SA"/>
        </w:rPr>
      </w:pPr>
      <w:r w:rsidRPr="003B71FF">
        <w:rPr>
          <w:lang w:bidi="ar-SA"/>
        </w:rPr>
        <w:t>Test material consumption relative to bodyweight was calculated. Daily test material consumption in the 0.25% group fell in the range 116 to 276 mg/kg bw in males and 150 to 285 mg/kg bw in females. In the 1.25% group, daily test material consumption fell in the range 637 to 1399 mg/kg bw in males and 781 to 1454 mg/kg bw in females. Mean values for test material consumption in the 0.25%, 1.25% and 5.0% groups were 179, 936 and 3934 mg/kg bw/day respectively for males, and 220, 1107 and 5042 mg/kg bw/day respectively for females.</w:t>
      </w:r>
    </w:p>
    <w:p w14:paraId="4E8AAA14" w14:textId="77777777" w:rsidR="00785714" w:rsidRDefault="00785714" w:rsidP="00571A9D">
      <w:pPr>
        <w:widowControl/>
        <w:rPr>
          <w:rFonts w:cs="Arial"/>
          <w:szCs w:val="22"/>
          <w:lang w:val="en-AU" w:bidi="ar-SA"/>
        </w:rPr>
      </w:pPr>
    </w:p>
    <w:p w14:paraId="38ABAB41" w14:textId="77777777" w:rsidR="00785714" w:rsidRPr="008D52D8" w:rsidRDefault="00785714" w:rsidP="00571A9D">
      <w:pPr>
        <w:widowControl/>
        <w:rPr>
          <w:rFonts w:cs="Arial"/>
          <w:szCs w:val="22"/>
          <w:lang w:val="en-AU" w:bidi="ar-SA"/>
        </w:rPr>
      </w:pPr>
      <w:r>
        <w:rPr>
          <w:rFonts w:cs="Arial"/>
          <w:szCs w:val="22"/>
          <w:lang w:val="en-AU" w:bidi="ar-SA"/>
        </w:rPr>
        <w:t>The no-observed-adverse-effect level (NOAEL) was 5</w:t>
      </w:r>
      <w:r w:rsidRPr="00B70525">
        <w:rPr>
          <w:rFonts w:cs="Arial"/>
          <w:szCs w:val="22"/>
          <w:lang w:val="en-AU" w:bidi="ar-SA"/>
        </w:rPr>
        <w:t>.0% w/w L-</w:t>
      </w:r>
      <w:r>
        <w:rPr>
          <w:rFonts w:cs="Arial"/>
          <w:szCs w:val="22"/>
          <w:lang w:val="en-AU" w:bidi="ar-SA"/>
        </w:rPr>
        <w:t>carnitine-L-tartrate</w:t>
      </w:r>
      <w:r w:rsidRPr="00B70525">
        <w:rPr>
          <w:rFonts w:cs="Arial"/>
          <w:szCs w:val="22"/>
          <w:lang w:val="en-AU" w:bidi="ar-SA"/>
        </w:rPr>
        <w:t xml:space="preserve"> in the diet</w:t>
      </w:r>
      <w:r>
        <w:rPr>
          <w:rFonts w:cs="Arial"/>
          <w:szCs w:val="22"/>
          <w:lang w:val="en-AU" w:bidi="ar-SA"/>
        </w:rPr>
        <w:t xml:space="preserve">, equivalent to a group mean of </w:t>
      </w:r>
      <w:r w:rsidRPr="00B70525">
        <w:rPr>
          <w:rFonts w:cs="Arial"/>
          <w:szCs w:val="22"/>
          <w:lang w:val="en-AU" w:bidi="ar-SA"/>
        </w:rPr>
        <w:t>3934 mg/kg bw/day for males</w:t>
      </w:r>
      <w:r>
        <w:rPr>
          <w:rFonts w:cs="Arial"/>
          <w:szCs w:val="22"/>
          <w:lang w:val="en-AU" w:bidi="ar-SA"/>
        </w:rPr>
        <w:t xml:space="preserve"> and 5042 mg/kg bw/day</w:t>
      </w:r>
      <w:r w:rsidRPr="00B70525">
        <w:rPr>
          <w:rFonts w:cs="Arial"/>
          <w:szCs w:val="22"/>
          <w:lang w:val="en-AU" w:bidi="ar-SA"/>
        </w:rPr>
        <w:t xml:space="preserve"> for females</w:t>
      </w:r>
      <w:r>
        <w:rPr>
          <w:rFonts w:cs="Arial"/>
          <w:szCs w:val="22"/>
          <w:lang w:val="en-AU" w:bidi="ar-SA"/>
        </w:rPr>
        <w:t xml:space="preserve">. This NOAEL differs from that identified by the study authors because FSANZ did not consider the </w:t>
      </w:r>
      <w:r w:rsidRPr="00B70525">
        <w:rPr>
          <w:rFonts w:cs="Arial"/>
          <w:szCs w:val="22"/>
          <w:lang w:val="en-AU" w:bidi="ar-SA"/>
        </w:rPr>
        <w:t>marginal, reversible effects noted at 5</w:t>
      </w:r>
      <w:r>
        <w:rPr>
          <w:rFonts w:cs="Arial"/>
          <w:szCs w:val="22"/>
          <w:lang w:val="en-AU" w:bidi="ar-SA"/>
        </w:rPr>
        <w:t xml:space="preserve"> </w:t>
      </w:r>
      <w:r w:rsidRPr="00B70525">
        <w:rPr>
          <w:rFonts w:cs="Arial"/>
          <w:szCs w:val="22"/>
          <w:lang w:val="en-AU" w:bidi="ar-SA"/>
        </w:rPr>
        <w:t>% w/w L-</w:t>
      </w:r>
      <w:r>
        <w:rPr>
          <w:rFonts w:cs="Arial"/>
          <w:szCs w:val="22"/>
          <w:lang w:val="en-AU" w:bidi="ar-SA"/>
        </w:rPr>
        <w:t>carnitine-L-tartrate</w:t>
      </w:r>
      <w:r w:rsidRPr="00B70525">
        <w:rPr>
          <w:rFonts w:cs="Arial"/>
          <w:szCs w:val="22"/>
          <w:lang w:val="en-AU" w:bidi="ar-SA"/>
        </w:rPr>
        <w:t xml:space="preserve"> to be </w:t>
      </w:r>
      <w:r>
        <w:rPr>
          <w:rFonts w:cs="Arial"/>
          <w:szCs w:val="22"/>
          <w:lang w:val="en-AU" w:bidi="ar-SA"/>
        </w:rPr>
        <w:t>toxicologically significant.</w:t>
      </w:r>
    </w:p>
    <w:p w14:paraId="2CD5A0A6" w14:textId="6C1CF1F1" w:rsidR="00785714" w:rsidRPr="00D03C4D" w:rsidRDefault="00785714" w:rsidP="00571A9D">
      <w:pPr>
        <w:widowControl/>
        <w:rPr>
          <w:i/>
          <w:lang w:bidi="ar-SA"/>
        </w:rPr>
      </w:pPr>
      <w:r w:rsidRPr="00D03C4D">
        <w:rPr>
          <w:highlight w:val="magenta"/>
          <w:lang w:bidi="ar-SA"/>
        </w:rPr>
        <w:br/>
      </w:r>
      <w:r w:rsidRPr="00D03C4D">
        <w:rPr>
          <w:i/>
          <w:lang w:bidi="ar-SA"/>
        </w:rPr>
        <w:t xml:space="preserve">13-week oral gavage study of L-carnitine chloride in rats (Yamate </w:t>
      </w:r>
      <w:r w:rsidR="000B7678">
        <w:rPr>
          <w:i/>
          <w:lang w:bidi="ar-SA"/>
        </w:rPr>
        <w:t>et al. 1</w:t>
      </w:r>
      <w:r w:rsidRPr="00D03C4D">
        <w:rPr>
          <w:i/>
          <w:lang w:bidi="ar-SA"/>
        </w:rPr>
        <w:t>988)</w:t>
      </w:r>
    </w:p>
    <w:p w14:paraId="1A80D773" w14:textId="77777777" w:rsidR="00785714" w:rsidRPr="00D03C4D" w:rsidRDefault="00785714" w:rsidP="00571A9D">
      <w:pPr>
        <w:widowControl/>
        <w:rPr>
          <w:i/>
          <w:lang w:bidi="ar-SA"/>
        </w:rPr>
      </w:pPr>
    </w:p>
    <w:p w14:paraId="5BD613C5" w14:textId="77777777" w:rsidR="00785714" w:rsidRPr="00D03C4D" w:rsidRDefault="00785714" w:rsidP="00571A9D">
      <w:pPr>
        <w:widowControl/>
        <w:rPr>
          <w:lang w:bidi="ar-SA"/>
        </w:rPr>
      </w:pPr>
      <w:r w:rsidRPr="00D03C4D">
        <w:rPr>
          <w:lang w:bidi="ar-SA"/>
        </w:rPr>
        <w:t xml:space="preserve">Crj:CD rats, aged between 23 and 25 days, were acclimated for 7 to 10 days prior to study start. Rats were individually housed under standard laboratory environmental conditions and provided with food and water </w:t>
      </w:r>
      <w:r w:rsidRPr="00D03C4D">
        <w:rPr>
          <w:i/>
          <w:lang w:bidi="ar-SA"/>
        </w:rPr>
        <w:t xml:space="preserve">ad libitum. </w:t>
      </w:r>
      <w:r w:rsidRPr="00D03C4D">
        <w:rPr>
          <w:lang w:bidi="ar-SA"/>
        </w:rPr>
        <w:t xml:space="preserve">Based on data from a dose-range finding study, the dose levels selected </w:t>
      </w:r>
      <w:r>
        <w:rPr>
          <w:lang w:bidi="ar-SA"/>
        </w:rPr>
        <w:t xml:space="preserve">for </w:t>
      </w:r>
      <w:r w:rsidRPr="00D03C4D">
        <w:rPr>
          <w:lang w:bidi="ar-SA"/>
        </w:rPr>
        <w:t>this study were 0, 100, 450, 1500 and 5000 mg/kg bw/day. The group sizes were 15/sex/group for the 100 and 450 mg/kg bw/day groups and 25/sex/group for the control, 1500 and 5000 mg/kg bw/day groups. Recovery cohorts of 10/sex/group from the control, 1500 and 5000 mg/kg</w:t>
      </w:r>
      <w:r>
        <w:rPr>
          <w:lang w:bidi="ar-SA"/>
        </w:rPr>
        <w:t xml:space="preserve"> bw</w:t>
      </w:r>
      <w:r w:rsidRPr="00D03C4D">
        <w:rPr>
          <w:lang w:bidi="ar-SA"/>
        </w:rPr>
        <w:t>/</w:t>
      </w:r>
      <w:r>
        <w:rPr>
          <w:lang w:bidi="ar-SA"/>
        </w:rPr>
        <w:t xml:space="preserve">day </w:t>
      </w:r>
      <w:r w:rsidRPr="00D03C4D">
        <w:rPr>
          <w:lang w:bidi="ar-SA"/>
        </w:rPr>
        <w:t xml:space="preserve">groups were assigned to a 35-day recovery period </w:t>
      </w:r>
      <w:r>
        <w:rPr>
          <w:lang w:bidi="ar-SA"/>
        </w:rPr>
        <w:t>at</w:t>
      </w:r>
      <w:r w:rsidRPr="00D03C4D">
        <w:rPr>
          <w:lang w:bidi="ar-SA"/>
        </w:rPr>
        <w:t xml:space="preserve"> the end of the 13 weeks of consecutive daily dosing. The test material was administered in distilled water and administered at a dose volume of 10 mL/kg bw by oral gavage. </w:t>
      </w:r>
    </w:p>
    <w:p w14:paraId="3EC140DC" w14:textId="77777777" w:rsidR="00785714" w:rsidRPr="00D03C4D" w:rsidRDefault="00785714" w:rsidP="00571A9D">
      <w:pPr>
        <w:widowControl/>
        <w:rPr>
          <w:lang w:bidi="ar-SA"/>
        </w:rPr>
      </w:pPr>
    </w:p>
    <w:p w14:paraId="16E21F07" w14:textId="77777777" w:rsidR="00785714" w:rsidRPr="00D03C4D" w:rsidRDefault="00785714" w:rsidP="00571A9D">
      <w:pPr>
        <w:widowControl/>
        <w:rPr>
          <w:lang w:bidi="ar-SA"/>
        </w:rPr>
      </w:pPr>
      <w:r w:rsidRPr="00D03C4D">
        <w:rPr>
          <w:lang w:bidi="ar-SA"/>
        </w:rPr>
        <w:t xml:space="preserve">Parameters in the in-life phase were survival, clinical observations, food consumption, water intake, and ophthalmologic findings on Day 45 and in Week 13. Urine was collected over 24 hours prior to termination for urinalysis and blood was collected for haematology and clinical chemistry from fasted, anaesthetised rats prior to termination. Rats were subject to necropsy, and fresh weights were recorded for liver, spleen, kidneys, heart, adrenal glands, thymus, pituitary gland, thyroid gland, submandibular gland, brain, caecum with contents, and gonads. A comprehensive list of tissues was preserved and processed for histopathology. </w:t>
      </w:r>
    </w:p>
    <w:p w14:paraId="7BCD009E" w14:textId="77777777" w:rsidR="00785714" w:rsidRPr="00D03C4D" w:rsidRDefault="00785714" w:rsidP="00571A9D">
      <w:pPr>
        <w:widowControl/>
        <w:rPr>
          <w:lang w:bidi="ar-SA"/>
        </w:rPr>
      </w:pPr>
    </w:p>
    <w:p w14:paraId="029DACA1" w14:textId="77777777" w:rsidR="00785714" w:rsidRPr="00CD3344" w:rsidRDefault="00785714" w:rsidP="00571A9D">
      <w:pPr>
        <w:widowControl/>
        <w:rPr>
          <w:lang w:bidi="ar-SA"/>
        </w:rPr>
      </w:pPr>
      <w:r w:rsidRPr="00D03C4D">
        <w:rPr>
          <w:lang w:bidi="ar-SA"/>
        </w:rPr>
        <w:lastRenderedPageBreak/>
        <w:t xml:space="preserve">There were no deaths attributed to the test material in rats dosed with </w:t>
      </w:r>
      <w:r w:rsidRPr="00D03C4D">
        <w:rPr>
          <w:rFonts w:cs="Arial"/>
          <w:lang w:bidi="ar-SA"/>
        </w:rPr>
        <w:t>≤</w:t>
      </w:r>
      <w:r w:rsidRPr="00D03C4D">
        <w:rPr>
          <w:lang w:bidi="ar-SA"/>
        </w:rPr>
        <w:t xml:space="preserve"> 1500 mg/kg bw/day L-carnitine chloride. However in the 5000 mg/kg bw/day group, deaths of 17/25 males and 18/25 females were attributed to adverse effects of the test </w:t>
      </w:r>
      <w:r>
        <w:rPr>
          <w:lang w:bidi="ar-SA"/>
        </w:rPr>
        <w:t xml:space="preserve">material. </w:t>
      </w:r>
      <w:r w:rsidRPr="00D03C4D">
        <w:rPr>
          <w:lang w:bidi="ar-SA"/>
        </w:rPr>
        <w:t xml:space="preserve">Clinical signs of loose faeces, attributed to dosing with L-carnitine chloride were observed only in groups dosed with </w:t>
      </w:r>
      <w:r w:rsidRPr="00D03C4D">
        <w:rPr>
          <w:rFonts w:cs="Arial"/>
          <w:lang w:bidi="ar-SA"/>
        </w:rPr>
        <w:t>≥ 1500 mg/kg bw/day. There were few other clinical signs, and none attributed to the test material, in rats dosed with ≤1500 mg/kg bw/day. Treatment had no effect on ophthalmological findings.</w:t>
      </w:r>
    </w:p>
    <w:p w14:paraId="75F46072" w14:textId="77777777" w:rsidR="00785714" w:rsidRPr="00D03C4D" w:rsidRDefault="00785714" w:rsidP="00571A9D">
      <w:pPr>
        <w:widowControl/>
        <w:rPr>
          <w:lang w:bidi="ar-SA"/>
        </w:rPr>
      </w:pPr>
      <w:r w:rsidRPr="00D03C4D">
        <w:rPr>
          <w:rFonts w:cs="Arial"/>
          <w:lang w:bidi="ar-SA"/>
        </w:rPr>
        <w:t xml:space="preserve"> </w:t>
      </w:r>
    </w:p>
    <w:p w14:paraId="3B24EBF4" w14:textId="77777777" w:rsidR="00785714" w:rsidRPr="00D03C4D" w:rsidRDefault="00785714" w:rsidP="00571A9D">
      <w:pPr>
        <w:widowControl/>
        <w:rPr>
          <w:lang w:bidi="ar-SA"/>
        </w:rPr>
      </w:pPr>
      <w:r w:rsidRPr="00D03C4D">
        <w:rPr>
          <w:lang w:bidi="ar-SA"/>
        </w:rPr>
        <w:t>A significant treatment-related negative effect on food consumption and bodyweight gain was observed in males assigned to the main cohort, and both males and females in the recovery cohort, in the 1500 mg/kg bw/day group. This negative effect was reversible during the recovery period. Water intake was increased during the dosing phase in both male and female rats in the 1500 mg/kg bw/day group, but this effect was reversible during the recovery phase.</w:t>
      </w:r>
      <w:r w:rsidRPr="00D03C4D">
        <w:t xml:space="preserve"> </w:t>
      </w:r>
    </w:p>
    <w:p w14:paraId="127CC7D6" w14:textId="77777777" w:rsidR="00785714" w:rsidRPr="00D03C4D" w:rsidRDefault="00785714" w:rsidP="00571A9D">
      <w:pPr>
        <w:widowControl/>
        <w:rPr>
          <w:lang w:bidi="ar-SA"/>
        </w:rPr>
      </w:pPr>
    </w:p>
    <w:p w14:paraId="580B0833" w14:textId="77777777" w:rsidR="00785714" w:rsidRPr="00D03C4D" w:rsidRDefault="00785714" w:rsidP="00571A9D">
      <w:pPr>
        <w:widowControl/>
        <w:rPr>
          <w:lang w:bidi="ar-SA"/>
        </w:rPr>
      </w:pPr>
      <w:r w:rsidRPr="00D03C4D">
        <w:rPr>
          <w:lang w:bidi="ar-SA"/>
        </w:rPr>
        <w:t xml:space="preserve">Treatment-related changes in urine of males treated with 1500 mg/kg bw/day were increased specific gravity, potassium and chloride, and decreases in sodium and in pH. Females in the same dose group also showed an increase in chloride and a decrease in pH. These effects were reversible during the recovery period. Rats in the 1500 mg/kg bw/day group also had significant decreases in group mean total WBC and lymphocyte count, which were reversible. Significant differences in group mean blood biochemistry values observed in females but not males were increased total protein, albumin, total cholesterol, triglycerides, creatinine and LDH in the 1500 mg/kg bw/day group, and increased phospholipids at </w:t>
      </w:r>
      <w:r w:rsidRPr="00D03C4D">
        <w:rPr>
          <w:rFonts w:cs="Arial"/>
          <w:lang w:bidi="ar-SA"/>
        </w:rPr>
        <w:t>≥</w:t>
      </w:r>
      <w:r w:rsidRPr="00D03C4D">
        <w:rPr>
          <w:lang w:bidi="ar-SA"/>
        </w:rPr>
        <w:t xml:space="preserve"> 450 mg/kg bw/day. Both sexes in the 1500 mg/kg bw/day group had significantly decreased group mean serum sodium and chloride compared to sex-matched controls. At the end of the recovery period, group mean serum creatinine of the 1500 mg/kg bw/day females was lower than that of female controls, although LDH was higher. </w:t>
      </w:r>
    </w:p>
    <w:p w14:paraId="3A4673DB" w14:textId="77777777" w:rsidR="00785714" w:rsidRPr="00D03C4D" w:rsidRDefault="00785714" w:rsidP="00571A9D">
      <w:pPr>
        <w:widowControl/>
        <w:rPr>
          <w:lang w:bidi="ar-SA"/>
        </w:rPr>
      </w:pPr>
    </w:p>
    <w:p w14:paraId="3BD75E8B" w14:textId="77777777" w:rsidR="00785714" w:rsidRPr="00D03C4D" w:rsidRDefault="00785714" w:rsidP="00571A9D">
      <w:pPr>
        <w:widowControl/>
        <w:rPr>
          <w:lang w:bidi="ar-SA"/>
        </w:rPr>
      </w:pPr>
      <w:r w:rsidRPr="00D03C4D">
        <w:rPr>
          <w:lang w:bidi="ar-SA"/>
        </w:rPr>
        <w:t xml:space="preserve">Group mean absolute organ weights of treated rats generally showed no effects that could plausibly be treatment-related, with the exception of caecal weights of males treated with </w:t>
      </w:r>
      <w:r w:rsidRPr="00D03C4D">
        <w:rPr>
          <w:rFonts w:cs="Arial"/>
          <w:lang w:bidi="ar-SA"/>
        </w:rPr>
        <w:t>≥</w:t>
      </w:r>
      <w:r w:rsidRPr="00D03C4D">
        <w:rPr>
          <w:lang w:bidi="ar-SA"/>
        </w:rPr>
        <w:t xml:space="preserve"> 450 mg/kg bw/day and females treated with 1500 mg/kg bw/day. The caecum-to-bodyweight ratios for those groups were also increased. In males but not females in the 1500 mg/kg bw/day, group mean liver and kidney weights, relative to body weights, were also significantly higher than those of controls. In the recovery cohorts, the only one of these effects that was still apparent was elevated group mean relative caecal weight in the 1500 mg/kg bw/day males. </w:t>
      </w:r>
    </w:p>
    <w:p w14:paraId="5052C6FF" w14:textId="77777777" w:rsidR="00785714" w:rsidRPr="00D03C4D" w:rsidRDefault="00785714" w:rsidP="00571A9D">
      <w:pPr>
        <w:widowControl/>
        <w:rPr>
          <w:lang w:bidi="ar-SA"/>
        </w:rPr>
      </w:pPr>
    </w:p>
    <w:p w14:paraId="12A90FF0" w14:textId="77777777" w:rsidR="00785714" w:rsidRPr="00D03C4D" w:rsidRDefault="00785714" w:rsidP="00571A9D">
      <w:pPr>
        <w:widowControl/>
        <w:rPr>
          <w:lang w:bidi="ar-SA"/>
        </w:rPr>
      </w:pPr>
      <w:r w:rsidRPr="00D03C4D">
        <w:rPr>
          <w:lang w:bidi="ar-SA"/>
        </w:rPr>
        <w:t xml:space="preserve">Grossly, distension of the caecum was observed in the majority of rats of both sexes in the 1500 mg/kg bw/day group at the end of the treatment period, and this was also apparent in the one surviving male rat in the 5000 mg/kg bw/day group. There were no other treatment-related gross lesions in the rats that survived to scheduled termination, and no treatment-related histopathological findings. </w:t>
      </w:r>
    </w:p>
    <w:p w14:paraId="7AD521DB" w14:textId="77777777" w:rsidR="00785714" w:rsidRPr="00D03C4D" w:rsidRDefault="00785714" w:rsidP="00571A9D">
      <w:pPr>
        <w:widowControl/>
        <w:rPr>
          <w:lang w:bidi="ar-SA"/>
        </w:rPr>
      </w:pPr>
    </w:p>
    <w:p w14:paraId="5D80CD30" w14:textId="77777777" w:rsidR="00785714" w:rsidRPr="00D03C4D" w:rsidRDefault="00785714" w:rsidP="00571A9D">
      <w:pPr>
        <w:widowControl/>
        <w:rPr>
          <w:lang w:bidi="ar-SA"/>
        </w:rPr>
      </w:pPr>
      <w:r w:rsidRPr="00D03C4D">
        <w:rPr>
          <w:lang w:bidi="ar-SA"/>
        </w:rPr>
        <w:t xml:space="preserve">The NOAEL for this study was 450 mg/kg bw/day, </w:t>
      </w:r>
      <w:r>
        <w:rPr>
          <w:lang w:bidi="ar-SA"/>
        </w:rPr>
        <w:t>o</w:t>
      </w:r>
      <w:r w:rsidRPr="00D03C4D">
        <w:rPr>
          <w:lang w:bidi="ar-SA"/>
        </w:rPr>
        <w:t>n the basis of the decreased food consumption and bodyweight gai</w:t>
      </w:r>
      <w:r>
        <w:rPr>
          <w:lang w:bidi="ar-SA"/>
        </w:rPr>
        <w:t>n observed at 1500 mg/kg bw/day.</w:t>
      </w:r>
      <w:r w:rsidRPr="00D03C4D">
        <w:rPr>
          <w:lang w:bidi="ar-SA"/>
        </w:rPr>
        <w:t xml:space="preserve"> </w:t>
      </w:r>
    </w:p>
    <w:p w14:paraId="314C8361" w14:textId="77777777" w:rsidR="00785714" w:rsidRPr="00D03C4D" w:rsidRDefault="00785714" w:rsidP="00571A9D">
      <w:pPr>
        <w:widowControl/>
        <w:rPr>
          <w:lang w:bidi="ar-SA"/>
        </w:rPr>
      </w:pPr>
    </w:p>
    <w:p w14:paraId="5F58EB04" w14:textId="54D04D0D" w:rsidR="00785714" w:rsidRPr="00D03C4D" w:rsidRDefault="00785714" w:rsidP="00571A9D">
      <w:pPr>
        <w:widowControl/>
        <w:rPr>
          <w:i/>
          <w:lang w:bidi="ar-SA"/>
        </w:rPr>
      </w:pPr>
      <w:r w:rsidRPr="00D03C4D">
        <w:rPr>
          <w:i/>
          <w:lang w:bidi="ar-SA"/>
        </w:rPr>
        <w:t xml:space="preserve">13-week oral capsule study of L-carnitine chloride in Beagle dogs (Kikumori </w:t>
      </w:r>
      <w:r w:rsidR="000B7678">
        <w:rPr>
          <w:i/>
          <w:lang w:bidi="ar-SA"/>
        </w:rPr>
        <w:t>et al. 1</w:t>
      </w:r>
      <w:r w:rsidRPr="00D03C4D">
        <w:rPr>
          <w:i/>
          <w:lang w:bidi="ar-SA"/>
        </w:rPr>
        <w:t>988b)</w:t>
      </w:r>
    </w:p>
    <w:p w14:paraId="713CDCEE" w14:textId="77777777" w:rsidR="00785714" w:rsidRPr="00D03C4D" w:rsidRDefault="00785714" w:rsidP="00571A9D">
      <w:pPr>
        <w:widowControl/>
        <w:rPr>
          <w:lang w:bidi="ar-SA"/>
        </w:rPr>
      </w:pPr>
    </w:p>
    <w:p w14:paraId="46F4868E" w14:textId="77777777" w:rsidR="00785714" w:rsidRDefault="00785714" w:rsidP="00571A9D">
      <w:pPr>
        <w:widowControl/>
        <w:rPr>
          <w:lang w:bidi="ar-SA"/>
        </w:rPr>
      </w:pPr>
      <w:r w:rsidRPr="00D03C4D">
        <w:rPr>
          <w:lang w:bidi="ar-SA"/>
        </w:rPr>
        <w:t xml:space="preserve">The Beagles used for this study were approximately 6 months old and ranged in bodyweight from 6 to 12 kg. Dogs were individually housed under standard laboratory environmental conditions. Food and water were provided </w:t>
      </w:r>
      <w:r w:rsidRPr="00D03C4D">
        <w:rPr>
          <w:i/>
          <w:lang w:bidi="ar-SA"/>
        </w:rPr>
        <w:t>ad libitum</w:t>
      </w:r>
      <w:r w:rsidRPr="00D03C4D">
        <w:rPr>
          <w:lang w:bidi="ar-SA"/>
        </w:rPr>
        <w:t xml:space="preserve">. Of 25 dogs/sex acclimated in the laboratory, 22/sex were assigned to the study. Dose levels of L-carnitine chloride were 0, 50, 200 and 800 mg/kg bw/day. Six dogs/sex were assigned to the 0, 200 and 800 mg/kg bw/day groups, and of these dogs, 2/sex were assigned to the recovery cohort. The 50 </w:t>
      </w:r>
      <w:r w:rsidRPr="00D03C4D">
        <w:rPr>
          <w:lang w:bidi="ar-SA"/>
        </w:rPr>
        <w:lastRenderedPageBreak/>
        <w:t xml:space="preserve">mg/kg bw/day group comprised 4 dogs/sex and there was no recovery cohort for this group. The test material was weighed into gelatin capsules and administered daily at a rate of one capsule/day. Dogs in the control group were administered an empty gelatin capsule daily. </w:t>
      </w:r>
    </w:p>
    <w:p w14:paraId="2DDAC53C" w14:textId="77777777" w:rsidR="00785714" w:rsidRPr="00D03C4D" w:rsidRDefault="00785714" w:rsidP="00571A9D">
      <w:pPr>
        <w:widowControl/>
        <w:rPr>
          <w:lang w:bidi="ar-SA"/>
        </w:rPr>
      </w:pPr>
    </w:p>
    <w:p w14:paraId="3CCD6BDC" w14:textId="77777777" w:rsidR="00785714" w:rsidRPr="00D03C4D" w:rsidRDefault="00785714" w:rsidP="00571A9D">
      <w:pPr>
        <w:widowControl/>
        <w:rPr>
          <w:lang w:bidi="ar-SA"/>
        </w:rPr>
      </w:pPr>
      <w:r w:rsidRPr="00D03C4D">
        <w:rPr>
          <w:lang w:bidi="ar-SA"/>
        </w:rPr>
        <w:t xml:space="preserve">In-life endpoints included clinical observations, food consumption, water intake, and weekly bodyweight. Electrocardiographs were recorded pre-study, on Day 7, during Week 13 and during Week 5 of the recovery phase. Ophthalmological examinations, otological examinations, urine collection and blood collection were conducted according to the same schedule as the electrocardiography. Four dogs/sex/group were killed at the end of the dosing phase in Week 13, and the remaining dogs were killed at the end of five weeks of the recovery phase. Dogs were subject to detailed gross necropsy, and fresh organ weights were recorded for brain, pituitary gland, thyroid gland, submandibular salivary gland, thymus, heart, lungs, liver, kidneys, adrenal glands, spleen, and testes or ovaries according to sex. Tissues were preserved for routine HE histopathology from cerebrum, cerebellum, liver, kidneys, lungs, heart, spleen, pituitary gland, thyroid gland, adrenal glands, thymus, submandibular salivary gland, testes, ovaries, prostate gland, uterus, mesenteric lymph nodes, bladder, pancreas, stomach, duodenum, jejunum, ileum, caecum, colon, rectum, femoral bone marrow, parathyroid and eyeballs, including optic nerve. </w:t>
      </w:r>
    </w:p>
    <w:p w14:paraId="2FAFA154" w14:textId="77777777" w:rsidR="00785714" w:rsidRPr="00D03C4D" w:rsidRDefault="00785714" w:rsidP="00571A9D">
      <w:pPr>
        <w:widowControl/>
        <w:rPr>
          <w:lang w:bidi="ar-SA"/>
        </w:rPr>
      </w:pPr>
    </w:p>
    <w:p w14:paraId="7FCCD526" w14:textId="77777777" w:rsidR="00785714" w:rsidRPr="00D03C4D" w:rsidRDefault="00785714" w:rsidP="00571A9D">
      <w:pPr>
        <w:widowControl/>
        <w:rPr>
          <w:lang w:bidi="ar-SA"/>
        </w:rPr>
      </w:pPr>
      <w:r w:rsidRPr="00D03C4D">
        <w:rPr>
          <w:lang w:bidi="ar-SA"/>
        </w:rPr>
        <w:t xml:space="preserve">There were no unscheduled deaths </w:t>
      </w:r>
      <w:r>
        <w:rPr>
          <w:lang w:bidi="ar-SA"/>
        </w:rPr>
        <w:t>during</w:t>
      </w:r>
      <w:r w:rsidRPr="00D03C4D">
        <w:rPr>
          <w:lang w:bidi="ar-SA"/>
        </w:rPr>
        <w:t xml:space="preserve"> the study, and treatment had no effects on food consumption, water intake, electrocardiographic findings, ophthalmologic findings, otological findings, urinalysis, haematology or serum biochemistry. Vomiting at around 30 min after dosing, and diarrhoea at around 4 h after dosing, were frequently observed in the 800 mg/kg bw/day group, with no apparent sex predilection. Vomiting and less frequently diarrhoea were also observed in the control, 50 and 200 mg/kg bw/day groups, but these observations were not more common in dogs treated with </w:t>
      </w:r>
      <w:r w:rsidRPr="00D03C4D">
        <w:rPr>
          <w:rFonts w:cs="Arial"/>
          <w:lang w:bidi="ar-SA"/>
        </w:rPr>
        <w:t>≤</w:t>
      </w:r>
      <w:r w:rsidRPr="00D03C4D">
        <w:rPr>
          <w:lang w:bidi="ar-SA"/>
        </w:rPr>
        <w:t xml:space="preserve">200 mg/kg bw/day than in controls. Females in the 800 mg/kg bw/day group showed a slightly lower group mean bodyweight gain than control females, but this did not reach statistical significance and there was no </w:t>
      </w:r>
      <w:r>
        <w:rPr>
          <w:lang w:bidi="ar-SA"/>
        </w:rPr>
        <w:t xml:space="preserve">corresponding effect in males. </w:t>
      </w:r>
      <w:r w:rsidRPr="00D03C4D">
        <w:rPr>
          <w:lang w:bidi="ar-SA"/>
        </w:rPr>
        <w:t xml:space="preserve">There were no test material-related findings on gross necropsy or histopathological examination, </w:t>
      </w:r>
      <w:r>
        <w:rPr>
          <w:lang w:bidi="ar-SA"/>
        </w:rPr>
        <w:t>or</w:t>
      </w:r>
      <w:r w:rsidRPr="00D03C4D">
        <w:rPr>
          <w:lang w:bidi="ar-SA"/>
        </w:rPr>
        <w:t xml:space="preserve"> treatment-related effects on absolute or relative organ weights. </w:t>
      </w:r>
    </w:p>
    <w:p w14:paraId="701A1780" w14:textId="77777777" w:rsidR="00785714" w:rsidRPr="00D03C4D" w:rsidRDefault="00785714" w:rsidP="00571A9D">
      <w:pPr>
        <w:widowControl/>
        <w:rPr>
          <w:lang w:bidi="ar-SA"/>
        </w:rPr>
      </w:pPr>
    </w:p>
    <w:p w14:paraId="34047DB7" w14:textId="77777777" w:rsidR="00785714" w:rsidRPr="00D03C4D" w:rsidRDefault="00785714" w:rsidP="00571A9D">
      <w:pPr>
        <w:widowControl/>
        <w:rPr>
          <w:lang w:bidi="ar-SA"/>
        </w:rPr>
      </w:pPr>
      <w:r w:rsidRPr="00D03C4D">
        <w:rPr>
          <w:lang w:bidi="ar-SA"/>
        </w:rPr>
        <w:t xml:space="preserve">The authors speculated that the timing of the vomiting relative to dosing, and the frequent finding of partially dissolved capsule in the vomitus, might indicate that the test material either directly irritated the gastric mucosa, or acted rapidly on the vomiting centre in the central nervous system after absorption. The authors noted that the vomiting and diarrhoea had no effects on body condition. </w:t>
      </w:r>
    </w:p>
    <w:p w14:paraId="2B57A4D5" w14:textId="77777777" w:rsidR="00785714" w:rsidRPr="00D03C4D" w:rsidRDefault="00785714" w:rsidP="00571A9D">
      <w:pPr>
        <w:widowControl/>
        <w:rPr>
          <w:lang w:bidi="ar-SA"/>
        </w:rPr>
      </w:pPr>
    </w:p>
    <w:p w14:paraId="5C5B4091" w14:textId="77777777" w:rsidR="00785714" w:rsidRPr="00D03C4D" w:rsidRDefault="00785714" w:rsidP="00571A9D">
      <w:pPr>
        <w:widowControl/>
        <w:rPr>
          <w:lang w:bidi="ar-SA"/>
        </w:rPr>
      </w:pPr>
      <w:r w:rsidRPr="00D03C4D">
        <w:rPr>
          <w:lang w:bidi="ar-SA"/>
        </w:rPr>
        <w:t xml:space="preserve">On the basis of the increased incidence of vomiting and diarrhoea, both of which showed a temporal relationship to dose administration, at 800 mg/kg bw/day, the </w:t>
      </w:r>
      <w:r>
        <w:rPr>
          <w:lang w:bidi="ar-SA"/>
        </w:rPr>
        <w:t>NOAEL was 200 mg/kg bw/day</w:t>
      </w:r>
      <w:r w:rsidRPr="00D03C4D">
        <w:rPr>
          <w:lang w:bidi="ar-SA"/>
        </w:rPr>
        <w:t xml:space="preserve">. </w:t>
      </w:r>
    </w:p>
    <w:p w14:paraId="33C8D591" w14:textId="77777777" w:rsidR="00785714" w:rsidRPr="00D03C4D" w:rsidRDefault="00785714" w:rsidP="00571A9D">
      <w:pPr>
        <w:widowControl/>
        <w:rPr>
          <w:lang w:bidi="ar-SA"/>
        </w:rPr>
      </w:pPr>
    </w:p>
    <w:p w14:paraId="3AB5DBD1" w14:textId="75EACE93" w:rsidR="00785714" w:rsidRPr="00D03C4D" w:rsidRDefault="00785714" w:rsidP="00571A9D">
      <w:pPr>
        <w:widowControl/>
        <w:rPr>
          <w:i/>
          <w:lang w:bidi="ar-SA"/>
        </w:rPr>
      </w:pPr>
      <w:r w:rsidRPr="00D03C4D">
        <w:rPr>
          <w:i/>
          <w:lang w:bidi="ar-SA"/>
        </w:rPr>
        <w:t xml:space="preserve">Nine-month dietary study of propionyl L-carnitine in hyperlipaemic rabbits (Spagnoli </w:t>
      </w:r>
      <w:r w:rsidR="000B7678">
        <w:rPr>
          <w:i/>
          <w:lang w:bidi="ar-SA"/>
        </w:rPr>
        <w:t>et al. 1</w:t>
      </w:r>
      <w:r w:rsidRPr="00D03C4D">
        <w:rPr>
          <w:i/>
          <w:lang w:bidi="ar-SA"/>
        </w:rPr>
        <w:t xml:space="preserve">995). </w:t>
      </w:r>
    </w:p>
    <w:p w14:paraId="6DBEA6FB" w14:textId="77777777" w:rsidR="00785714" w:rsidRPr="00D03C4D" w:rsidRDefault="00785714" w:rsidP="00571A9D">
      <w:pPr>
        <w:widowControl/>
        <w:rPr>
          <w:i/>
          <w:lang w:bidi="ar-SA"/>
        </w:rPr>
      </w:pPr>
    </w:p>
    <w:p w14:paraId="4618E504" w14:textId="77777777" w:rsidR="00785714" w:rsidRPr="00D03C4D" w:rsidRDefault="00785714" w:rsidP="00571A9D">
      <w:pPr>
        <w:widowControl/>
        <w:rPr>
          <w:lang w:bidi="ar-SA"/>
        </w:rPr>
      </w:pPr>
      <w:r w:rsidRPr="00D03C4D">
        <w:rPr>
          <w:lang w:bidi="ar-SA"/>
        </w:rPr>
        <w:t xml:space="preserve">Subjects of this study were NZW rabbits that were already aged, in the range 5 to 6 years old, at study start. Rabbits were individually housed, although other environmental conditions are not specified. Both male and female rabbits were used. Prior to commencement of the study, 25 rabbits were fed a standard diet enriched with 0.2% cholesterol, while a further 10 rabbits received the standard diet without cholesterol. After one month, blood was collected and rabbits that showed no response to the cholesterol supplement were eliminated from selection for the study. The rabbits that responded were assigned to groups that did not differ with regard to age, plasma cholesterol and triglycerides, and arterial pressure. Sex distribution across the groups is not specified. Seven rabbits were assigned to the group fed </w:t>
      </w:r>
      <w:r w:rsidRPr="00D03C4D">
        <w:rPr>
          <w:lang w:bidi="ar-SA"/>
        </w:rPr>
        <w:lastRenderedPageBreak/>
        <w:t>the cholesterol-rich diet. A further seven were assigned to a group fed the cholesterol-rich diet and also received 100 mg/k</w:t>
      </w:r>
      <w:r>
        <w:rPr>
          <w:lang w:bidi="ar-SA"/>
        </w:rPr>
        <w:t xml:space="preserve">g bw/day propionyl L-carnitine </w:t>
      </w:r>
      <w:r w:rsidRPr="00D03C4D">
        <w:rPr>
          <w:lang w:bidi="ar-SA"/>
        </w:rPr>
        <w:t xml:space="preserve">in their drinking water. Ten rabbits were assigned to a group that received the standard, unsupplemented diet but also received 100 mg/kg bw/day </w:t>
      </w:r>
      <w:r>
        <w:rPr>
          <w:lang w:bidi="ar-SA"/>
        </w:rPr>
        <w:t>propionyl L-carnitine</w:t>
      </w:r>
      <w:r w:rsidRPr="00D03C4D">
        <w:rPr>
          <w:lang w:bidi="ar-SA"/>
        </w:rPr>
        <w:t xml:space="preserve"> in their drinking water, and three rabbits were assigned to the final group, that received the standard unsupplemented diet and water. Food and water were provided </w:t>
      </w:r>
      <w:r w:rsidRPr="00D03C4D">
        <w:rPr>
          <w:i/>
          <w:lang w:bidi="ar-SA"/>
        </w:rPr>
        <w:t>ad libitum</w:t>
      </w:r>
      <w:r w:rsidRPr="00D03C4D">
        <w:rPr>
          <w:lang w:bidi="ar-SA"/>
        </w:rPr>
        <w:t xml:space="preserve"> to all groups. </w:t>
      </w:r>
    </w:p>
    <w:p w14:paraId="4416B1C8" w14:textId="77777777" w:rsidR="00785714" w:rsidRPr="00D03C4D" w:rsidRDefault="00785714" w:rsidP="00571A9D">
      <w:pPr>
        <w:widowControl/>
        <w:rPr>
          <w:lang w:bidi="ar-SA"/>
        </w:rPr>
      </w:pPr>
    </w:p>
    <w:p w14:paraId="35AF0BA4" w14:textId="77777777" w:rsidR="00785714" w:rsidRPr="00D03C4D" w:rsidRDefault="00785714" w:rsidP="00571A9D">
      <w:pPr>
        <w:widowControl/>
        <w:rPr>
          <w:lang w:bidi="ar-SA"/>
        </w:rPr>
      </w:pPr>
      <w:r w:rsidRPr="00D03C4D">
        <w:rPr>
          <w:lang w:bidi="ar-SA"/>
        </w:rPr>
        <w:t xml:space="preserve">Rabbits were maintained on their respective food and water regimens for nine months. Water and food intake were measured daily, while body weights were determined monthly. Systemic arterial pressure was measured at study start and at intervals during the study. Fasted blood samples were collected at study start and at 1, 5 and 9 months for determination of </w:t>
      </w:r>
      <w:r>
        <w:rPr>
          <w:lang w:bidi="ar-SA"/>
        </w:rPr>
        <w:t>plasma concentration</w:t>
      </w:r>
      <w:r w:rsidRPr="00D03C4D">
        <w:rPr>
          <w:lang w:bidi="ar-SA"/>
        </w:rPr>
        <w:t>s of carnitine, lipoproteins, cholesterol, triglycerides, phospholipids, albumin and alanine aminotransferase activity. Rabbits were killed after nine months on study. Prior to scheduled killing, three rabbits/group were injected intravenously with 30 mg/kg bw bromodeoxyuridine. All rabbits were anaesthetised, perfused with Karnovsky’s fixative, and subject to necropsy with removal and post-fixation of aortas. Aortas were processed for histopathology and transmission electron microscopy. Histopathology include</w:t>
      </w:r>
      <w:r>
        <w:rPr>
          <w:lang w:bidi="ar-SA"/>
        </w:rPr>
        <w:t>d</w:t>
      </w:r>
      <w:r w:rsidRPr="00D03C4D">
        <w:rPr>
          <w:lang w:bidi="ar-SA"/>
        </w:rPr>
        <w:t xml:space="preserve"> morphometrical analysis to measure the extent of atherosclerotic lesions. Immunohistochemical studies of the cells of the aortic lesions were conducted using antibodies against rabbit macrophages, against smooth muscle actin, against human recombinant macrophage colony-stimulating factor (MCSF) which is antigenically related to rabbit MCSF, and against bromodeoxyuridine as a marker of proliferative activity. </w:t>
      </w:r>
    </w:p>
    <w:p w14:paraId="175E5F15" w14:textId="77777777" w:rsidR="00785714" w:rsidRPr="00D03C4D" w:rsidRDefault="00785714" w:rsidP="00571A9D">
      <w:pPr>
        <w:widowControl/>
        <w:rPr>
          <w:lang w:bidi="ar-SA"/>
        </w:rPr>
      </w:pPr>
    </w:p>
    <w:p w14:paraId="1A726D91" w14:textId="77777777" w:rsidR="00785714" w:rsidRPr="00D03C4D" w:rsidRDefault="00785714" w:rsidP="00571A9D">
      <w:pPr>
        <w:widowControl/>
        <w:rPr>
          <w:lang w:bidi="ar-SA"/>
        </w:rPr>
      </w:pPr>
      <w:r w:rsidRPr="00D03C4D">
        <w:rPr>
          <w:lang w:bidi="ar-SA"/>
        </w:rPr>
        <w:t xml:space="preserve">Four rabbits did not survive to the end of the study, due to diseases or injuries unrelated to the treatment. There were no significant gross findings in rabbits that did survive to scheduled necropsy. Treatment had no effect on mean systolic arterial pressure. Food consumption of the cholesterol-supplemented diet was lower than that of the standard diet, but there was no difference in food consumption between the rabbits fed the cholesterol supplement and drinking plain water, and the rabbits fed the cholesterol diet and drinking </w:t>
      </w:r>
      <w:r>
        <w:rPr>
          <w:lang w:bidi="ar-SA"/>
        </w:rPr>
        <w:t>propionyl L-carnitine</w:t>
      </w:r>
      <w:r w:rsidRPr="00D03C4D">
        <w:rPr>
          <w:lang w:bidi="ar-SA"/>
        </w:rPr>
        <w:t>-supplemented water. Treatments had no effect on plasma albumin or ALT activity. The diet supplemented with cholesterol resulted in a significant increase in group mean plasma cholesterol, ranging from three</w:t>
      </w:r>
      <w:r>
        <w:rPr>
          <w:lang w:bidi="ar-SA"/>
        </w:rPr>
        <w:t>-</w:t>
      </w:r>
      <w:r w:rsidRPr="00D03C4D">
        <w:rPr>
          <w:lang w:bidi="ar-SA"/>
        </w:rPr>
        <w:t>fold to four</w:t>
      </w:r>
      <w:r>
        <w:rPr>
          <w:lang w:bidi="ar-SA"/>
        </w:rPr>
        <w:t>-</w:t>
      </w:r>
      <w:r w:rsidRPr="00D03C4D">
        <w:rPr>
          <w:lang w:bidi="ar-SA"/>
        </w:rPr>
        <w:t xml:space="preserve">fold that of rabbits on the standard diet, and </w:t>
      </w:r>
      <w:r>
        <w:rPr>
          <w:lang w:bidi="ar-SA"/>
        </w:rPr>
        <w:t>propionyl L-carnitine</w:t>
      </w:r>
      <w:r w:rsidRPr="00D03C4D">
        <w:rPr>
          <w:lang w:bidi="ar-SA"/>
        </w:rPr>
        <w:t xml:space="preserve"> treatment did not have a significant effect on this increase. Treatment with with cholesterol-supplemented diet also</w:t>
      </w:r>
      <w:r>
        <w:rPr>
          <w:lang w:bidi="ar-SA"/>
        </w:rPr>
        <w:t xml:space="preserve"> resulted in a marked increase </w:t>
      </w:r>
      <w:r w:rsidRPr="00D03C4D">
        <w:rPr>
          <w:lang w:bidi="ar-SA"/>
        </w:rPr>
        <w:t>(143%) in plasma triglycerides, compared to that o</w:t>
      </w:r>
      <w:r>
        <w:rPr>
          <w:lang w:bidi="ar-SA"/>
        </w:rPr>
        <w:t>f controls on the standard diet. However</w:t>
      </w:r>
      <w:r w:rsidRPr="00D03C4D">
        <w:rPr>
          <w:lang w:bidi="ar-SA"/>
        </w:rPr>
        <w:t xml:space="preserve"> this effect was decreased by concurrent administration of </w:t>
      </w:r>
      <w:r>
        <w:rPr>
          <w:lang w:bidi="ar-SA"/>
        </w:rPr>
        <w:t>propionyl L-carnitine</w:t>
      </w:r>
      <w:r w:rsidRPr="00D03C4D">
        <w:rPr>
          <w:lang w:bidi="ar-SA"/>
        </w:rPr>
        <w:t xml:space="preserve">, to the extent that total plasma triglyceride was lower in rabbits fed the cholesterol supplement but also given </w:t>
      </w:r>
      <w:r>
        <w:rPr>
          <w:lang w:bidi="ar-SA"/>
        </w:rPr>
        <w:t>propionyl L-carnitine</w:t>
      </w:r>
      <w:r w:rsidRPr="00D03C4D">
        <w:rPr>
          <w:lang w:bidi="ar-SA"/>
        </w:rPr>
        <w:t xml:space="preserve">, than in rabbits fed the standard diet. Group mean total plasma carnitine was significantly increased by administration of </w:t>
      </w:r>
      <w:r>
        <w:rPr>
          <w:lang w:bidi="ar-SA"/>
        </w:rPr>
        <w:t>propionyl L-carnitine</w:t>
      </w:r>
      <w:r w:rsidRPr="00D03C4D">
        <w:rPr>
          <w:lang w:bidi="ar-SA"/>
        </w:rPr>
        <w:t xml:space="preserve"> in the water. At the end of the experiment, the group mean total plasma carnitine of the group given both cholesterol and </w:t>
      </w:r>
      <w:r>
        <w:rPr>
          <w:lang w:bidi="ar-SA"/>
        </w:rPr>
        <w:t>propionyl L-carnitine</w:t>
      </w:r>
      <w:r w:rsidRPr="00D03C4D">
        <w:rPr>
          <w:lang w:bidi="ar-SA"/>
        </w:rPr>
        <w:t xml:space="preserve"> was 181%, and group mean total plasma carnitine of the rabbits fed the standard diet but administered </w:t>
      </w:r>
      <w:r>
        <w:rPr>
          <w:lang w:bidi="ar-SA"/>
        </w:rPr>
        <w:t>propionyl L-carnitine</w:t>
      </w:r>
      <w:r w:rsidRPr="00D03C4D">
        <w:rPr>
          <w:lang w:bidi="ar-SA"/>
        </w:rPr>
        <w:t xml:space="preserve"> was 154%, that of rabbits fed cholesterol but not given </w:t>
      </w:r>
      <w:r>
        <w:rPr>
          <w:lang w:bidi="ar-SA"/>
        </w:rPr>
        <w:t>propionyl L-carnitine</w:t>
      </w:r>
      <w:r w:rsidRPr="00D03C4D">
        <w:rPr>
          <w:lang w:bidi="ar-SA"/>
        </w:rPr>
        <w:t xml:space="preserve">. </w:t>
      </w:r>
    </w:p>
    <w:p w14:paraId="32E20B59" w14:textId="77777777" w:rsidR="00785714" w:rsidRPr="00D03C4D" w:rsidRDefault="00785714" w:rsidP="00571A9D">
      <w:pPr>
        <w:widowControl/>
        <w:rPr>
          <w:lang w:bidi="ar-SA"/>
        </w:rPr>
      </w:pPr>
    </w:p>
    <w:p w14:paraId="24DA2D99" w14:textId="07B16268" w:rsidR="00785714" w:rsidRPr="00D03C4D" w:rsidRDefault="00785714" w:rsidP="00571A9D">
      <w:pPr>
        <w:widowControl/>
        <w:rPr>
          <w:lang w:bidi="ar-SA"/>
        </w:rPr>
      </w:pPr>
      <w:r w:rsidRPr="00D03C4D">
        <w:rPr>
          <w:lang w:bidi="ar-SA"/>
        </w:rPr>
        <w:t>The i</w:t>
      </w:r>
      <w:r>
        <w:rPr>
          <w:lang w:bidi="ar-SA"/>
        </w:rPr>
        <w:t>n</w:t>
      </w:r>
      <w:r w:rsidRPr="00D03C4D">
        <w:rPr>
          <w:lang w:bidi="ar-SA"/>
        </w:rPr>
        <w:t>timal surface of aortas of the rabbits not fed the cholesterol supplement were grossly free of lesions, while rabbits in both groups that had been fed the cholesterol-supplemented diet had focal raised plaques, which histologically had the features of atherosclerosis including foam cells, cholesterol clefts and smooth muscle cells</w:t>
      </w:r>
      <w:r w:rsidR="0055564D">
        <w:rPr>
          <w:lang w:bidi="ar-SA"/>
        </w:rPr>
        <w:t xml:space="preserve">. </w:t>
      </w:r>
      <w:r w:rsidRPr="00D03C4D">
        <w:rPr>
          <w:lang w:bidi="ar-SA"/>
        </w:rPr>
        <w:t xml:space="preserve">Morphometric analysis showed that the group fed the cholesterol-supplemented diet, but given plain water to drink, had a higher percentage (321%) of areas in the aorta that stained with lipid stain Sudan III than the group fed the cholesterol-supplemented diet but also given </w:t>
      </w:r>
      <w:r>
        <w:rPr>
          <w:lang w:bidi="ar-SA"/>
        </w:rPr>
        <w:t>propionyl L-carnitine</w:t>
      </w:r>
      <w:r w:rsidRPr="00D03C4D">
        <w:rPr>
          <w:lang w:bidi="ar-SA"/>
        </w:rPr>
        <w:t xml:space="preserve"> in water. </w:t>
      </w:r>
    </w:p>
    <w:p w14:paraId="61141F5F" w14:textId="77777777" w:rsidR="00785714" w:rsidRPr="00D03C4D" w:rsidRDefault="00785714" w:rsidP="00571A9D">
      <w:pPr>
        <w:widowControl/>
        <w:rPr>
          <w:lang w:bidi="ar-SA"/>
        </w:rPr>
      </w:pPr>
    </w:p>
    <w:p w14:paraId="5C0462B7" w14:textId="77777777" w:rsidR="00785714" w:rsidRPr="00D03C4D" w:rsidRDefault="00785714" w:rsidP="00571A9D">
      <w:pPr>
        <w:widowControl/>
        <w:rPr>
          <w:lang w:bidi="ar-SA"/>
        </w:rPr>
      </w:pPr>
      <w:r w:rsidRPr="00D03C4D">
        <w:rPr>
          <w:lang w:bidi="ar-SA"/>
        </w:rPr>
        <w:lastRenderedPageBreak/>
        <w:t xml:space="preserve">Results of immunohistochemistry showed that rabbits fed the cholesterol-supplemented diet, but also given </w:t>
      </w:r>
      <w:r>
        <w:rPr>
          <w:lang w:bidi="ar-SA"/>
        </w:rPr>
        <w:t>propionyl L-carnitine</w:t>
      </w:r>
      <w:r w:rsidRPr="00D03C4D">
        <w:rPr>
          <w:lang w:bidi="ar-SA"/>
        </w:rPr>
        <w:t xml:space="preserve"> in water, had a significantly lower percentage (72%) of macrophages, but a significantly higher (156%) percentage of smooth muscle cells. Treatment </w:t>
      </w:r>
      <w:r>
        <w:rPr>
          <w:lang w:bidi="ar-SA"/>
        </w:rPr>
        <w:t>with</w:t>
      </w:r>
      <w:r w:rsidRPr="00D03C4D">
        <w:rPr>
          <w:lang w:bidi="ar-SA"/>
        </w:rPr>
        <w:t xml:space="preserve"> </w:t>
      </w:r>
      <w:r>
        <w:rPr>
          <w:lang w:bidi="ar-SA"/>
        </w:rPr>
        <w:t>propionyl L-carnitine</w:t>
      </w:r>
      <w:r w:rsidRPr="00D03C4D">
        <w:rPr>
          <w:lang w:bidi="ar-SA"/>
        </w:rPr>
        <w:t xml:space="preserve"> was associated  with significantly fewer (42%) nuclei positive for bromodeoxyuridine. Combined immunohistochemistry showed that both macrophages and smooth muscle cells labelled for bromodeoxyuridine. The majority of proliferating foam cells were labelled for MCSF and as macrophages, supporting the conclusion that they are foamy macrophages. </w:t>
      </w:r>
    </w:p>
    <w:p w14:paraId="2F4BF334" w14:textId="77777777" w:rsidR="00785714" w:rsidRPr="00D03C4D" w:rsidRDefault="00785714" w:rsidP="00571A9D">
      <w:pPr>
        <w:widowControl/>
        <w:rPr>
          <w:lang w:bidi="ar-SA"/>
        </w:rPr>
      </w:pPr>
    </w:p>
    <w:p w14:paraId="0FBDDAE0" w14:textId="77777777" w:rsidR="00785714" w:rsidRPr="00D03C4D" w:rsidRDefault="00785714" w:rsidP="00571A9D">
      <w:pPr>
        <w:widowControl/>
        <w:rPr>
          <w:i/>
          <w:lang w:bidi="ar-SA"/>
        </w:rPr>
      </w:pPr>
      <w:r>
        <w:rPr>
          <w:lang w:bidi="ar-SA"/>
        </w:rPr>
        <w:t>Under the conditions of this study, propionyl L-carnitine had</w:t>
      </w:r>
      <w:r w:rsidRPr="00D03C4D">
        <w:rPr>
          <w:lang w:bidi="ar-SA"/>
        </w:rPr>
        <w:t xml:space="preserve"> anti-atherogenic potential, leading to reduction in size and thickness of atherosclerotic plaques, and a lower level of proliferative activity of both macrophages and smooth muscle cells. </w:t>
      </w:r>
    </w:p>
    <w:p w14:paraId="018273B5" w14:textId="77777777" w:rsidR="00785714" w:rsidRPr="00D03C4D" w:rsidRDefault="00785714" w:rsidP="00571A9D">
      <w:pPr>
        <w:keepNext/>
        <w:widowControl/>
        <w:spacing w:before="240" w:after="240"/>
        <w:ind w:left="851" w:hanging="851"/>
        <w:outlineLvl w:val="3"/>
        <w:rPr>
          <w:b/>
          <w:bCs/>
          <w:i/>
          <w:iCs/>
          <w:szCs w:val="22"/>
          <w:lang w:bidi="ar-SA"/>
        </w:rPr>
      </w:pPr>
      <w:r w:rsidRPr="00D03C4D">
        <w:rPr>
          <w:b/>
          <w:bCs/>
          <w:i/>
          <w:iCs/>
          <w:szCs w:val="22"/>
          <w:lang w:bidi="ar-SA"/>
        </w:rPr>
        <w:t xml:space="preserve">Chronic studies; L-carnitine </w:t>
      </w:r>
    </w:p>
    <w:p w14:paraId="049DA04E" w14:textId="0D6F4586" w:rsidR="00785714" w:rsidRPr="00D03C4D" w:rsidRDefault="00785714" w:rsidP="00571A9D">
      <w:pPr>
        <w:widowControl/>
        <w:rPr>
          <w:i/>
          <w:lang w:bidi="ar-SA"/>
        </w:rPr>
      </w:pPr>
      <w:r w:rsidRPr="00D03C4D">
        <w:rPr>
          <w:i/>
          <w:lang w:bidi="ar-SA"/>
        </w:rPr>
        <w:t xml:space="preserve">Twelve month study of L-carnitine administered in drinking water to rats (Empl </w:t>
      </w:r>
      <w:r w:rsidR="000B7678">
        <w:rPr>
          <w:i/>
          <w:lang w:bidi="ar-SA"/>
        </w:rPr>
        <w:t xml:space="preserve">et al. </w:t>
      </w:r>
      <w:r w:rsidRPr="00D03C4D">
        <w:rPr>
          <w:i/>
          <w:lang w:bidi="ar-SA"/>
        </w:rPr>
        <w:t xml:space="preserve">2015; Weinert </w:t>
      </w:r>
      <w:r w:rsidR="000B7678">
        <w:rPr>
          <w:i/>
          <w:lang w:bidi="ar-SA"/>
        </w:rPr>
        <w:t xml:space="preserve">et al. </w:t>
      </w:r>
      <w:r w:rsidRPr="00D03C4D">
        <w:rPr>
          <w:i/>
          <w:lang w:bidi="ar-SA"/>
        </w:rPr>
        <w:t>2016)</w:t>
      </w:r>
    </w:p>
    <w:p w14:paraId="2E1B70A2" w14:textId="77777777" w:rsidR="00785714" w:rsidRPr="00D03C4D" w:rsidRDefault="00785714" w:rsidP="00571A9D">
      <w:pPr>
        <w:widowControl/>
        <w:rPr>
          <w:i/>
          <w:lang w:bidi="ar-SA"/>
        </w:rPr>
      </w:pPr>
    </w:p>
    <w:p w14:paraId="6DBCC0D6" w14:textId="77777777" w:rsidR="00785714" w:rsidRPr="00D03C4D" w:rsidRDefault="00785714" w:rsidP="00571A9D">
      <w:pPr>
        <w:widowControl/>
      </w:pPr>
      <w:r w:rsidRPr="00D03C4D">
        <w:t xml:space="preserve">The purpose of this study was to investigate whether chronic administration of L-carnitine affected the incidence of aberrant crypt foci (ACF) in the colon, and atherosclerotic lesions in the aorta, of rats. ACF are considered to be preneoplastic lesions associated with colorectal cancer. </w:t>
      </w:r>
    </w:p>
    <w:p w14:paraId="7D3EC551" w14:textId="77777777" w:rsidR="00785714" w:rsidRPr="00D03C4D" w:rsidRDefault="00785714" w:rsidP="00571A9D">
      <w:pPr>
        <w:widowControl/>
      </w:pPr>
    </w:p>
    <w:p w14:paraId="6C24A87D" w14:textId="77777777" w:rsidR="00785714" w:rsidRPr="00D03C4D" w:rsidRDefault="00785714" w:rsidP="00571A9D">
      <w:pPr>
        <w:widowControl/>
      </w:pPr>
      <w:r w:rsidRPr="00D03C4D">
        <w:t>Eighty male Fischer 344 DuCrl (F344) rats were used in this study. Rats were pair-housed in polycarbonate cages under standard laboratory environmental conditions. Rats were purchased at 5 to 6 weeks of age but because of an outbreak of sialodacryoadenitis virus during the prestudy acclimation period, the study did not commence until 5 weeks later. Rats were assigned, 20/group, to four groups. The drinking water of the control group was tap water, autoclaved to prevent microbial contamination. The other three groups received autoclaved drinking water supplemented with 1, 2 or 5 g L-carnitine per litre. The L-carnitine was Carnipure</w:t>
      </w:r>
      <w:r w:rsidRPr="00D03C4D">
        <w:rPr>
          <w:rFonts w:cs="Arial"/>
        </w:rPr>
        <w:t>®</w:t>
      </w:r>
      <w:r w:rsidRPr="00D03C4D">
        <w:t xml:space="preserve"> with a purity of 99.5 to 99.9%, and the stability of L-carnitine in water for 7 days, under experimental conditions, was confirmed. Measurements during the in-life phase included bodyweights, measured weekly, and water consumption, measured twice weekly. Urine was collected from 4 rats/group in the penultimate week of study that were individually housed in metabolism cages for 24 hours. Urine was analysed for </w:t>
      </w:r>
      <w:r w:rsidRPr="00D03C4D">
        <w:rPr>
          <w:i/>
        </w:rPr>
        <w:t>N</w:t>
      </w:r>
      <w:r w:rsidRPr="00D03C4D">
        <w:t xml:space="preserve">-nitrosodimethylamine (NDMA) concentration. After 52 weeks of continuous treatment, rats were decapitated under anaesthesia with collection of blood. The gastrointestinal tract was removed and preserved for examination for ACF. Fresh weights of liver, kidney and spleen were recorded, and heart, thoracic aorta and liver were preserved for histopathology. </w:t>
      </w:r>
    </w:p>
    <w:p w14:paraId="5560AB2F" w14:textId="77777777" w:rsidR="00785714" w:rsidRPr="00D03C4D" w:rsidRDefault="00785714" w:rsidP="00571A9D">
      <w:pPr>
        <w:widowControl/>
      </w:pPr>
    </w:p>
    <w:p w14:paraId="789419F0" w14:textId="7E483157" w:rsidR="00785714" w:rsidRPr="00D03C4D" w:rsidRDefault="00785714" w:rsidP="00571A9D">
      <w:pPr>
        <w:widowControl/>
      </w:pPr>
      <w:r w:rsidRPr="00D03C4D">
        <w:t xml:space="preserve">Plasma from blood collected when the rats were killed was later analysed (Weinert </w:t>
      </w:r>
      <w:r w:rsidR="000B7678">
        <w:t>et al. 2</w:t>
      </w:r>
      <w:r w:rsidRPr="00D03C4D">
        <w:t xml:space="preserve">016) to assess whether L carnitine supplementation changes overall metabolism or causes the formation of previously unknown metabolites. </w:t>
      </w:r>
    </w:p>
    <w:p w14:paraId="64B413A8" w14:textId="77777777" w:rsidR="00785714" w:rsidRPr="00D03C4D" w:rsidRDefault="00785714" w:rsidP="00571A9D">
      <w:pPr>
        <w:widowControl/>
      </w:pPr>
    </w:p>
    <w:p w14:paraId="6B62FD74" w14:textId="77777777" w:rsidR="00785714" w:rsidRPr="00D03C4D" w:rsidRDefault="00785714" w:rsidP="00571A9D">
      <w:pPr>
        <w:widowControl/>
      </w:pPr>
      <w:r w:rsidRPr="00D03C4D">
        <w:t>All rats in the 5 g/L group, and 19/20 rats in each of the other groups, survived to the scheduled end of the study. Supplementation with L-carnitine had no effect on group mean bodyweight or on the group mean values for weights of kidney, liver or spleen. The rats in the 5 g/L group had a slightly higher group mean daily water intake, approximately 4% higher than that of controls, a difference that was statistically significant. Calculated group mean intakes of L-carnitine for the 1, 2 and 5 g/L groups were 70.4, 140.8 and 351.9 mg/kg bw/day, respectively. Treatment with L-carnitine had no effect on the incidence of ACF or on the number of crypts per focus. No rats</w:t>
      </w:r>
      <w:r>
        <w:t xml:space="preserve"> developed any neoplasms of the</w:t>
      </w:r>
      <w:r w:rsidRPr="00D03C4D">
        <w:t xml:space="preserve"> gastrointestinal tract. Treatment with L-carnitine also had no effect on degenerative changes in the aorta; in fact, the only rat with foci of degeneration in the aorta was in the control group, and the lesion was not an atherosclerotic one. Background lesions that were frequently found in all </w:t>
      </w:r>
      <w:r w:rsidRPr="00D03C4D">
        <w:lastRenderedPageBreak/>
        <w:t xml:space="preserve">groups included lymphohistiocytic myocarditis, myocardial degeneration, myocardial fibrosis, suppurative necrotising hepatitis and bile duct hyperplasia, but treatment with L-carnitine had no effect on the incidence of any of these lesions. The authors noted that all these lesions are well-recognized to occur commonly in male rats of this strain. </w:t>
      </w:r>
    </w:p>
    <w:p w14:paraId="4FA23AC8" w14:textId="77777777" w:rsidR="00785714" w:rsidRPr="00D03C4D" w:rsidRDefault="00785714" w:rsidP="00571A9D">
      <w:pPr>
        <w:widowControl/>
      </w:pPr>
    </w:p>
    <w:p w14:paraId="1DB5FD60" w14:textId="77777777" w:rsidR="00785714" w:rsidRPr="00D03C4D" w:rsidRDefault="00785714" w:rsidP="00571A9D">
      <w:pPr>
        <w:widowControl/>
      </w:pPr>
      <w:r w:rsidRPr="006F3AF2">
        <w:t xml:space="preserve">Supplementation with L-carnitine did not affect urinary excretion of NDMA. The authors noted that there was considerable variation in urinary NDMA excretion between individual rats. L-carnitine supplementation did result in a dose-related increase in group mean plasma TMAO concentration. The group mean TMAO level of the 5 g/L group was 25.0 </w:t>
      </w:r>
      <w:r w:rsidRPr="006F3AF2">
        <w:rPr>
          <w:rFonts w:cs="Arial"/>
        </w:rPr>
        <w:t>µ</w:t>
      </w:r>
      <w:r w:rsidRPr="006F3AF2">
        <w:t xml:space="preserve">M, tenfold that of the control group, which was 2.5 </w:t>
      </w:r>
      <w:r w:rsidRPr="006F3AF2">
        <w:rPr>
          <w:rFonts w:cs="Arial"/>
        </w:rPr>
        <w:t>µ</w:t>
      </w:r>
      <w:r w:rsidRPr="006F3AF2">
        <w:t>M. Plasma concentrations of only 29 out of 359 metabolites measured showed statistically significant changes, and the induced changes were generally relatively small.</w:t>
      </w:r>
      <w:r w:rsidRPr="00D03C4D">
        <w:t xml:space="preserve"> </w:t>
      </w:r>
    </w:p>
    <w:p w14:paraId="69C602DF" w14:textId="77777777" w:rsidR="00785714" w:rsidRPr="00D03C4D" w:rsidRDefault="00785714" w:rsidP="00571A9D">
      <w:pPr>
        <w:widowControl/>
      </w:pPr>
    </w:p>
    <w:p w14:paraId="6C690B49" w14:textId="77777777" w:rsidR="00785714" w:rsidRPr="00D03C4D" w:rsidRDefault="00785714" w:rsidP="00571A9D">
      <w:pPr>
        <w:widowControl/>
      </w:pPr>
      <w:r>
        <w:t xml:space="preserve">The </w:t>
      </w:r>
      <w:r w:rsidRPr="00D03C4D">
        <w:t xml:space="preserve">chronic administration of L-carnitine to male F344 rats at doses </w:t>
      </w:r>
      <w:r w:rsidRPr="00D03C4D">
        <w:rPr>
          <w:rFonts w:cs="Arial"/>
        </w:rPr>
        <w:t>≤</w:t>
      </w:r>
      <w:r w:rsidRPr="00D03C4D">
        <w:t xml:space="preserve"> 351.9 mg/kg bw/day did not lead to any adverse effects on the colon or </w:t>
      </w:r>
      <w:r>
        <w:t xml:space="preserve">the incidence of cardiovascular lesions. </w:t>
      </w:r>
    </w:p>
    <w:p w14:paraId="14E2ED67" w14:textId="77777777" w:rsidR="00785714" w:rsidRPr="00D03C4D" w:rsidRDefault="00785714" w:rsidP="00571A9D">
      <w:pPr>
        <w:keepNext/>
        <w:widowControl/>
        <w:spacing w:before="240" w:after="240"/>
        <w:ind w:left="851" w:hanging="851"/>
        <w:outlineLvl w:val="3"/>
        <w:rPr>
          <w:b/>
          <w:bCs/>
          <w:i/>
          <w:iCs/>
          <w:szCs w:val="22"/>
          <w:lang w:bidi="ar-SA"/>
        </w:rPr>
      </w:pPr>
      <w:r w:rsidRPr="00D03C4D">
        <w:rPr>
          <w:b/>
          <w:bCs/>
          <w:i/>
          <w:iCs/>
          <w:szCs w:val="22"/>
          <w:lang w:bidi="ar-SA"/>
        </w:rPr>
        <w:t>Chronic studies; L-carnitine chloride</w:t>
      </w:r>
    </w:p>
    <w:p w14:paraId="60BA41E3" w14:textId="33BEB53E" w:rsidR="00785714" w:rsidRPr="00D03C4D" w:rsidRDefault="00785714" w:rsidP="00571A9D">
      <w:pPr>
        <w:widowControl/>
        <w:rPr>
          <w:i/>
          <w:lang w:bidi="ar-SA"/>
        </w:rPr>
      </w:pPr>
      <w:r w:rsidRPr="00D03C4D">
        <w:rPr>
          <w:i/>
          <w:lang w:bidi="ar-SA"/>
        </w:rPr>
        <w:t>Twelve month oral gavage study of L-carnitine chl</w:t>
      </w:r>
      <w:r>
        <w:rPr>
          <w:i/>
          <w:lang w:bidi="ar-SA"/>
        </w:rPr>
        <w:t xml:space="preserve">oride in rats (Kudow </w:t>
      </w:r>
      <w:r w:rsidR="000B7678">
        <w:rPr>
          <w:i/>
          <w:lang w:bidi="ar-SA"/>
        </w:rPr>
        <w:t>et al. 1</w:t>
      </w:r>
      <w:r>
        <w:rPr>
          <w:i/>
          <w:lang w:bidi="ar-SA"/>
        </w:rPr>
        <w:t>988b</w:t>
      </w:r>
      <w:r w:rsidRPr="00D03C4D">
        <w:rPr>
          <w:i/>
          <w:lang w:bidi="ar-SA"/>
        </w:rPr>
        <w:t>)</w:t>
      </w:r>
    </w:p>
    <w:p w14:paraId="647E8784" w14:textId="77777777" w:rsidR="00785714" w:rsidRPr="00D03C4D" w:rsidRDefault="00785714" w:rsidP="00571A9D">
      <w:pPr>
        <w:widowControl/>
        <w:rPr>
          <w:lang w:bidi="ar-SA"/>
        </w:rPr>
      </w:pPr>
    </w:p>
    <w:p w14:paraId="6521BBED" w14:textId="423E0A65" w:rsidR="00785714" w:rsidRPr="00D03C4D" w:rsidRDefault="00785714" w:rsidP="00571A9D">
      <w:pPr>
        <w:widowControl/>
        <w:rPr>
          <w:lang w:bidi="ar-SA"/>
        </w:rPr>
      </w:pPr>
      <w:r w:rsidRPr="00D03C4D">
        <w:rPr>
          <w:lang w:bidi="ar-SA"/>
        </w:rPr>
        <w:t xml:space="preserve">The subjects of this experiment were Crj:CD rats. They were purchased at 23-25 days old and acclimated for 8 days prior to study start. They were individually housed under standard laboratory environmental conditions and provided with </w:t>
      </w:r>
      <w:r w:rsidRPr="00D03C4D">
        <w:rPr>
          <w:i/>
          <w:lang w:bidi="ar-SA"/>
        </w:rPr>
        <w:t>ad libitum</w:t>
      </w:r>
      <w:r w:rsidRPr="00D03C4D">
        <w:rPr>
          <w:lang w:bidi="ar-SA"/>
        </w:rPr>
        <w:t xml:space="preserve"> access to food and water. Rats, 30/sex/group, were assigned to groups with dose levels of L-carnitine chloride of 0, 100, 272, 737 and 2000 mg/kg bw/day. The solvent, and negative control material, was distilled water. Dose administration was by daily oral gavage, at a volume of 5 mL/kg. Stability of the test solutions under the conditions of study was confirmed</w:t>
      </w:r>
      <w:r w:rsidR="0055564D">
        <w:rPr>
          <w:lang w:bidi="ar-SA"/>
        </w:rPr>
        <w:t xml:space="preserve">. </w:t>
      </w:r>
    </w:p>
    <w:p w14:paraId="5A335F4B" w14:textId="77777777" w:rsidR="00785714" w:rsidRPr="00D03C4D" w:rsidRDefault="00785714" w:rsidP="00571A9D">
      <w:pPr>
        <w:widowControl/>
        <w:rPr>
          <w:lang w:bidi="ar-SA"/>
        </w:rPr>
      </w:pPr>
    </w:p>
    <w:p w14:paraId="7FDBA52C" w14:textId="77777777" w:rsidR="00785714" w:rsidRPr="00D03C4D" w:rsidRDefault="00785714" w:rsidP="00571A9D">
      <w:pPr>
        <w:widowControl/>
        <w:rPr>
          <w:lang w:bidi="ar-SA"/>
        </w:rPr>
      </w:pPr>
      <w:r w:rsidRPr="00D03C4D">
        <w:rPr>
          <w:lang w:bidi="ar-SA"/>
        </w:rPr>
        <w:t>The duration of the dosing period was 12 months. Parameters determined during the in-life phase included clinical observations, bodyw</w:t>
      </w:r>
      <w:r>
        <w:rPr>
          <w:lang w:bidi="ar-SA"/>
        </w:rPr>
        <w:t>eight, food consumption and</w:t>
      </w:r>
      <w:r w:rsidRPr="00D03C4D">
        <w:rPr>
          <w:lang w:bidi="ar-SA"/>
        </w:rPr>
        <w:t xml:space="preserve"> water intake. On day 182 of the study and at the end of the study, rats were subject to ophthalmological examination and collection of urine. Prior to being killed at the end of the study, rats were deeply anaesthetised and blood was collected for haematology and biochemistry. All rats, both unscheduled deaths and those surviving to scheduled termination, were subject to detailed gross necropsy. Fresh organ weights were recorded at scheduled necropsies for liver, spleen, kidneys, heart, lungs, adrenal glands, thymus, pituitary gland, salivary glands, brain, and caecum with contents. In addition, fresh weights of testes, epididymides, and prostate gland were recorded at scheduled necropsies of males, and fresh weights of ovaries and uterus were recorded at scheduled necropsies of females. A comprehensive list of organs and tissues were preserved for histopathology from all rats, both unscheduled and scheduled deaths. Histopathological examination was limited to rats in the 0, 737 and 2000 mg/kg bw/day rats, with the exception of rats in the 100 and 272 mg/kg bw/day groups that died before the completion of the scheduled in-life phase. </w:t>
      </w:r>
    </w:p>
    <w:p w14:paraId="285C7C87" w14:textId="77777777" w:rsidR="00785714" w:rsidRPr="00D03C4D" w:rsidRDefault="00785714" w:rsidP="00571A9D">
      <w:pPr>
        <w:widowControl/>
        <w:rPr>
          <w:lang w:bidi="ar-SA"/>
        </w:rPr>
      </w:pPr>
    </w:p>
    <w:p w14:paraId="7F21FE1D" w14:textId="77777777" w:rsidR="00785714" w:rsidRPr="00D03C4D" w:rsidRDefault="00785714" w:rsidP="00571A9D">
      <w:pPr>
        <w:widowControl/>
        <w:rPr>
          <w:lang w:bidi="ar-SA"/>
        </w:rPr>
      </w:pPr>
      <w:r w:rsidRPr="00D03C4D">
        <w:rPr>
          <w:lang w:bidi="ar-SA"/>
        </w:rPr>
        <w:t>The unscheduled mortality rate in the 2000 mg/kg bw/day group was significantly higher than that of the control group. The rats in the 2000 mg/kg bw/day group also had increased incidence of abnormal clinical observations that included abnormal respiratory sounds, soft faeces and,</w:t>
      </w:r>
      <w:r>
        <w:rPr>
          <w:lang w:bidi="ar-SA"/>
        </w:rPr>
        <w:t xml:space="preserve"> in females, ‘loss of vigour’. </w:t>
      </w:r>
      <w:r w:rsidRPr="00D03C4D">
        <w:rPr>
          <w:lang w:bidi="ar-SA"/>
        </w:rPr>
        <w:t>Group mean bodyweight gain was significantly suppressed from week 25 for males, and week 21 for females, through to the end of the study. Corresponding, but not statistically significant, effects on bodyweight gain were observed in male rats dosed with 272 or 737 mg/kg bw/day and in female rats in the 737 mg/kg bw/day group. Food consumption was generally comparable between all groups, although there were a small number of weeks in which group mean food consumption was significantly decreased in male and/or female rats in the 2000 mg/kg bw/day group.</w:t>
      </w:r>
      <w:r>
        <w:rPr>
          <w:lang w:bidi="ar-SA"/>
        </w:rPr>
        <w:t xml:space="preserve"> Group </w:t>
      </w:r>
      <w:r>
        <w:rPr>
          <w:lang w:bidi="ar-SA"/>
        </w:rPr>
        <w:lastRenderedPageBreak/>
        <w:t>mean w</w:t>
      </w:r>
      <w:r w:rsidRPr="00D03C4D">
        <w:rPr>
          <w:lang w:bidi="ar-SA"/>
        </w:rPr>
        <w:t xml:space="preserve">ater intake of male rats in the 2000 mg/kg bw/day group was significantly increased, relative to that of male controls, in most weeks, but this effect was not observed in females. </w:t>
      </w:r>
    </w:p>
    <w:p w14:paraId="561E8BC8" w14:textId="77777777" w:rsidR="00785714" w:rsidRDefault="00785714" w:rsidP="00571A9D">
      <w:pPr>
        <w:widowControl/>
        <w:rPr>
          <w:lang w:bidi="ar-SA"/>
        </w:rPr>
      </w:pPr>
    </w:p>
    <w:p w14:paraId="6CE54B33" w14:textId="600B2D40" w:rsidR="00785714" w:rsidRDefault="00785714" w:rsidP="00571A9D">
      <w:pPr>
        <w:widowControl/>
        <w:rPr>
          <w:lang w:bidi="ar-SA"/>
        </w:rPr>
      </w:pPr>
      <w:r w:rsidRPr="005521A3">
        <w:rPr>
          <w:lang w:bidi="ar-SA"/>
        </w:rPr>
        <w:t>Both sexes in the 2000 mg/kg bw/day group had a significantly lower group mean terminal bodyweight than those of sex-matched controls, and the group mean absolute and relative weight of heart was significantly lower than that of sex-matched controls for both sexes. Males, but not females in the 2000 mg/kg bw/day group had decreased absolute, but not relative, liver weight. Group mean absolute, but not relative thymus weight in both sexes was decreased at 2000 mg/kg bw</w:t>
      </w:r>
      <w:r>
        <w:rPr>
          <w:lang w:bidi="ar-SA"/>
        </w:rPr>
        <w:t>/day</w:t>
      </w:r>
      <w:r w:rsidRPr="005521A3">
        <w:rPr>
          <w:lang w:bidi="ar-SA"/>
        </w:rPr>
        <w:t>. Group mean absolute caecal weight was decreased at 2000 mg/kg bw/day in females, and in 753 and 2000 mg/kg bw/day males, with an apparent dose-response relationship. Group mean absolute prostate and epididymal weights were decreased in 2000 mg/kg bw/day males, but of these weights, only epididymal weights were also decreased relative to bodyweight. Group mean organ weights that showed a statistically significant difference to those of controls when expressed relative to bodyweight, although not in absolute terms, were limited to the 2000 mg/kg bw/day groups increased kidney, lung, adrenal, salivary gland, and brain weights in both sexes, and testes in males</w:t>
      </w:r>
      <w:r w:rsidR="0055564D">
        <w:rPr>
          <w:lang w:bidi="ar-SA"/>
        </w:rPr>
        <w:t xml:space="preserve">. </w:t>
      </w:r>
    </w:p>
    <w:p w14:paraId="3382D1AC" w14:textId="77777777" w:rsidR="00785714" w:rsidRPr="00D03C4D" w:rsidRDefault="00785714" w:rsidP="00571A9D">
      <w:pPr>
        <w:widowControl/>
        <w:rPr>
          <w:lang w:bidi="ar-SA"/>
        </w:rPr>
      </w:pPr>
    </w:p>
    <w:p w14:paraId="3CB28DEC" w14:textId="77777777" w:rsidR="00785714" w:rsidRPr="00D03C4D" w:rsidRDefault="00785714" w:rsidP="00571A9D">
      <w:pPr>
        <w:widowControl/>
        <w:rPr>
          <w:lang w:bidi="ar-SA"/>
        </w:rPr>
      </w:pPr>
      <w:r w:rsidRPr="00D03C4D">
        <w:rPr>
          <w:lang w:bidi="ar-SA"/>
        </w:rPr>
        <w:t xml:space="preserve">Significant increases, relative to those of controls, in group mean values for urine volume and urinary chloride concentration were found in male, but not female, rats in the 2000 mg/kg bw/day group at the week 26 urine collection. At the week 52 urine collection, the group mean urine volume in 2000 mg/kg bw/day males was significantly increased and the group mean sodium concentration was significantly decreased. In female rats in the same group, group mean sodium and potassium concentrations were significantly decreased. </w:t>
      </w:r>
    </w:p>
    <w:p w14:paraId="28FB79CB" w14:textId="77777777" w:rsidR="00785714" w:rsidRPr="00D03C4D" w:rsidRDefault="00785714" w:rsidP="00571A9D">
      <w:pPr>
        <w:widowControl/>
        <w:rPr>
          <w:lang w:bidi="ar-SA"/>
        </w:rPr>
      </w:pPr>
    </w:p>
    <w:p w14:paraId="527C192B" w14:textId="77777777" w:rsidR="00785714" w:rsidRPr="00D03C4D" w:rsidRDefault="00785714" w:rsidP="00571A9D">
      <w:pPr>
        <w:widowControl/>
        <w:rPr>
          <w:lang w:bidi="ar-SA"/>
        </w:rPr>
      </w:pPr>
      <w:r w:rsidRPr="00D03C4D">
        <w:rPr>
          <w:lang w:bidi="ar-SA"/>
        </w:rPr>
        <w:t>The group mean percentage of segmented neutrophils was significantly increased, and the group mean percentage of lymphocytes significantly decreased, in female rats in the 2000 mg/kg bw/day. The total WBC count was lower than that of female controls, but not to a statistically significant degree. Ab</w:t>
      </w:r>
      <w:r>
        <w:rPr>
          <w:lang w:bidi="ar-SA"/>
        </w:rPr>
        <w:t>solute counts were not reported</w:t>
      </w:r>
      <w:r w:rsidRPr="00D03C4D">
        <w:rPr>
          <w:lang w:bidi="ar-SA"/>
        </w:rPr>
        <w:t xml:space="preserve">. </w:t>
      </w:r>
    </w:p>
    <w:p w14:paraId="7DDE57D7" w14:textId="77777777" w:rsidR="00785714" w:rsidRPr="00D03C4D" w:rsidRDefault="00785714" w:rsidP="00571A9D">
      <w:pPr>
        <w:widowControl/>
        <w:rPr>
          <w:lang w:bidi="ar-SA"/>
        </w:rPr>
      </w:pPr>
    </w:p>
    <w:p w14:paraId="55DCCF69" w14:textId="77777777" w:rsidR="00785714" w:rsidRPr="00D03C4D" w:rsidRDefault="00785714" w:rsidP="00571A9D">
      <w:pPr>
        <w:widowControl/>
        <w:rPr>
          <w:lang w:bidi="ar-SA"/>
        </w:rPr>
      </w:pPr>
      <w:r w:rsidRPr="00D03C4D">
        <w:rPr>
          <w:lang w:bidi="ar-SA"/>
        </w:rPr>
        <w:t xml:space="preserve">Group mean serum triglyceride was significantly decreased in 2000 mg/kg bw/day rats of both sexes in week 53. Other changes in serum biochemistry that showed a possible dose-response relationship but which were limited to only one sex were decreased group mean total protein in 2000 mg/kg bw/day males, increased group mean BUN in 2000 mg/kg bw/day males, decreased group mean creatinine in males dosed with </w:t>
      </w:r>
      <w:r w:rsidRPr="00D03C4D">
        <w:rPr>
          <w:rFonts w:cs="Arial"/>
          <w:lang w:bidi="ar-SA"/>
        </w:rPr>
        <w:t>≥</w:t>
      </w:r>
      <w:r w:rsidRPr="00D03C4D">
        <w:rPr>
          <w:lang w:bidi="ar-SA"/>
        </w:rPr>
        <w:t xml:space="preserve">737 mg/kg bw/day, decreased group mean glucose in 2000 mg/kg bw/day females, increased group mean alkaline phosphatase in 2000 mg/kg bw/day females, and decreased free fatty acids in female rats treated with ≥737 mg/kg bw/day. </w:t>
      </w:r>
    </w:p>
    <w:p w14:paraId="130DD62D" w14:textId="77777777" w:rsidR="00785714" w:rsidRPr="00D03C4D" w:rsidRDefault="00785714" w:rsidP="00571A9D">
      <w:pPr>
        <w:widowControl/>
        <w:rPr>
          <w:lang w:bidi="ar-SA"/>
        </w:rPr>
      </w:pPr>
    </w:p>
    <w:p w14:paraId="14DE2676" w14:textId="77777777" w:rsidR="00785714" w:rsidRPr="00D03C4D" w:rsidRDefault="00785714" w:rsidP="00571A9D">
      <w:pPr>
        <w:widowControl/>
        <w:rPr>
          <w:lang w:bidi="ar-SA"/>
        </w:rPr>
      </w:pPr>
      <w:r w:rsidRPr="00D03C4D">
        <w:rPr>
          <w:lang w:bidi="ar-SA"/>
        </w:rPr>
        <w:t xml:space="preserve">Male rats in the 2000 mg/kg bw/day group, both those that died during the study and those killed at the end of the in-life phase, showed increased incidences in gross findings of poor body condition, stained fur, congestion of liver and lungs, pulmonary emphysema, distension of stomach and caecum, and prostatic atrophy. Female rats in the same group, both those that died during the study and those killed at the end, showed significant increases in incidence of gross lesions of coarse or stained fur, hepatic congestion, and reddish-brown foci in lungs and pituitary glands. </w:t>
      </w:r>
    </w:p>
    <w:p w14:paraId="2976337E" w14:textId="77777777" w:rsidR="00785714" w:rsidRPr="00D03C4D" w:rsidRDefault="00785714" w:rsidP="00571A9D">
      <w:pPr>
        <w:widowControl/>
        <w:rPr>
          <w:lang w:bidi="ar-SA"/>
        </w:rPr>
      </w:pPr>
    </w:p>
    <w:p w14:paraId="36A22C36" w14:textId="77777777" w:rsidR="00785714" w:rsidRPr="00D03C4D" w:rsidRDefault="00785714" w:rsidP="00571A9D">
      <w:pPr>
        <w:widowControl/>
        <w:rPr>
          <w:lang w:bidi="ar-SA"/>
        </w:rPr>
      </w:pPr>
      <w:r w:rsidRPr="00D03C4D">
        <w:rPr>
          <w:lang w:bidi="ar-SA"/>
        </w:rPr>
        <w:t xml:space="preserve">Histopathological lesions that were significantly more common in 2000 mg/kg bw/day rats than in sex-matched controls were hepatic congestion in both sexes, splenic sinus dilation in males, splenic siderosis in females, atrophy of red and white pulp of the spleen in both sexes, renal congestion in both sexes, renal tubular epithelial degeneration in males, renal interstitial lymphocyte aggregation in females, protein casts in the kidneys of both sexes, myocardial fibrosis and atrophy in males, pulmonary congestion in both sexes, smooth muscle degeneration in bronchi and pulmonary blood vessels in male rats, calcification of the pulmonary artery wall in female rats, degeneration of arteriolar smooth muscle in the </w:t>
      </w:r>
      <w:r w:rsidRPr="00D03C4D">
        <w:rPr>
          <w:lang w:bidi="ar-SA"/>
        </w:rPr>
        <w:lastRenderedPageBreak/>
        <w:t>gastrointestinal tract in male rats, pancreatic acinar degeneration in both sexes, epithelial degeneration in the choroid plexus in both sexes, choroid plexus congestion in females, adrenal congestion in both sexes, adrenal haemorrhage in males, pituitary haemorrhage in females, atrophy of haematopoietic bone marrow in both sexes, parathyroid main cell degeneration in males, follicle atrophy in mesenteric lymph nodes in both sexes, aggregation of foam cells in mesenteric lymph nodes of males, epidermal vacuolation in males, salivary acinar cell degeneration in both sexes, corneal epithelial degeneration in both sexes, lacrimal gland acinar cell degeneration in male rats, transitional epithelial cell hyperplasia and degeneration of arteriolar smooth muscle in urinary bladder in bot</w:t>
      </w:r>
      <w:r>
        <w:rPr>
          <w:lang w:bidi="ar-SA"/>
        </w:rPr>
        <w:t xml:space="preserve">h sexes, foam cell aggregation </w:t>
      </w:r>
      <w:r w:rsidRPr="00D03C4D">
        <w:rPr>
          <w:lang w:bidi="ar-SA"/>
        </w:rPr>
        <w:t xml:space="preserve">in submandibular lymph nodes of males, submandibular lymph node follicle atrophy in females, and, in males, medial degeneration of testicular arteries, diminished spermatogenesis, and epithelial degeneration of the epididymides. </w:t>
      </w:r>
    </w:p>
    <w:p w14:paraId="0686D961" w14:textId="77777777" w:rsidR="00785714" w:rsidRPr="00D03C4D" w:rsidRDefault="00785714" w:rsidP="00571A9D">
      <w:pPr>
        <w:widowControl/>
        <w:rPr>
          <w:lang w:bidi="ar-SA"/>
        </w:rPr>
      </w:pPr>
    </w:p>
    <w:p w14:paraId="7E4E15D5" w14:textId="77777777" w:rsidR="00785714" w:rsidRPr="00D03C4D" w:rsidRDefault="00785714" w:rsidP="00571A9D">
      <w:pPr>
        <w:widowControl/>
        <w:rPr>
          <w:lang w:bidi="ar-SA"/>
        </w:rPr>
      </w:pPr>
      <w:r w:rsidRPr="00D03C4D">
        <w:rPr>
          <w:lang w:bidi="ar-SA"/>
        </w:rPr>
        <w:t xml:space="preserve">Interpretation of findings of neoplastic lesions is confounded by the group sizes of the study, which are smaller than is recommended for a carcinogenicity study, as well as the lack of historical control data for the laboratory, and the very small numbers of neoplastic lesions found. However the authors of the study concluded that there was no treatment-related effect on neoplasia. </w:t>
      </w:r>
    </w:p>
    <w:p w14:paraId="14A8840B" w14:textId="77777777" w:rsidR="00785714" w:rsidRPr="00521EF8" w:rsidRDefault="00785714" w:rsidP="00571A9D">
      <w:pPr>
        <w:widowControl/>
        <w:rPr>
          <w:lang w:bidi="ar-SA"/>
        </w:rPr>
      </w:pPr>
    </w:p>
    <w:p w14:paraId="1FDE509F" w14:textId="77777777" w:rsidR="00785714" w:rsidRPr="00D03C4D" w:rsidRDefault="00785714" w:rsidP="00571A9D">
      <w:pPr>
        <w:widowControl/>
        <w:rPr>
          <w:color w:val="943634" w:themeColor="accent2" w:themeShade="BF"/>
          <w:lang w:bidi="ar-SA"/>
        </w:rPr>
      </w:pPr>
      <w:r w:rsidRPr="00521EF8">
        <w:rPr>
          <w:lang w:bidi="ar-SA"/>
        </w:rPr>
        <w:t>The authors of the study concluded that the NOAEL identified in this study was 272 mg/kg bw/day. However, the effects at 737 mg/kg bw/day which the authors interpreted as adverse, including decreased serum creatinine in males, decreased serum free fatty acids in females, and increased caecal weight in males, are not usually interpreted as adverse. FSANZ therefore concludes that the NOAEL for this study is 737 mg/kg bw/day.</w:t>
      </w:r>
    </w:p>
    <w:p w14:paraId="2EC7A733" w14:textId="77777777" w:rsidR="00785714" w:rsidRPr="00D03C4D" w:rsidRDefault="00785714" w:rsidP="00571A9D">
      <w:pPr>
        <w:widowControl/>
        <w:rPr>
          <w:color w:val="943634" w:themeColor="accent2" w:themeShade="BF"/>
          <w:lang w:bidi="ar-SA"/>
        </w:rPr>
      </w:pPr>
    </w:p>
    <w:p w14:paraId="3C661549" w14:textId="2FDE54DC" w:rsidR="00785714" w:rsidRPr="00D03C4D" w:rsidRDefault="00785714" w:rsidP="00571A9D">
      <w:pPr>
        <w:widowControl/>
        <w:rPr>
          <w:i/>
          <w:lang w:bidi="ar-SA"/>
        </w:rPr>
      </w:pPr>
      <w:r w:rsidRPr="00D03C4D">
        <w:rPr>
          <w:i/>
          <w:lang w:bidi="ar-SA"/>
        </w:rPr>
        <w:t xml:space="preserve">Chronic 53-week oral capsule study of L-carnitine chloride in Beagles (Kikumori </w:t>
      </w:r>
      <w:r w:rsidR="000B7678">
        <w:rPr>
          <w:i/>
          <w:lang w:bidi="ar-SA"/>
        </w:rPr>
        <w:t>et al. 1</w:t>
      </w:r>
      <w:r w:rsidRPr="00D03C4D">
        <w:rPr>
          <w:i/>
          <w:lang w:bidi="ar-SA"/>
        </w:rPr>
        <w:t>988c)</w:t>
      </w:r>
    </w:p>
    <w:p w14:paraId="334B6F7B" w14:textId="77777777" w:rsidR="00785714" w:rsidRPr="00D03C4D" w:rsidRDefault="00785714" w:rsidP="00571A9D">
      <w:pPr>
        <w:widowControl/>
        <w:rPr>
          <w:i/>
          <w:lang w:bidi="ar-SA"/>
        </w:rPr>
      </w:pPr>
    </w:p>
    <w:p w14:paraId="700092FA" w14:textId="77777777" w:rsidR="00785714" w:rsidRPr="00D03C4D" w:rsidRDefault="00785714" w:rsidP="00571A9D">
      <w:pPr>
        <w:widowControl/>
        <w:rPr>
          <w:lang w:bidi="ar-SA"/>
        </w:rPr>
      </w:pPr>
      <w:r w:rsidRPr="00D03C4D">
        <w:rPr>
          <w:lang w:bidi="ar-SA"/>
        </w:rPr>
        <w:t>This study was conducted using Beagle dogs, 4/sex/group. Dogs were approximately 6 months old at time of arrival, and were individually housed under standard animal labora</w:t>
      </w:r>
      <w:r>
        <w:rPr>
          <w:lang w:bidi="ar-SA"/>
        </w:rPr>
        <w:t xml:space="preserve">tory environmental conditions. </w:t>
      </w:r>
      <w:r w:rsidRPr="00D03C4D">
        <w:rPr>
          <w:lang w:bidi="ar-SA"/>
        </w:rPr>
        <w:t>Dose groups for this study were 0, 50, 200, 800 and 1600 mg/kg bw/day. Test material was administered in a gelatin capsule, with the amount of test material individually measured according to the dog’s bodyweight at the beginning of each week. For the 1600 mg/kg bw/day group, the daily dose was s</w:t>
      </w:r>
      <w:r>
        <w:rPr>
          <w:lang w:bidi="ar-SA"/>
        </w:rPr>
        <w:t>plit into two separate capsules</w:t>
      </w:r>
      <w:r w:rsidRPr="00D03C4D">
        <w:rPr>
          <w:lang w:bidi="ar-SA"/>
        </w:rPr>
        <w:t xml:space="preserve"> administered 4 to 6 hours apart, because prior experience had shown that a bolus dose of 1600 mg/kg bw was likely to induce vomiting. All other doses were administered as a single daily capsule. Control animals were administered an empty gelatin capsule. Assessment of general condition was made twice daily during the in-life phase, while food consumption and water intake were measured daily. Bodyweight was recorded weekly. Electrocardiographs were recorded prior to study start and during weeks 7, 13, 26 and 53. The same schedule was used for ophthalmological and ontological examinations, collection of urine and collection for blood for haematology and serum biochemistry. At the end of study week 53, all surviving dogs were exsanguinated under anaesthesia, and gross necropsies were conducted. Fresh weights of brain, pituitary gland, thyroid gland, submandibular gla</w:t>
      </w:r>
      <w:r>
        <w:rPr>
          <w:lang w:bidi="ar-SA"/>
        </w:rPr>
        <w:t>nd, thymus, heart, lungs, liver</w:t>
      </w:r>
      <w:r w:rsidRPr="00D03C4D">
        <w:rPr>
          <w:lang w:bidi="ar-SA"/>
        </w:rPr>
        <w:t xml:space="preserve">, kidneys, adrenal grands, spleen, testes epididymis, prostate gland, ovaries, and uterus were recorded. Tissues preserved for histopathology were cerebrum, cerebellum, pituitary, thyroid gland, parathyroid gland, submandibular gland, thymus, heart, lungs, liver, kidneys, adrenal glands, spleen, pancreas, stomach, duodenum, jejunum, ileum, caecum, colon, rectum, testes, epididymides, prostate, ovaries, uterus, mesenteric lymph nodes, femoral bone marrow, eyeballs, urinary bladder and skeletal muscle. </w:t>
      </w:r>
    </w:p>
    <w:p w14:paraId="61138418" w14:textId="77777777" w:rsidR="00785714" w:rsidRPr="00D03C4D" w:rsidRDefault="00785714" w:rsidP="00571A9D">
      <w:pPr>
        <w:widowControl/>
        <w:rPr>
          <w:lang w:bidi="ar-SA"/>
        </w:rPr>
      </w:pPr>
    </w:p>
    <w:p w14:paraId="44BF6F8D" w14:textId="0746B4A1" w:rsidR="00785714" w:rsidRPr="00D03C4D" w:rsidRDefault="00785714" w:rsidP="00571A9D">
      <w:pPr>
        <w:widowControl/>
        <w:rPr>
          <w:lang w:bidi="ar-SA"/>
        </w:rPr>
      </w:pPr>
      <w:r w:rsidRPr="00D03C4D">
        <w:rPr>
          <w:lang w:bidi="ar-SA"/>
        </w:rPr>
        <w:t xml:space="preserve">All dogs survived to scheduled termination and, although males in the 1600 mg/kg bw/day group showed a slight decrease in group mean food consumption from around Week 28, there was no loss of condition in any dogs. There were no treatment-related effects on </w:t>
      </w:r>
      <w:r w:rsidRPr="00D03C4D">
        <w:rPr>
          <w:lang w:bidi="ar-SA"/>
        </w:rPr>
        <w:lastRenderedPageBreak/>
        <w:t xml:space="preserve">electrocardiographic findings, ophthalmologic findings, or otological findings. The most common clinical observations related to the gastrointestinal tract. Diarrhoea was common in all dogs in the 1600 mg/kg bw/day group and in three of each sex in the 800 mg/kg bw/day group. Diarrhoea in these groups tended to worsen over the course of the study, with diarrhoea becoming watery by late in the study. Diarrhoea occurred sporadically in dogs in the 50 and 200 mg/kg bw/day groups, but was not more frequent than in the control dogs. Vomiting was observed in all groups but was most frequent in dogs dosed with </w:t>
      </w:r>
      <w:r w:rsidRPr="00D03C4D">
        <w:rPr>
          <w:rFonts w:cs="Arial"/>
          <w:lang w:bidi="ar-SA"/>
        </w:rPr>
        <w:t>≥</w:t>
      </w:r>
      <w:r w:rsidRPr="00D03C4D">
        <w:rPr>
          <w:lang w:bidi="ar-SA"/>
        </w:rPr>
        <w:t xml:space="preserve">800 mg/kg bw/day. Vomiting most commonly occurred within 30 minutes of dose administration. Vomiting in dogs treated with </w:t>
      </w:r>
      <w:r w:rsidRPr="00D03C4D">
        <w:rPr>
          <w:rFonts w:cs="Arial"/>
          <w:lang w:bidi="ar-SA"/>
        </w:rPr>
        <w:t>≤</w:t>
      </w:r>
      <w:r w:rsidRPr="00D03C4D">
        <w:rPr>
          <w:lang w:bidi="ar-SA"/>
        </w:rPr>
        <w:t xml:space="preserve">200 mg/kg bw/day was not more common than in control dogs. The gastrointestinal clinical signs notwithstanding, male dogs treated with </w:t>
      </w:r>
      <w:r w:rsidRPr="00D03C4D">
        <w:rPr>
          <w:rFonts w:cs="Arial"/>
          <w:lang w:bidi="ar-SA"/>
        </w:rPr>
        <w:t>≥</w:t>
      </w:r>
      <w:r w:rsidRPr="00D03C4D">
        <w:rPr>
          <w:lang w:bidi="ar-SA"/>
        </w:rPr>
        <w:t xml:space="preserve">800 mg/kg bw/day showed greater bodyweight gain over the course of the study than controls. Females in the 1600 mg/kg bw/day group showed lower weight gain than female controls in the first 7 or 8 weeks on study, but then caught up with female controls. By the end of the study, these females had a higher group mean bodyweight than control females. </w:t>
      </w:r>
      <w:r w:rsidRPr="00481014">
        <w:rPr>
          <w:lang w:bidi="ar-SA"/>
        </w:rPr>
        <w:t>There were no variations in organ weights that showed any dose-response relationship</w:t>
      </w:r>
      <w:r w:rsidR="0055564D">
        <w:rPr>
          <w:lang w:bidi="ar-SA"/>
        </w:rPr>
        <w:t xml:space="preserve">. </w:t>
      </w:r>
    </w:p>
    <w:p w14:paraId="7F273E19" w14:textId="77777777" w:rsidR="00785714" w:rsidRPr="00D03C4D" w:rsidRDefault="00785714" w:rsidP="00571A9D">
      <w:pPr>
        <w:widowControl/>
        <w:rPr>
          <w:lang w:bidi="ar-SA"/>
        </w:rPr>
      </w:pPr>
    </w:p>
    <w:p w14:paraId="1F864908" w14:textId="77777777" w:rsidR="00785714" w:rsidRPr="00D03C4D" w:rsidRDefault="00785714" w:rsidP="00571A9D">
      <w:pPr>
        <w:widowControl/>
        <w:rPr>
          <w:lang w:bidi="ar-SA"/>
        </w:rPr>
      </w:pPr>
      <w:r w:rsidRPr="00D03C4D">
        <w:rPr>
          <w:lang w:bidi="ar-SA"/>
        </w:rPr>
        <w:t xml:space="preserve">Male dogs in the 1600 mg/kg bw/day group, and females in the 800 and 1600 mg/kg bw/day groups, showed slight increases in water intake throughout the study, when compared to sex-matched controls, and there was an associated increase in group mean urine volume in these groups. Dogs of both sexes dosed with </w:t>
      </w:r>
      <w:r w:rsidRPr="00D03C4D">
        <w:rPr>
          <w:rFonts w:cs="Arial"/>
          <w:lang w:bidi="ar-SA"/>
        </w:rPr>
        <w:t>≥</w:t>
      </w:r>
      <w:r w:rsidRPr="00D03C4D">
        <w:rPr>
          <w:lang w:bidi="ar-SA"/>
        </w:rPr>
        <w:t xml:space="preserve">800 mg/kg bw/day tended to have more acidic urine than dogs in lower dose groups or control groups. Treatment had no apparent effects in urine sediment findings. </w:t>
      </w:r>
    </w:p>
    <w:p w14:paraId="7DAC8CCC" w14:textId="77777777" w:rsidR="00785714" w:rsidRPr="00D03C4D" w:rsidRDefault="00785714" w:rsidP="00571A9D">
      <w:pPr>
        <w:widowControl/>
        <w:rPr>
          <w:lang w:bidi="ar-SA"/>
        </w:rPr>
      </w:pPr>
    </w:p>
    <w:p w14:paraId="5FA26698" w14:textId="77777777" w:rsidR="00785714" w:rsidRPr="00D03C4D" w:rsidRDefault="00785714" w:rsidP="00571A9D">
      <w:pPr>
        <w:widowControl/>
        <w:rPr>
          <w:lang w:bidi="ar-SA"/>
        </w:rPr>
      </w:pPr>
      <w:r w:rsidRPr="00D03C4D">
        <w:rPr>
          <w:lang w:bidi="ar-SA"/>
        </w:rPr>
        <w:t xml:space="preserve">There were no differences in group mean haematology data of treated dogs, relative to sex-matched controls, that could be attributed to treatment. The few statistically significant differences found, fell within the physiologically normal range. Group mean total serum cholesterol was increased to a statistically significant extent, and showed an apparent dose-response relationship, in male dogs treated with </w:t>
      </w:r>
      <w:r w:rsidRPr="00D03C4D">
        <w:rPr>
          <w:rFonts w:cs="Arial"/>
          <w:lang w:bidi="ar-SA"/>
        </w:rPr>
        <w:t>≥</w:t>
      </w:r>
      <w:r w:rsidRPr="00D03C4D">
        <w:rPr>
          <w:lang w:bidi="ar-SA"/>
        </w:rPr>
        <w:t>800 mg/kg bw/day, when compared to male controls. However the levels of total serum cholesterol found were not considered to be adverse by the authors, and FSANZ concurs with this assessment.</w:t>
      </w:r>
    </w:p>
    <w:p w14:paraId="7446B20D" w14:textId="77777777" w:rsidR="00785714" w:rsidRPr="00D03C4D" w:rsidRDefault="00785714" w:rsidP="00571A9D">
      <w:pPr>
        <w:widowControl/>
        <w:rPr>
          <w:lang w:bidi="ar-SA"/>
        </w:rPr>
      </w:pPr>
    </w:p>
    <w:p w14:paraId="57299EF2" w14:textId="77777777" w:rsidR="00785714" w:rsidRPr="00D03C4D" w:rsidRDefault="00785714" w:rsidP="00571A9D">
      <w:pPr>
        <w:widowControl/>
        <w:rPr>
          <w:lang w:bidi="ar-SA"/>
        </w:rPr>
      </w:pPr>
      <w:r w:rsidRPr="00D03C4D">
        <w:rPr>
          <w:lang w:bidi="ar-SA"/>
        </w:rPr>
        <w:t xml:space="preserve">Gross necropsy findings that were interpreted as treatment-related were linear ‘erosion-like changes’ and hyperaemia of the cardia or fundus of the stomach, present in most or all dogs of both sexes in the 1600 mg/kg bw/day group, and females in the 800 mg/kg bw/day group. Histological findings that correlated to the gross lesions were oedema and, in some 1600 mg/kg bw/day dogs, localized mucosal necrosis in the stomach. Other histopathological lesions showed no clear dose-response relationship and were considered to be incidental. </w:t>
      </w:r>
    </w:p>
    <w:p w14:paraId="72C39E6D" w14:textId="77777777" w:rsidR="00785714" w:rsidRPr="00D03C4D" w:rsidRDefault="00785714" w:rsidP="00571A9D">
      <w:pPr>
        <w:widowControl/>
        <w:rPr>
          <w:lang w:bidi="ar-SA"/>
        </w:rPr>
      </w:pPr>
    </w:p>
    <w:p w14:paraId="55A1A6BE" w14:textId="2406D382" w:rsidR="00785714" w:rsidRPr="00D03C4D" w:rsidRDefault="00785714" w:rsidP="00571A9D">
      <w:pPr>
        <w:widowControl/>
        <w:rPr>
          <w:lang w:bidi="ar-SA"/>
        </w:rPr>
      </w:pPr>
      <w:r w:rsidRPr="00D03C4D">
        <w:rPr>
          <w:lang w:bidi="ar-SA"/>
        </w:rPr>
        <w:t xml:space="preserve">On the basis of adverse effects on the gastrointestinal tract at </w:t>
      </w:r>
      <w:r w:rsidRPr="00D03C4D">
        <w:rPr>
          <w:rFonts w:cs="Arial"/>
          <w:lang w:bidi="ar-SA"/>
        </w:rPr>
        <w:t>≥</w:t>
      </w:r>
      <w:r w:rsidRPr="00D03C4D">
        <w:rPr>
          <w:lang w:bidi="ar-SA"/>
        </w:rPr>
        <w:t>800 mg/kg bw/day, the NOAEL was identified as 200 mg/kg bw/day</w:t>
      </w:r>
      <w:r w:rsidR="0055564D">
        <w:rPr>
          <w:lang w:bidi="ar-SA"/>
        </w:rPr>
        <w:t xml:space="preserve">. </w:t>
      </w:r>
    </w:p>
    <w:p w14:paraId="3586BDA3" w14:textId="77777777" w:rsidR="00785714" w:rsidRPr="00D03C4D" w:rsidRDefault="00785714" w:rsidP="00571A9D">
      <w:pPr>
        <w:keepNext/>
        <w:widowControl/>
        <w:spacing w:before="240" w:after="240"/>
        <w:ind w:left="851" w:hanging="851"/>
        <w:outlineLvl w:val="3"/>
        <w:rPr>
          <w:b/>
          <w:bCs/>
          <w:i/>
          <w:iCs/>
          <w:szCs w:val="22"/>
          <w:lang w:bidi="ar-SA"/>
        </w:rPr>
      </w:pPr>
      <w:r w:rsidRPr="00D03C4D">
        <w:rPr>
          <w:b/>
          <w:bCs/>
          <w:i/>
          <w:iCs/>
          <w:szCs w:val="22"/>
          <w:lang w:bidi="ar-SA"/>
        </w:rPr>
        <w:t>Reproductive and Developmental Toxicity Studies; L-carnitine</w:t>
      </w:r>
    </w:p>
    <w:p w14:paraId="0D25DE4D" w14:textId="77777777" w:rsidR="00785714" w:rsidRPr="00D03C4D" w:rsidRDefault="00785714" w:rsidP="00571A9D">
      <w:pPr>
        <w:widowControl/>
        <w:rPr>
          <w:i/>
          <w:lang w:bidi="ar-SA"/>
        </w:rPr>
      </w:pPr>
      <w:r w:rsidRPr="00D03C4D">
        <w:rPr>
          <w:i/>
          <w:lang w:bidi="ar-SA"/>
        </w:rPr>
        <w:t>Reproductive study of L-carnitine in the diet of rats (Brandsch and Eder 2003)</w:t>
      </w:r>
    </w:p>
    <w:p w14:paraId="00CDD96A" w14:textId="77777777" w:rsidR="00785714" w:rsidRPr="00D03C4D" w:rsidRDefault="00785714" w:rsidP="00571A9D">
      <w:pPr>
        <w:widowControl/>
        <w:rPr>
          <w:i/>
          <w:lang w:bidi="ar-SA"/>
        </w:rPr>
      </w:pPr>
    </w:p>
    <w:p w14:paraId="741A55C7" w14:textId="632865A1" w:rsidR="00785714" w:rsidRPr="00D03C4D" w:rsidRDefault="00785714" w:rsidP="00571A9D">
      <w:pPr>
        <w:widowControl/>
        <w:rPr>
          <w:lang w:bidi="ar-SA"/>
        </w:rPr>
      </w:pPr>
      <w:r w:rsidRPr="00D03C4D">
        <w:rPr>
          <w:lang w:bidi="ar-SA"/>
        </w:rPr>
        <w:t xml:space="preserve">Female Sprague Dawley rats, approximately 4 weeks of age, were assigned to two groups, a control group and a treatment group, comprising 15 rats each. Rats were individually housed under standard laboratory husbandry conditions. All the rats were fed a standard diet containing a base level of L-carnitine of 1.4 mg/kg diet throughout the study, but for the rats in the treatment group, this diet was supplemented with 1 g/kg diet of L-carnitine throughout the study. The total concentration of L-carnitine in the diet was confirmed by analysis. The amount of diet provided was controlled, and increased with growth of the rats from 4 to 12 weeks. At 12 weeks of age, the rats were paired for 6 days with adult male Sprague Dawley rats, and food was provided </w:t>
      </w:r>
      <w:r w:rsidRPr="00D03C4D">
        <w:rPr>
          <w:i/>
          <w:lang w:bidi="ar-SA"/>
        </w:rPr>
        <w:t xml:space="preserve">ad libitum. </w:t>
      </w:r>
      <w:r w:rsidRPr="00D03C4D">
        <w:rPr>
          <w:lang w:bidi="ar-SA"/>
        </w:rPr>
        <w:t xml:space="preserve">After the mating period, female rats were provided with 18 g of the diet/day through pregnancy, but </w:t>
      </w:r>
      <w:r w:rsidRPr="00D03C4D">
        <w:rPr>
          <w:i/>
          <w:lang w:bidi="ar-SA"/>
        </w:rPr>
        <w:t>ad libitum</w:t>
      </w:r>
      <w:r w:rsidRPr="00D03C4D">
        <w:rPr>
          <w:lang w:bidi="ar-SA"/>
        </w:rPr>
        <w:t xml:space="preserve"> access to the diet during </w:t>
      </w:r>
      <w:r w:rsidRPr="00D03C4D">
        <w:rPr>
          <w:lang w:bidi="ar-SA"/>
        </w:rPr>
        <w:lastRenderedPageBreak/>
        <w:t>lactation. Pups were weaned at 21 days and dams placed on 20 g/d</w:t>
      </w:r>
      <w:r w:rsidR="00952144">
        <w:rPr>
          <w:lang w:bidi="ar-SA"/>
        </w:rPr>
        <w:t>ay</w:t>
      </w:r>
      <w:r w:rsidRPr="00D03C4D">
        <w:rPr>
          <w:lang w:bidi="ar-SA"/>
        </w:rPr>
        <w:t xml:space="preserve"> of their assigned diet for 3 weeks, after which they went through two more cycles of mating and pregnancy as before, with a 3-week interval between weaning and subsequent pregnancy. Feeding regimens were similar to those of the first mating, pregnancy and lactation, with the exception that diet was limited to 75 g/day during the second and third lactations rather than being </w:t>
      </w:r>
      <w:r w:rsidRPr="00D03C4D">
        <w:rPr>
          <w:i/>
          <w:lang w:bidi="ar-SA"/>
        </w:rPr>
        <w:t>ad libitum</w:t>
      </w:r>
      <w:r w:rsidR="0055564D">
        <w:rPr>
          <w:lang w:bidi="ar-SA"/>
        </w:rPr>
        <w:t xml:space="preserve">. </w:t>
      </w:r>
    </w:p>
    <w:p w14:paraId="31599BD2" w14:textId="77777777" w:rsidR="00785714" w:rsidRPr="00D03C4D" w:rsidRDefault="00785714" w:rsidP="00571A9D">
      <w:pPr>
        <w:widowControl/>
        <w:rPr>
          <w:lang w:bidi="ar-SA"/>
        </w:rPr>
      </w:pPr>
    </w:p>
    <w:p w14:paraId="55BB954A" w14:textId="77777777" w:rsidR="00785714" w:rsidRPr="00D03C4D" w:rsidRDefault="00785714" w:rsidP="00571A9D">
      <w:pPr>
        <w:widowControl/>
        <w:rPr>
          <w:lang w:bidi="ar-SA"/>
        </w:rPr>
      </w:pPr>
      <w:r w:rsidRPr="00D03C4D">
        <w:rPr>
          <w:lang w:bidi="ar-SA"/>
        </w:rPr>
        <w:t>Twelve pups/group from the second pregnancy with an average bodyweight of 60</w:t>
      </w:r>
      <w:r w:rsidRPr="00D03C4D">
        <w:rPr>
          <w:rFonts w:cs="Arial"/>
          <w:lang w:bidi="ar-SA"/>
        </w:rPr>
        <w:t>±</w:t>
      </w:r>
      <w:r w:rsidRPr="00D03C4D">
        <w:rPr>
          <w:lang w:bidi="ar-SA"/>
        </w:rPr>
        <w:t>5 g, and 10 pups/group from the third pregnancy with an average bodyweight of 55</w:t>
      </w:r>
      <w:r w:rsidRPr="00D03C4D">
        <w:rPr>
          <w:rFonts w:cs="Arial"/>
          <w:lang w:bidi="ar-SA"/>
        </w:rPr>
        <w:t>±9</w:t>
      </w:r>
      <w:r w:rsidRPr="00D03C4D">
        <w:rPr>
          <w:lang w:bidi="ar-SA"/>
        </w:rPr>
        <w:t xml:space="preserve"> g, were selected at weaning so that there were no littermates, for a study of post-weaning growth rate of pups. The pups were maintained on commercial rat chow for a week and then fed measured amounts of the commercial rat chow for 6 weeks.</w:t>
      </w:r>
    </w:p>
    <w:p w14:paraId="185B1519" w14:textId="77777777" w:rsidR="00785714" w:rsidRPr="00D03C4D" w:rsidRDefault="00785714" w:rsidP="00571A9D">
      <w:pPr>
        <w:widowControl/>
        <w:rPr>
          <w:lang w:bidi="ar-SA"/>
        </w:rPr>
      </w:pPr>
    </w:p>
    <w:p w14:paraId="7945120E" w14:textId="77777777" w:rsidR="00785714" w:rsidRPr="00D03C4D" w:rsidRDefault="00785714" w:rsidP="00571A9D">
      <w:pPr>
        <w:widowControl/>
        <w:rPr>
          <w:lang w:bidi="ar-SA"/>
        </w:rPr>
      </w:pPr>
      <w:r w:rsidRPr="00D03C4D">
        <w:rPr>
          <w:lang w:bidi="ar-SA"/>
        </w:rPr>
        <w:t xml:space="preserve">Endpoints determined in the study were bodyweight changes of dams, food intake of dams, number of pregnancies, number of liveborn pups, number of stillborn pups, weights of pups and litters at birth and days 4, 8, 12, 16 and 20 of lactation, and bodyweight changes of weaned pups from 4 to 10 weeks of age. </w:t>
      </w:r>
    </w:p>
    <w:p w14:paraId="69D2A935" w14:textId="77777777" w:rsidR="00785714" w:rsidRPr="00D03C4D" w:rsidRDefault="00785714" w:rsidP="00571A9D">
      <w:pPr>
        <w:widowControl/>
        <w:rPr>
          <w:lang w:bidi="ar-SA"/>
        </w:rPr>
      </w:pPr>
    </w:p>
    <w:p w14:paraId="51B2357D" w14:textId="77777777" w:rsidR="00785714" w:rsidRPr="00D03C4D" w:rsidRDefault="00785714" w:rsidP="00571A9D">
      <w:pPr>
        <w:widowControl/>
        <w:rPr>
          <w:lang w:bidi="ar-SA"/>
        </w:rPr>
      </w:pPr>
      <w:r w:rsidRPr="00D03C4D">
        <w:rPr>
          <w:lang w:bidi="ar-SA"/>
        </w:rPr>
        <w:t xml:space="preserve">Mean diet intake of dams during growth and pregnancy was standardised by the limited amount of diet offered, but during the first lactation, group mean food intake by the control dams was significantly greater than that of the supplemented group, a finding attributed to a larger number of pups raised by the control females. It was for this reason that access to the diet was controlled in subsequent lactations. Group mean bodyweight changes of supplemented dams were comparable to those of control dams throughout the study. The pregnancy rates of the control dams were 87, 92 and 100% of mated rats in the three successive pregnancies, while those of the supplemented dams were 100, 80 and 75%. L-carnitine supplementation had no effect on the total number of rat pups born, or the liveborn/stillborn ratio. Weights of individual pups and of litters at birth, and the mortality rate between birth and weaning were unaffected by maternal L-carnitine supplementation. Under conditions of restricted feed access by lactating dams, L-carnitine supplementation did not affect bodyweight or litter weight of pups during lactation. Postweaning bodyweight gain was greater for pups from the second pregnancies of supplemented dams than for control pups from second pregnancies, but this difference was not apparent in pups from third pregnancies and the finding was therefore considered to be due to chance. </w:t>
      </w:r>
    </w:p>
    <w:p w14:paraId="3CBAD114" w14:textId="77777777" w:rsidR="00785714" w:rsidRPr="00D03C4D" w:rsidRDefault="00785714" w:rsidP="00571A9D">
      <w:pPr>
        <w:widowControl/>
        <w:rPr>
          <w:lang w:bidi="ar-SA"/>
        </w:rPr>
      </w:pPr>
    </w:p>
    <w:p w14:paraId="65F3CFD8" w14:textId="77777777" w:rsidR="00785714" w:rsidRPr="00D03C4D" w:rsidRDefault="00785714" w:rsidP="00571A9D">
      <w:pPr>
        <w:widowControl/>
        <w:rPr>
          <w:lang w:bidi="ar-SA"/>
        </w:rPr>
      </w:pPr>
      <w:r w:rsidRPr="00D03C4D">
        <w:rPr>
          <w:lang w:bidi="ar-SA"/>
        </w:rPr>
        <w:t xml:space="preserve">There was </w:t>
      </w:r>
      <w:r>
        <w:rPr>
          <w:lang w:bidi="ar-SA"/>
        </w:rPr>
        <w:t xml:space="preserve">a </w:t>
      </w:r>
      <w:r w:rsidRPr="00D03C4D">
        <w:rPr>
          <w:lang w:bidi="ar-SA"/>
        </w:rPr>
        <w:t xml:space="preserve">statistically significant, massive loss of pups between birth and weaning during the third lactation, but this affected both control and supplemented groups, and was attributed to the restricted feeding of the dams during the second and third pregnancies and lactations. </w:t>
      </w:r>
    </w:p>
    <w:p w14:paraId="55797AAB" w14:textId="77777777" w:rsidR="00785714" w:rsidRPr="00D03C4D" w:rsidRDefault="00785714" w:rsidP="00571A9D">
      <w:pPr>
        <w:widowControl/>
        <w:rPr>
          <w:lang w:bidi="ar-SA"/>
        </w:rPr>
      </w:pPr>
    </w:p>
    <w:p w14:paraId="3063CCDC" w14:textId="3590E2EC" w:rsidR="00785714" w:rsidRPr="00D03C4D" w:rsidRDefault="00785714" w:rsidP="00571A9D">
      <w:pPr>
        <w:widowControl/>
        <w:rPr>
          <w:lang w:bidi="ar-SA"/>
        </w:rPr>
      </w:pPr>
      <w:r w:rsidRPr="00D03C4D">
        <w:rPr>
          <w:lang w:bidi="ar-SA"/>
        </w:rPr>
        <w:t>It was concluded that the rats showed no changes in reproductive performance attributable to supplementation with L-carnitine throughout gestation and lactation</w:t>
      </w:r>
      <w:r w:rsidR="0055564D">
        <w:rPr>
          <w:lang w:bidi="ar-SA"/>
        </w:rPr>
        <w:t xml:space="preserve">. </w:t>
      </w:r>
    </w:p>
    <w:p w14:paraId="7FB6EC7C" w14:textId="77777777" w:rsidR="00785714" w:rsidRPr="00D03C4D" w:rsidRDefault="00785714" w:rsidP="00571A9D">
      <w:pPr>
        <w:widowControl/>
        <w:rPr>
          <w:i/>
          <w:lang w:bidi="ar-SA"/>
        </w:rPr>
      </w:pPr>
    </w:p>
    <w:p w14:paraId="279B45B6" w14:textId="54FA7C1D" w:rsidR="00785714" w:rsidRPr="00D03C4D" w:rsidRDefault="00785714" w:rsidP="00571A9D">
      <w:pPr>
        <w:widowControl/>
        <w:rPr>
          <w:i/>
          <w:lang w:bidi="ar-SA"/>
        </w:rPr>
      </w:pPr>
      <w:r w:rsidRPr="00D03C4D">
        <w:rPr>
          <w:i/>
          <w:lang w:bidi="ar-SA"/>
        </w:rPr>
        <w:t xml:space="preserve">Lactation study of oral L-carnitine supplementations in sows (Ramanau </w:t>
      </w:r>
      <w:r w:rsidR="000B7678">
        <w:rPr>
          <w:i/>
          <w:lang w:bidi="ar-SA"/>
        </w:rPr>
        <w:t>et al. 2</w:t>
      </w:r>
      <w:r w:rsidRPr="00D03C4D">
        <w:rPr>
          <w:i/>
          <w:lang w:bidi="ar-SA"/>
        </w:rPr>
        <w:t>005)</w:t>
      </w:r>
    </w:p>
    <w:p w14:paraId="0ACE29EB" w14:textId="77777777" w:rsidR="00785714" w:rsidRPr="00D03C4D" w:rsidRDefault="00785714" w:rsidP="00571A9D">
      <w:pPr>
        <w:widowControl/>
        <w:rPr>
          <w:i/>
          <w:lang w:bidi="ar-SA"/>
        </w:rPr>
      </w:pPr>
    </w:p>
    <w:p w14:paraId="222AC4D6" w14:textId="5AE7742F" w:rsidR="00785714" w:rsidRPr="00D03C4D" w:rsidRDefault="00785714" w:rsidP="00571A9D">
      <w:pPr>
        <w:widowControl/>
        <w:rPr>
          <w:lang w:bidi="ar-SA"/>
        </w:rPr>
      </w:pPr>
      <w:r w:rsidRPr="00D03C4D">
        <w:rPr>
          <w:lang w:bidi="ar-SA"/>
        </w:rPr>
        <w:t xml:space="preserve">Crossbred gilts in their third reproductive cycle were assigned to two groups of 12 pigs each. They were artificially inseminated and 10 pigs in each group conceived. Those that failed to conceive were removed from the experiment. The pigs were fed one basal diet throughout pregnancy and lactation. The diet was restricted to 3.0 kg/day until day 30 of pregnancy and provided </w:t>
      </w:r>
      <w:r w:rsidRPr="00D03C4D">
        <w:rPr>
          <w:i/>
          <w:lang w:bidi="ar-SA"/>
        </w:rPr>
        <w:t>ad libitum</w:t>
      </w:r>
      <w:r w:rsidRPr="00D03C4D">
        <w:rPr>
          <w:lang w:bidi="ar-SA"/>
        </w:rPr>
        <w:t xml:space="preserve"> from day 30 to 110 of pregnancy. From day 110 to farrowing, pigs were provided with 2.5 kg/day of the diet, decreased to 1.5 kg on the day of farrowing. After farrowing the amount of diet provided was progressively increased through 3 kg/d</w:t>
      </w:r>
      <w:r w:rsidR="00952144">
        <w:rPr>
          <w:lang w:bidi="ar-SA"/>
        </w:rPr>
        <w:t>ay</w:t>
      </w:r>
      <w:r w:rsidRPr="00D03C4D">
        <w:rPr>
          <w:lang w:bidi="ar-SA"/>
        </w:rPr>
        <w:t xml:space="preserve"> on days 1 and 2 of lactation, 4.5 kg on days 3 and 4 of lactation, and </w:t>
      </w:r>
      <w:r w:rsidRPr="00D03C4D">
        <w:rPr>
          <w:i/>
          <w:lang w:bidi="ar-SA"/>
        </w:rPr>
        <w:t>ad libitum</w:t>
      </w:r>
      <w:r w:rsidRPr="00D03C4D">
        <w:rPr>
          <w:lang w:bidi="ar-SA"/>
        </w:rPr>
        <w:t xml:space="preserve"> from day 5 of lactation to weaning</w:t>
      </w:r>
      <w:r w:rsidR="0055564D">
        <w:rPr>
          <w:lang w:bidi="ar-SA"/>
        </w:rPr>
        <w:t xml:space="preserve">. </w:t>
      </w:r>
      <w:r w:rsidRPr="00D03C4D">
        <w:rPr>
          <w:lang w:bidi="ar-SA"/>
        </w:rPr>
        <w:t xml:space="preserve">Water was provided </w:t>
      </w:r>
      <w:r w:rsidRPr="00D03C4D">
        <w:rPr>
          <w:i/>
          <w:lang w:bidi="ar-SA"/>
        </w:rPr>
        <w:t>ad libitum</w:t>
      </w:r>
      <w:r w:rsidRPr="00D03C4D">
        <w:rPr>
          <w:lang w:bidi="ar-SA"/>
        </w:rPr>
        <w:t xml:space="preserve"> by nipple drinker throughout. The </w:t>
      </w:r>
      <w:r w:rsidRPr="00D03C4D">
        <w:rPr>
          <w:lang w:bidi="ar-SA"/>
        </w:rPr>
        <w:lastRenderedPageBreak/>
        <w:t xml:space="preserve">pregnant pigs were individually housed until day 30 of pregnancy, and then group-housed in pens with electronic feeding stations that monitored the feed intake of individual sows. Pigs were transferred to individual farrowing pens on day 110 of pregnancy. Piglets were weaned on day 30. Environmental conditions of housing during the experiment were controlled, and standard for indoor pig husbandry. </w:t>
      </w:r>
    </w:p>
    <w:p w14:paraId="5DCDFC83" w14:textId="77777777" w:rsidR="00785714" w:rsidRPr="00D03C4D" w:rsidRDefault="00785714" w:rsidP="00571A9D">
      <w:pPr>
        <w:widowControl/>
        <w:rPr>
          <w:lang w:bidi="ar-SA"/>
        </w:rPr>
      </w:pPr>
    </w:p>
    <w:p w14:paraId="425D2553" w14:textId="5A82E230" w:rsidR="00785714" w:rsidRPr="00D03C4D" w:rsidRDefault="00785714" w:rsidP="00571A9D">
      <w:pPr>
        <w:widowControl/>
        <w:rPr>
          <w:lang w:bidi="ar-SA"/>
        </w:rPr>
      </w:pPr>
      <w:r w:rsidRPr="00D03C4D">
        <w:rPr>
          <w:lang w:bidi="ar-SA"/>
        </w:rPr>
        <w:t>Pigs in the treatment group were supplemented by hand with tablets containing L-carnitine, to provide L-carnitine at a rate of 125 mg/d</w:t>
      </w:r>
      <w:r w:rsidR="00952144">
        <w:rPr>
          <w:lang w:bidi="ar-SA"/>
        </w:rPr>
        <w:t>ay</w:t>
      </w:r>
      <w:r w:rsidRPr="00D03C4D">
        <w:rPr>
          <w:lang w:bidi="ar-SA"/>
        </w:rPr>
        <w:t xml:space="preserve"> through pregnancy and 250 mg/day through lactation. Pigs in the control group were provided by hand with placebo tablets that did not contain L-carnitine but were otherwise of identical composition. </w:t>
      </w:r>
    </w:p>
    <w:p w14:paraId="0A6DC509" w14:textId="77777777" w:rsidR="00785714" w:rsidRPr="00D03C4D" w:rsidRDefault="00785714" w:rsidP="00571A9D">
      <w:pPr>
        <w:widowControl/>
        <w:rPr>
          <w:lang w:bidi="ar-SA"/>
        </w:rPr>
      </w:pPr>
    </w:p>
    <w:p w14:paraId="302CA29E" w14:textId="77777777" w:rsidR="00785714" w:rsidRPr="00D03C4D" w:rsidRDefault="00785714" w:rsidP="00571A9D">
      <w:pPr>
        <w:widowControl/>
        <w:rPr>
          <w:lang w:bidi="ar-SA"/>
        </w:rPr>
      </w:pPr>
      <w:r w:rsidRPr="00D03C4D">
        <w:rPr>
          <w:lang w:bidi="ar-SA"/>
        </w:rPr>
        <w:t xml:space="preserve">Endpoints measured in the study were bodyweights and bodyweight changes of dams, backfat thickness as measured by ultrasound, total number of piglets born, number of liveborn piglets, number of stillborn piglets, total litter weight at birth, individual birthweights of piglets, individual weaning weights of piglets, and plasma L-carnitine concentration of dams on day 95 of pregnancy and on day 21 of lactation. In addition, the litters of eight of the ten dams in each group were standardised to 10 piglets/litter within two days of farrowing, so that the mean piglet weight was similar across the litters, and milk output of those dams was measured on days 11 and 18 of lactation by weighing piglets before and after feeding following a period of enforced fasting. After milk output was determined by this method, dams were injected with oxytocin to stimulate milk let-down, and milk samples were collected by hand for analysis of lactose, protein, milkfat and calculation of total energy content. L-carnitine concentration in milk was also determined. </w:t>
      </w:r>
    </w:p>
    <w:p w14:paraId="3B6751A7" w14:textId="77777777" w:rsidR="00785714" w:rsidRPr="00D03C4D" w:rsidRDefault="00785714" w:rsidP="00571A9D">
      <w:pPr>
        <w:widowControl/>
        <w:rPr>
          <w:i/>
          <w:lang w:bidi="ar-SA"/>
        </w:rPr>
      </w:pPr>
    </w:p>
    <w:p w14:paraId="05B44DBC" w14:textId="77777777" w:rsidR="00785714" w:rsidRPr="00D03C4D" w:rsidRDefault="00785714" w:rsidP="00571A9D">
      <w:pPr>
        <w:widowControl/>
        <w:rPr>
          <w:lang w:bidi="ar-SA"/>
        </w:rPr>
      </w:pPr>
      <w:r w:rsidRPr="00D03C4D">
        <w:rPr>
          <w:lang w:bidi="ar-SA"/>
        </w:rPr>
        <w:t xml:space="preserve">Supplementation with L-carnitine had no effect on feed intake during pregnancy or lactation, or on bodyweights of dams at mating, after farrowing or at weaning. Weight loss due to lactation was similar in both groups of dams, and backfat thickness of dams at mating and on the day after farrowing was likewise not affected by supplementation. However backfat thickness of supplemented dams was significantly less than that of control dams at weaning. Supplementation of dams with L-carnitine had no effect of number of piglets born or on the live:dead ratio of piglets at delivery. Birthweights of individual piglets and total litter weight at birth was likewise unaffected. In the litters with standardised numbers of piglets, piglets suckling supplemented dams gained significantly more weight than those on control dams. This finding is consistent with the finding that sows supplemented with L-carnitine produced 18% more milk than control sows. Analysis of milk collected on day 11 of lactation did not show any effects of supplementation on lactose, protein, milkfat or total energy content. Milk collected from supplemented sows on day 18 contained higher levels of lactose, protein, milkfat and total energy than milk collected on the same day from control sows, but the differences were not statistically significant. Supplementation led to significantly increased plasma L-carnitine on day 95 of pregnancy and day 21 of lactation, and in milk. Based on calculation of energy balance of the sows, it was determined that sows supplemented with L-carnitine had a higher energy requirement for lactation and a higher total energy requirement. It was concluded that dietary L-carnitine could help sows maintain a high milk yield, resulting in fast growth of their piglets. </w:t>
      </w:r>
    </w:p>
    <w:p w14:paraId="7116E582" w14:textId="77777777" w:rsidR="00785714" w:rsidRPr="00D03C4D" w:rsidRDefault="00785714" w:rsidP="00571A9D">
      <w:pPr>
        <w:widowControl/>
        <w:rPr>
          <w:lang w:bidi="ar-SA"/>
        </w:rPr>
      </w:pPr>
    </w:p>
    <w:p w14:paraId="166F9F9E" w14:textId="77777777" w:rsidR="00785714" w:rsidRPr="00D03C4D" w:rsidRDefault="00785714" w:rsidP="00571A9D">
      <w:pPr>
        <w:widowControl/>
        <w:rPr>
          <w:lang w:bidi="ar-SA"/>
        </w:rPr>
      </w:pPr>
      <w:r w:rsidRPr="00D03C4D">
        <w:rPr>
          <w:lang w:bidi="ar-SA"/>
        </w:rPr>
        <w:t xml:space="preserve">This study was not intended to be a reproductive or developmental toxicity study, and measured only some of the endpoints usually included in such a study. However, results relevant to the assessment of reproductive and developmental toxicity showed that supplementation with L-carnitine at a rate of 125 mg/day through pregnancy and 250 mg/day through lactation had no adverse effects on conception rate, the number of piglets born, the live:dead ratio at birth, birthweights of piglets, or piglet growth and development to weaning. </w:t>
      </w:r>
    </w:p>
    <w:p w14:paraId="534B3FBF" w14:textId="77777777" w:rsidR="00785714" w:rsidRPr="00D03C4D" w:rsidRDefault="00785714" w:rsidP="00571A9D">
      <w:pPr>
        <w:keepNext/>
        <w:keepLines/>
        <w:widowControl/>
        <w:spacing w:before="240" w:after="240"/>
        <w:ind w:left="851" w:hanging="851"/>
        <w:outlineLvl w:val="3"/>
        <w:rPr>
          <w:b/>
          <w:bCs/>
          <w:i/>
          <w:iCs/>
          <w:szCs w:val="22"/>
          <w:lang w:bidi="ar-SA"/>
        </w:rPr>
      </w:pPr>
      <w:r w:rsidRPr="00D03C4D">
        <w:rPr>
          <w:b/>
          <w:bCs/>
          <w:i/>
          <w:iCs/>
          <w:szCs w:val="22"/>
          <w:lang w:bidi="ar-SA"/>
        </w:rPr>
        <w:lastRenderedPageBreak/>
        <w:t>Reproductive and Developmental Toxicity Studies; L-carnitine chloride</w:t>
      </w:r>
    </w:p>
    <w:p w14:paraId="08D969F1" w14:textId="2AE5087B" w:rsidR="00785714" w:rsidRPr="00D03C4D" w:rsidRDefault="00785714" w:rsidP="00571A9D">
      <w:pPr>
        <w:keepNext/>
        <w:keepLines/>
        <w:widowControl/>
        <w:rPr>
          <w:i/>
          <w:lang w:bidi="ar-SA"/>
        </w:rPr>
      </w:pPr>
      <w:r w:rsidRPr="00D03C4D">
        <w:rPr>
          <w:i/>
          <w:lang w:bidi="ar-SA"/>
        </w:rPr>
        <w:t xml:space="preserve">Reproductive study of L-carnitine chloride by oral gavage in rats (Itabashi </w:t>
      </w:r>
      <w:r w:rsidR="000B7678">
        <w:rPr>
          <w:i/>
          <w:lang w:bidi="ar-SA"/>
        </w:rPr>
        <w:t>et al. 1</w:t>
      </w:r>
      <w:r w:rsidRPr="00D03C4D">
        <w:rPr>
          <w:i/>
          <w:lang w:bidi="ar-SA"/>
        </w:rPr>
        <w:t>988a)</w:t>
      </w:r>
    </w:p>
    <w:p w14:paraId="17C1F714" w14:textId="77777777" w:rsidR="00785714" w:rsidRPr="00D03C4D" w:rsidRDefault="00785714" w:rsidP="00571A9D">
      <w:pPr>
        <w:keepNext/>
        <w:keepLines/>
        <w:widowControl/>
        <w:rPr>
          <w:i/>
          <w:lang w:bidi="ar-SA"/>
        </w:rPr>
      </w:pPr>
    </w:p>
    <w:p w14:paraId="07307A68" w14:textId="77777777" w:rsidR="00785714" w:rsidRPr="00D03C4D" w:rsidRDefault="00785714" w:rsidP="00571A9D">
      <w:pPr>
        <w:keepNext/>
        <w:keepLines/>
        <w:widowControl/>
        <w:rPr>
          <w:lang w:bidi="ar-SA"/>
        </w:rPr>
      </w:pPr>
      <w:r w:rsidRPr="00D03C4D">
        <w:rPr>
          <w:lang w:bidi="ar-SA"/>
        </w:rPr>
        <w:t xml:space="preserve">Crj:CD rats were purchased at 5 weeks of age and acclimated to standard laboratory environmental conditions for one week before being assigned to study. Rats were individually housed and provided with food and water </w:t>
      </w:r>
      <w:r w:rsidRPr="00D03C4D">
        <w:rPr>
          <w:i/>
          <w:lang w:bidi="ar-SA"/>
        </w:rPr>
        <w:t>ad libitum</w:t>
      </w:r>
      <w:r w:rsidRPr="00D03C4D">
        <w:rPr>
          <w:lang w:bidi="ar-SA"/>
        </w:rPr>
        <w:t xml:space="preserve">. Rats, 25/sex/group, were assigned to dose groups of 0, 100, 520 or 2700 mg/kg bw/day. The test material was dissolved in distilled water and administered by oral gavage at a dose volume of 10 mL/kg bw. Male rats were gavaged daily from the age of 42 days, for a total of 9 weeks prior to mating. Females were gavaged daily from 57 days of age for a total of 2 weeks prior to mating. Rats of both sexes were dosed daily during the 3-week cohabitation period for mating. After copulation was confirmed by vaginal smear or vaginal plug, dosing of the females continued through to gestation day (GD) 7. </w:t>
      </w:r>
    </w:p>
    <w:p w14:paraId="69D4ADD6" w14:textId="77777777" w:rsidR="00785714" w:rsidRPr="00D03C4D" w:rsidRDefault="00785714" w:rsidP="00571A9D">
      <w:pPr>
        <w:widowControl/>
        <w:rPr>
          <w:lang w:bidi="ar-SA"/>
        </w:rPr>
      </w:pPr>
    </w:p>
    <w:p w14:paraId="1F1DE494" w14:textId="77777777" w:rsidR="00785714" w:rsidRPr="00D03C4D" w:rsidRDefault="00785714" w:rsidP="00571A9D">
      <w:pPr>
        <w:widowControl/>
        <w:rPr>
          <w:lang w:bidi="ar-SA"/>
        </w:rPr>
      </w:pPr>
      <w:r w:rsidRPr="00D03C4D">
        <w:rPr>
          <w:lang w:bidi="ar-SA"/>
        </w:rPr>
        <w:t xml:space="preserve">Male rats were subject to daily clinical observations, twice-weekly body weight determination, and weekly measurement of food consumption and water intake. Female rats were also subject to daily clinical observations. Bodyweights of females were recorded weekly prior to the start of dosing, daily during the dosing period, and on GDs 11, 14, 17 and 20. Food and water intake of females were recorded weekly prior to conception, daily on GDs 1 through 7, and also on GDs 11, 14, 17 and 20. On GD 20, females were anaesthetised, exsanguinated and dissected for recording of numbers of corpora lutea, implantations, dead embryos and fetuses, and live fetuses. Females that were not pregnant 20 days after copulation were killed on that day and their reproductive tracts were examined microscopically for abnormalities. Fetuses that were alive on GD 20 were weighed with their placentas, examined and sexed. Fetuses were preserved as appropriate for internal examination or skeletal examination. </w:t>
      </w:r>
    </w:p>
    <w:p w14:paraId="58D6C294" w14:textId="77777777" w:rsidR="00785714" w:rsidRPr="00D03C4D" w:rsidRDefault="00785714" w:rsidP="00571A9D">
      <w:pPr>
        <w:widowControl/>
        <w:rPr>
          <w:lang w:bidi="ar-SA"/>
        </w:rPr>
      </w:pPr>
    </w:p>
    <w:p w14:paraId="41F3862D" w14:textId="77777777" w:rsidR="00785714" w:rsidRPr="00D03C4D" w:rsidRDefault="00785714" w:rsidP="00571A9D">
      <w:pPr>
        <w:widowControl/>
        <w:rPr>
          <w:lang w:bidi="ar-SA"/>
        </w:rPr>
      </w:pPr>
      <w:r w:rsidRPr="00D03C4D">
        <w:rPr>
          <w:lang w:bidi="ar-SA"/>
        </w:rPr>
        <w:t xml:space="preserve">Abnormal clinical observations in the males were limited to  the 2700 mg/kg bw/day group and included soft faeces, transient dyspnoea and some chromodacryorrhea. Group mean bodyweight of males in the 2700 mg/kg bw/day group was significantly lower than that of control males from day 3 of dosing, but group mean food consumption was only decreased on days 7, 14, 21 and 56 of treatment. Group mean food consumption was also decreased for 520 mg/kg bw/day males on days 14 and 21. Group mean water intake of the 2700 mg/kg bw/day males was significantly higher than that of the control group throughout the dosing period. Dosing with L-carnitine chloride had no effect on copulation index or fertility index of males. It is unclear from the translated paper when the males were killed and necropsied, but organ weight data show that testicular weight, relative to bodyweight was significantly increased in 2700 mg/kg bw/day males compared to control males, although absolute testicular weight was not increased. </w:t>
      </w:r>
    </w:p>
    <w:p w14:paraId="366F4118" w14:textId="77777777" w:rsidR="00785714" w:rsidRPr="00D03C4D" w:rsidRDefault="00785714" w:rsidP="00571A9D">
      <w:pPr>
        <w:widowControl/>
        <w:rPr>
          <w:lang w:bidi="ar-SA"/>
        </w:rPr>
      </w:pPr>
    </w:p>
    <w:p w14:paraId="6520F9E7" w14:textId="77777777" w:rsidR="00785714" w:rsidRPr="00D03C4D" w:rsidRDefault="00785714" w:rsidP="00571A9D">
      <w:pPr>
        <w:widowControl/>
        <w:rPr>
          <w:lang w:bidi="ar-SA"/>
        </w:rPr>
      </w:pPr>
      <w:r w:rsidRPr="00D03C4D">
        <w:rPr>
          <w:lang w:bidi="ar-SA"/>
        </w:rPr>
        <w:t xml:space="preserve">Abnormal clinical observations in the female rats were also confined to the 2700 mg/kg bw/day group and were those of soft faeces during the dosing period. There were no significant differences in group mean bodyweight between treated female rats and control females, prior to mating or during pregnancy. The group mean food consumption of females dosed with </w:t>
      </w:r>
      <w:r w:rsidRPr="00D03C4D">
        <w:rPr>
          <w:rFonts w:cs="Arial"/>
          <w:lang w:bidi="ar-SA"/>
        </w:rPr>
        <w:t>≥</w:t>
      </w:r>
      <w:r w:rsidRPr="00D03C4D">
        <w:rPr>
          <w:lang w:bidi="ar-SA"/>
        </w:rPr>
        <w:t xml:space="preserve"> 520 mg/kg bw/day was decreased, relative to that of female controls, on day 14 of dosing but a clear dose-response relationship was not evident. Group mean water intake of females in the 2700 mg/kg bw/day group was significantly increased, relative to that of controls, on day 7 and 14 of dosing. During pregnancy, group mean food consumption of all treated females was similar to that of female controls, but females in the 2700 mg/kg bw/day group had significantly higher group mean water intake on GDs 1 through 7 inclusive. Treatment with L-carnitine chloride had no effect on duration of oestrus or copulation index, and the group mean fertility index was slightly higher in treated females than controls, although there was no dose-response relationship. No significant treatment-related effects </w:t>
      </w:r>
      <w:r w:rsidRPr="00D03C4D">
        <w:rPr>
          <w:lang w:bidi="ar-SA"/>
        </w:rPr>
        <w:lastRenderedPageBreak/>
        <w:t>were evident in number of corpora lutea, number of implantations, number of dead embryos or fetuses, number or sex ratio of live fetuses, bodyweights of live fetuses, placental weights of fetuses, abnormalities on external examination of fetuses, abnormalities on internal examination of fetuses, or skeletal abnormalities of fetuses.</w:t>
      </w:r>
    </w:p>
    <w:p w14:paraId="3D1FF7FF" w14:textId="77777777" w:rsidR="00785714" w:rsidRPr="00D03C4D" w:rsidRDefault="00785714" w:rsidP="00571A9D">
      <w:pPr>
        <w:widowControl/>
        <w:rPr>
          <w:lang w:bidi="ar-SA"/>
        </w:rPr>
      </w:pPr>
    </w:p>
    <w:p w14:paraId="0E79CCC1" w14:textId="4612C068" w:rsidR="00785714" w:rsidRPr="00D03C4D" w:rsidRDefault="00785714" w:rsidP="00571A9D">
      <w:pPr>
        <w:widowControl/>
        <w:rPr>
          <w:i/>
          <w:lang w:bidi="ar-SA"/>
        </w:rPr>
      </w:pPr>
      <w:r w:rsidRPr="00D03C4D">
        <w:rPr>
          <w:lang w:bidi="ar-SA"/>
        </w:rPr>
        <w:t>On the basis of adverse effects on clinical observations in both sexes in the parent generation, and adverse effects on bodyweights of males in the parent generation, in the 2700 mg/kg bw/day group, the NOAEL identified in this study for the parent generation was 520 mg/kg bw/day</w:t>
      </w:r>
      <w:r w:rsidR="0055564D">
        <w:rPr>
          <w:lang w:bidi="ar-SA"/>
        </w:rPr>
        <w:t xml:space="preserve">. </w:t>
      </w:r>
      <w:r w:rsidRPr="00D03C4D">
        <w:rPr>
          <w:lang w:bidi="ar-SA"/>
        </w:rPr>
        <w:t>The NOAEL for reproductive performance of the parent generation, and for fetal development, was 2700 mg/kg bw/day, the highest dose tested</w:t>
      </w:r>
      <w:r w:rsidR="0055564D">
        <w:rPr>
          <w:lang w:bidi="ar-SA"/>
        </w:rPr>
        <w:t xml:space="preserve">. </w:t>
      </w:r>
    </w:p>
    <w:p w14:paraId="71B0B6CA" w14:textId="77777777" w:rsidR="00785714" w:rsidRPr="00D03C4D" w:rsidRDefault="00785714" w:rsidP="00571A9D">
      <w:pPr>
        <w:widowControl/>
        <w:rPr>
          <w:i/>
          <w:lang w:bidi="ar-SA"/>
        </w:rPr>
      </w:pPr>
    </w:p>
    <w:p w14:paraId="236169CE" w14:textId="5739D2BB" w:rsidR="00785714" w:rsidRPr="00D03C4D" w:rsidRDefault="00785714" w:rsidP="00571A9D">
      <w:pPr>
        <w:keepNext/>
        <w:keepLines/>
        <w:widowControl/>
        <w:rPr>
          <w:i/>
          <w:lang w:bidi="ar-SA"/>
        </w:rPr>
      </w:pPr>
      <w:r w:rsidRPr="00D03C4D">
        <w:rPr>
          <w:i/>
          <w:lang w:bidi="ar-SA"/>
        </w:rPr>
        <w:t xml:space="preserve">Perinatal and lactational study of L-carnitine chloride by oral gavage in rats (Itabashi </w:t>
      </w:r>
      <w:r w:rsidR="000B7678">
        <w:rPr>
          <w:i/>
          <w:lang w:bidi="ar-SA"/>
        </w:rPr>
        <w:t>et al. 1</w:t>
      </w:r>
      <w:r w:rsidRPr="00D03C4D">
        <w:rPr>
          <w:i/>
          <w:lang w:bidi="ar-SA"/>
        </w:rPr>
        <w:t>988b)</w:t>
      </w:r>
    </w:p>
    <w:p w14:paraId="6B24D894" w14:textId="77777777" w:rsidR="00785714" w:rsidRPr="00D03C4D" w:rsidRDefault="00785714" w:rsidP="00571A9D">
      <w:pPr>
        <w:keepNext/>
        <w:keepLines/>
        <w:widowControl/>
        <w:rPr>
          <w:i/>
          <w:lang w:bidi="ar-SA"/>
        </w:rPr>
      </w:pPr>
    </w:p>
    <w:p w14:paraId="7F95904F" w14:textId="77777777" w:rsidR="00785714" w:rsidRPr="00D03C4D" w:rsidRDefault="00785714" w:rsidP="00571A9D">
      <w:pPr>
        <w:keepNext/>
        <w:keepLines/>
        <w:widowControl/>
        <w:rPr>
          <w:lang w:bidi="ar-SA"/>
        </w:rPr>
      </w:pPr>
      <w:r w:rsidRPr="00D03C4D">
        <w:rPr>
          <w:lang w:bidi="ar-SA"/>
        </w:rPr>
        <w:t xml:space="preserve">Crj:CD rats were purchased and acclimated to laboratory conditions for one week prior to the start of this study. At study start, males in the P generation were 11 weeks old and females were 9 weeks old. Rats were individually housed from mating. Food and water were provided </w:t>
      </w:r>
      <w:r w:rsidRPr="00D03C4D">
        <w:rPr>
          <w:i/>
          <w:lang w:bidi="ar-SA"/>
        </w:rPr>
        <w:t>ad libitum</w:t>
      </w:r>
      <w:r w:rsidRPr="00D03C4D">
        <w:rPr>
          <w:lang w:bidi="ar-SA"/>
        </w:rPr>
        <w:t xml:space="preserve">, and environmental conditions were standard for laboratory animal housing. Based on previous studies, the dose levels were 0,100, 548 and 3000 mg/kg bw/day. The solvent and negative control material was distilled water. There were 25 female rats assigned to each group, although one female in the control group turned out not to be pregnant. The dose formulations were administered to the P generation female rats by oral gavage, at a volume of 10 mL/kg bw, every day from GD 17 to PND 21. Four days after birth the pups were rearranged into litters of 8 pups each. </w:t>
      </w:r>
    </w:p>
    <w:p w14:paraId="27CE324B" w14:textId="77777777" w:rsidR="00785714" w:rsidRPr="00D03C4D" w:rsidRDefault="00785714" w:rsidP="00571A9D">
      <w:pPr>
        <w:widowControl/>
        <w:rPr>
          <w:lang w:bidi="ar-SA"/>
        </w:rPr>
      </w:pPr>
    </w:p>
    <w:p w14:paraId="2C6C2A02" w14:textId="77777777" w:rsidR="00785714" w:rsidRPr="00D03C4D" w:rsidRDefault="00785714" w:rsidP="00571A9D">
      <w:pPr>
        <w:widowControl/>
        <w:rPr>
          <w:lang w:bidi="ar-SA"/>
        </w:rPr>
      </w:pPr>
      <w:r w:rsidRPr="00D03C4D">
        <w:rPr>
          <w:lang w:bidi="ar-SA"/>
        </w:rPr>
        <w:t xml:space="preserve">Endpoints measured in the P generation rats were survival, clinical observations with particular attention to nursing behaviour, body weights, food consumption, water intake, gross findings at necropsy on PND 22, and number of implantation sites. Endpoints measured in the pups (F1 generation) 24 hours after birth were live/dead ratio, bodyweight, sex, and external examination. Subsequent endpoints were development, bodyweights and bodyweight gain. One pup of each sex from each litter was subject to testing of reflexes. Pups from each sex and litter were assigned to open field test at 5 weeks of age, or Biel water-maze test at 6 weeks of age, or necropsy at 7 weeks of age, or necropsy at 10 weeks of age. When pups were 10 weeks of age, one male and one female were selected from each litter and paired with another rat, not a sibling, from the same dose group. Endpoints measured in the pregnant F1 females were bodyweights, food consumption and water intake. On GD20, the F1 females were exsanguinated under anaesthesia and necropsied to determine number of corpora lutea, number of implantations, number of dead embryos and fetuses, and number of live fetuses. Viable fetuses and placentas were weighted, foetuses were sexed and examined for external abnormalities, and they were then preserved for either internal examination or skeletal examination. All male rats used for breeding were killed at the end of the pairing period and weights of testes, epididymides, and prostate were recorded. </w:t>
      </w:r>
    </w:p>
    <w:p w14:paraId="4C94627F" w14:textId="77777777" w:rsidR="00785714" w:rsidRPr="00D03C4D" w:rsidRDefault="00785714" w:rsidP="00571A9D">
      <w:pPr>
        <w:widowControl/>
        <w:rPr>
          <w:lang w:bidi="ar-SA"/>
        </w:rPr>
      </w:pPr>
    </w:p>
    <w:p w14:paraId="73937ED2" w14:textId="77777777" w:rsidR="00785714" w:rsidRPr="00D03C4D" w:rsidRDefault="00785714" w:rsidP="00571A9D">
      <w:pPr>
        <w:widowControl/>
        <w:rPr>
          <w:lang w:bidi="ar-SA"/>
        </w:rPr>
      </w:pPr>
      <w:r w:rsidRPr="00D03C4D">
        <w:rPr>
          <w:lang w:bidi="ar-SA"/>
        </w:rPr>
        <w:t xml:space="preserve">All P generation females survived their pregnancies and lactations, and no treatment-related clinical abnormalities were observed. There were no apparent treatment-related effects on food consumption during pregnancy. Compared to control females, females in the 3000 mg/kg bw/day group had significantly elevated group mean water intake from GD 18-21. Females in the 548 mg/kg bw/day group also showed a transient increase in water consumption on GDs 18 and 19, but not on subsequent days. There were no treatment-related effects on pregnancy duration, number of implantations on PND 22, or number of pups alive 24 hours after birth. P generation dams in the 3000 mg/kg bw/day group had a significantly higher group mean food consumption on PNDs 1 and 2 than control dams, but not on subsequent days during lactation. However, group mean water consumption of the </w:t>
      </w:r>
      <w:r w:rsidRPr="00D03C4D">
        <w:rPr>
          <w:lang w:bidi="ar-SA"/>
        </w:rPr>
        <w:lastRenderedPageBreak/>
        <w:t xml:space="preserve">3000 mg/kg bw/day dams was significantly higher than that of control dams throughout lactation. Treatment had no effect on viability index ((litter size on PND 4/litter size at birth) x 100) or lactation index ((litter size on PND 21/litter size after culling on PND 4) x 100). Group mean bodyweight of male F1 pups  in the 3000 mg/kg bw/day group was minimally, but statistically significantly, lower than that of control males on PNDs 14 and 21 (95% and 94% respectively). Group mean bodyweight of female F1 in the 3000 mg/kg bw/day group was minimally, but statistically significantly, lower than that of control females on PND 21 (94%). Group mean bodyweights of F1 males from treated dams were comparable to those of control F1 males after weaning, but group mean bodyweights of females from dams dosed with </w:t>
      </w:r>
      <w:r w:rsidRPr="00D03C4D">
        <w:rPr>
          <w:rFonts w:cs="Arial"/>
          <w:lang w:bidi="ar-SA"/>
        </w:rPr>
        <w:t>≥</w:t>
      </w:r>
      <w:r w:rsidRPr="00D03C4D">
        <w:rPr>
          <w:lang w:bidi="ar-SA"/>
        </w:rPr>
        <w:t xml:space="preserve">548 mg/kg bw/day were consistently significantly lower than those of control females from PND 28 through to 70 inclusive. However, there was a lack of a dose-response relationship between group mean bodyweights of F1 females in the 548 mg/kg bw/day group and those of F1 females in the 3000 mg/kg bw/day group, because the group mean bodyweights of the 548 mg/kg bw/day group ranged from 91% to 94% those of female controls, whereas the group mean bodyweights of the 3000 mg/kg bw/day group ranged from 93% to 95%. </w:t>
      </w:r>
    </w:p>
    <w:p w14:paraId="7C753293" w14:textId="77777777" w:rsidR="00785714" w:rsidRPr="00D03C4D" w:rsidRDefault="00785714" w:rsidP="00571A9D">
      <w:pPr>
        <w:widowControl/>
        <w:rPr>
          <w:lang w:bidi="ar-SA"/>
        </w:rPr>
      </w:pPr>
    </w:p>
    <w:p w14:paraId="37222E02" w14:textId="77777777" w:rsidR="00785714" w:rsidRPr="00D03C4D" w:rsidRDefault="00785714" w:rsidP="00571A9D">
      <w:pPr>
        <w:widowControl/>
        <w:rPr>
          <w:lang w:bidi="ar-SA"/>
        </w:rPr>
      </w:pPr>
      <w:r w:rsidRPr="00D03C4D">
        <w:rPr>
          <w:lang w:bidi="ar-SA"/>
        </w:rPr>
        <w:t xml:space="preserve">Treatment had no effects on developmental milestones in F1 pups including pinna detachment, hair growth, opening of the external ear canal, incisor eruption, eye opening, descent of testes, opening of the vagina, or completion of penile development. Treatment also had no effect on behavioural developmental milestones including righting reflex on PND 2, gait on paws on PND 13, auricle reflex on PND 18, visual test on PND 21, pain response on PND 21 or pupillary reflex on PND 21. In an assessment of open-field activity, no consistent statistically significant differences were found between pups from treated dams, and those from controls. Fertility index of F1 rats was not affected by treatment, and there were no significant treatment-related differences found at necropsy on GD 20 in numbers of corpora lutea, number of implantations, numbers of dead or viable fetuses, pup weights, placental weights or sex ratios. External, internal and skeletal examinations of fetuses collected on GD 20 showed no treatment-related effects. </w:t>
      </w:r>
    </w:p>
    <w:p w14:paraId="354BDF44" w14:textId="77777777" w:rsidR="00785714" w:rsidRPr="00D03C4D" w:rsidRDefault="00785714" w:rsidP="00571A9D">
      <w:pPr>
        <w:widowControl/>
        <w:rPr>
          <w:lang w:bidi="ar-SA"/>
        </w:rPr>
      </w:pPr>
    </w:p>
    <w:p w14:paraId="3AC0F3B1" w14:textId="77777777" w:rsidR="00785714" w:rsidRPr="00D03C4D" w:rsidRDefault="00785714" w:rsidP="00571A9D">
      <w:pPr>
        <w:widowControl/>
        <w:rPr>
          <w:lang w:bidi="ar-SA"/>
        </w:rPr>
      </w:pPr>
      <w:r w:rsidRPr="00D03C4D">
        <w:rPr>
          <w:lang w:bidi="ar-SA"/>
        </w:rPr>
        <w:t xml:space="preserve">In F1 male pups necropsied at 7 weeks of age, absolute group mean weights of liver, spleen, adrenal glands, pituitary gland, submaxillary gland, and testes were significantly lower in pups in the 3000 mg/kg bw/day group when compared to those of male controls, but the differences disappeared when expressed relative to bodyweight, and no corresponding differences in group mean weights of liver, spleen, adrenal gland, pituitary gland or submaxillary gland were found in females in the same group. In F1 male pups necropsied at 10 weeks of age, only group mean testis weight, absolute and relative to bodyweight, in the 3000 mg/kg bw/day group was significantly lower than that of male controls. At 10 weeks of age, absolute group mean liver weight was significantly lower than that of female controls in females from dams dosed with </w:t>
      </w:r>
      <w:r w:rsidRPr="00D03C4D">
        <w:rPr>
          <w:rFonts w:cs="Arial"/>
          <w:lang w:bidi="ar-SA"/>
        </w:rPr>
        <w:t>≥</w:t>
      </w:r>
      <w:r w:rsidRPr="00D03C4D">
        <w:rPr>
          <w:lang w:bidi="ar-SA"/>
        </w:rPr>
        <w:t xml:space="preserve"> 548 mg/kg bw/day, but the difference was not observed in males and not evident in the 3000 mg/kg bw/day group when organ weight was expressed relative to bodyweight. Absolute group mean brain weight was also lower in females from dams dosed with </w:t>
      </w:r>
      <w:r w:rsidRPr="00D03C4D">
        <w:rPr>
          <w:rFonts w:cs="Arial"/>
          <w:lang w:bidi="ar-SA"/>
        </w:rPr>
        <w:t>≥</w:t>
      </w:r>
      <w:r w:rsidRPr="00D03C4D">
        <w:rPr>
          <w:lang w:bidi="ar-SA"/>
        </w:rPr>
        <w:t xml:space="preserve"> 548 mg/kg bw/day but again, the difference was not present in males and not found in the 3000 mg/kg bw/day group when organ weight was expressed relative to bodyweight. Other absolute group mean organ weights that were significantly lower in 3000 mg/kg bw/day females than in control females were pituitary gland and submaxillary gland, but these differences were not evident when organ weights were expressed relative to bodyweight. </w:t>
      </w:r>
    </w:p>
    <w:p w14:paraId="1751ABCA" w14:textId="77777777" w:rsidR="00785714" w:rsidRPr="00D03C4D" w:rsidRDefault="00785714" w:rsidP="00571A9D">
      <w:pPr>
        <w:widowControl/>
        <w:rPr>
          <w:lang w:bidi="ar-SA"/>
        </w:rPr>
      </w:pPr>
    </w:p>
    <w:p w14:paraId="333819BC" w14:textId="77777777" w:rsidR="00785714" w:rsidRPr="00D03C4D" w:rsidRDefault="00785714" w:rsidP="00571A9D">
      <w:pPr>
        <w:widowControl/>
        <w:rPr>
          <w:lang w:bidi="ar-SA"/>
        </w:rPr>
      </w:pPr>
      <w:r w:rsidRPr="00D03C4D">
        <w:rPr>
          <w:lang w:bidi="ar-SA"/>
        </w:rPr>
        <w:t xml:space="preserve">No treatment-related effects were found on necropsies of male rats of either the P of F1 generation that had been used for breeding. In P generation females killed on PND 22, the group mean absolute and relative liver weights of 3000 mg/kg bw/day females were significantly elevated compared to those of control females. </w:t>
      </w:r>
    </w:p>
    <w:p w14:paraId="0A40015D" w14:textId="77777777" w:rsidR="00785714" w:rsidRPr="00D03C4D" w:rsidRDefault="00785714" w:rsidP="00571A9D">
      <w:pPr>
        <w:widowControl/>
        <w:rPr>
          <w:lang w:bidi="ar-SA"/>
        </w:rPr>
      </w:pPr>
    </w:p>
    <w:p w14:paraId="54810BE0" w14:textId="4B88201F" w:rsidR="00785714" w:rsidRPr="00D03C4D" w:rsidRDefault="00785714" w:rsidP="00571A9D">
      <w:pPr>
        <w:widowControl/>
        <w:rPr>
          <w:lang w:bidi="ar-SA"/>
        </w:rPr>
      </w:pPr>
      <w:r w:rsidRPr="00D03C4D">
        <w:rPr>
          <w:lang w:bidi="ar-SA"/>
        </w:rPr>
        <w:lastRenderedPageBreak/>
        <w:t xml:space="preserve">The authors of the study identified a NOAEL for dams of 100 mg/kg bw/day, based on increased water intake during pregnancy in P generation females dosed with </w:t>
      </w:r>
      <w:r w:rsidRPr="00D03C4D">
        <w:rPr>
          <w:rFonts w:cs="Arial"/>
          <w:lang w:bidi="ar-SA"/>
        </w:rPr>
        <w:t>≥</w:t>
      </w:r>
      <w:r w:rsidRPr="00D03C4D">
        <w:rPr>
          <w:lang w:bidi="ar-SA"/>
        </w:rPr>
        <w:t xml:space="preserve"> 548 mg/kg bw/day. The NOAEL for growth and development of pups was identified as 100 mg/kg bw/day on the basis of decreased bodyweight gain in F1 females in the 548 and 3000 mg/kg bw/day groups</w:t>
      </w:r>
      <w:r w:rsidR="0055564D">
        <w:rPr>
          <w:lang w:bidi="ar-SA"/>
        </w:rPr>
        <w:t xml:space="preserve">. </w:t>
      </w:r>
      <w:r w:rsidRPr="00D03C4D">
        <w:rPr>
          <w:lang w:bidi="ar-SA"/>
        </w:rPr>
        <w:t xml:space="preserve">FSANZ disagrees with both these NOAELS. The increased water intake during pregnancy was not associated with any internal lesions or detrimental clinical signs, and is considered to be an adaptive, homeostatic response, probably reflecting the increased chloride intake. The decreased bodyweight gain in F1 females lacked a dose-response relationship, and furthermore there was considerable overlap in standard deviations between the control females and the treated females. In the absence of histological correlates, the increased absolute and relative liver weights of the 3000 mg/kg bw/day P generation females is also considered to be non-adverse, and FSANZ therefore considers the maternal NOAEL in this study to be 3000 mg/kg bw/day. FSANZ considers that the NOAEL for growth and development of pups is 548 mg/kg bw/day, based on lower group mean absolute and relative testis weights at 10 weeks of age, compared to those of male controls. </w:t>
      </w:r>
    </w:p>
    <w:p w14:paraId="75B167F7" w14:textId="77777777" w:rsidR="00785714" w:rsidRPr="00D03C4D" w:rsidRDefault="00785714" w:rsidP="00571A9D">
      <w:pPr>
        <w:widowControl/>
        <w:rPr>
          <w:i/>
          <w:lang w:bidi="ar-SA"/>
        </w:rPr>
      </w:pPr>
    </w:p>
    <w:p w14:paraId="31EE5589" w14:textId="6470A3E5" w:rsidR="00785714" w:rsidRPr="00D03C4D" w:rsidRDefault="00785714" w:rsidP="00571A9D">
      <w:pPr>
        <w:keepNext/>
        <w:keepLines/>
        <w:widowControl/>
        <w:rPr>
          <w:i/>
          <w:lang w:bidi="ar-SA"/>
        </w:rPr>
      </w:pPr>
      <w:r w:rsidRPr="00D03C4D">
        <w:rPr>
          <w:i/>
          <w:lang w:bidi="ar-SA"/>
        </w:rPr>
        <w:t xml:space="preserve">Multigeneration reproductive and teratogenicity study of L-carnitine chloride by oral gavage in rats (Nakamura </w:t>
      </w:r>
      <w:r w:rsidR="000B7678">
        <w:rPr>
          <w:i/>
          <w:lang w:bidi="ar-SA"/>
        </w:rPr>
        <w:t>et al. 1</w:t>
      </w:r>
      <w:r w:rsidRPr="00D03C4D">
        <w:rPr>
          <w:i/>
          <w:lang w:bidi="ar-SA"/>
        </w:rPr>
        <w:t>988)</w:t>
      </w:r>
    </w:p>
    <w:p w14:paraId="1F542457" w14:textId="77777777" w:rsidR="00785714" w:rsidRPr="00D03C4D" w:rsidRDefault="00785714" w:rsidP="00571A9D">
      <w:pPr>
        <w:keepNext/>
        <w:keepLines/>
        <w:widowControl/>
        <w:rPr>
          <w:i/>
          <w:lang w:bidi="ar-SA"/>
        </w:rPr>
      </w:pPr>
    </w:p>
    <w:p w14:paraId="7A02E097" w14:textId="77777777" w:rsidR="00785714" w:rsidRPr="00D03C4D" w:rsidRDefault="00785714" w:rsidP="00571A9D">
      <w:pPr>
        <w:keepNext/>
        <w:keepLines/>
        <w:widowControl/>
        <w:rPr>
          <w:lang w:bidi="ar-SA"/>
        </w:rPr>
      </w:pPr>
      <w:r w:rsidRPr="00D03C4D">
        <w:rPr>
          <w:lang w:bidi="ar-SA"/>
        </w:rPr>
        <w:t xml:space="preserve">Crj:CD rats were purchased at 9 weeks old and acclimated for a week prior to being paired one-to-one by sex for one night. Females that had vaginal plugs the next day were considered to be dams on GD 0, and were assigned to groups to be dosed with L-carnitine chloride at doses of 0, 100, 447.7 or 3000 mg/kg bw/day. The high dose was selected on the basis of earlier studies that indicated that slight maternal toxicity could be expected at this dose. Each group included 21-24 dams to be killed prior to parturition, and 12 dams that would be allowed to give birth. Dams were maintained under standard laboratory environmental conditions and provided with food and water </w:t>
      </w:r>
      <w:r w:rsidRPr="00D03C4D">
        <w:rPr>
          <w:i/>
          <w:lang w:bidi="ar-SA"/>
        </w:rPr>
        <w:t>ad libitum</w:t>
      </w:r>
      <w:r w:rsidRPr="00D03C4D">
        <w:rPr>
          <w:lang w:bidi="ar-SA"/>
        </w:rPr>
        <w:t xml:space="preserve">. They were group-housed to GD 20, after which they were individually housed. Test material was administered as a solution in water by oral gavage once daily from GD 7 to GD 17 inclusive. The dose volume was 10 mL/kg bw. </w:t>
      </w:r>
    </w:p>
    <w:p w14:paraId="5B6EE987" w14:textId="77777777" w:rsidR="00785714" w:rsidRPr="00D03C4D" w:rsidRDefault="00785714" w:rsidP="00571A9D">
      <w:pPr>
        <w:widowControl/>
        <w:rPr>
          <w:lang w:bidi="ar-SA"/>
        </w:rPr>
      </w:pPr>
    </w:p>
    <w:p w14:paraId="4901D6CE" w14:textId="77777777" w:rsidR="00785714" w:rsidRPr="00D03C4D" w:rsidRDefault="00785714" w:rsidP="00571A9D">
      <w:pPr>
        <w:widowControl/>
        <w:rPr>
          <w:lang w:bidi="ar-SA"/>
        </w:rPr>
      </w:pPr>
      <w:r w:rsidRPr="00D03C4D">
        <w:rPr>
          <w:lang w:bidi="ar-SA"/>
        </w:rPr>
        <w:t xml:space="preserve">Dam bodyweights were recorded on GDs 0, 4, 7-20, and, in dams allowed to give birth, on postnatal days (PNDs) 0, 4, 7, 11, 14, 17 and 21. Food and water consumption were recorded on GDs 4, 8, 11, 14, 17 and 20, and PNDs 1, 4, 7, 11, 14, 17 and 21. </w:t>
      </w:r>
    </w:p>
    <w:p w14:paraId="669A72DA" w14:textId="77777777" w:rsidR="00785714" w:rsidRPr="00D03C4D" w:rsidRDefault="00785714" w:rsidP="00571A9D">
      <w:pPr>
        <w:widowControl/>
        <w:rPr>
          <w:lang w:bidi="ar-SA"/>
        </w:rPr>
      </w:pPr>
    </w:p>
    <w:p w14:paraId="4E35031D" w14:textId="77777777" w:rsidR="00785714" w:rsidRPr="00D03C4D" w:rsidRDefault="00785714" w:rsidP="00571A9D">
      <w:pPr>
        <w:widowControl/>
        <w:rPr>
          <w:lang w:bidi="ar-SA"/>
        </w:rPr>
      </w:pPr>
      <w:r w:rsidRPr="00D03C4D">
        <w:rPr>
          <w:lang w:bidi="ar-SA"/>
        </w:rPr>
        <w:t xml:space="preserve">Dams killed prior to parturition were subject to Caesarean section and necropsy on GD 20. At Caesarean section, the numbers of corpora lutea, implantation sites, live fetuses, dead fetuses and partial resorptions were recorded. Placentas of live fetuses were weighed. Surviving pups were sexed, weighed and examined for external abnormalities. Half were preserved and processed for internal examination and half were preserved and processed for skeletal examination. </w:t>
      </w:r>
    </w:p>
    <w:p w14:paraId="62C55B48" w14:textId="77777777" w:rsidR="00785714" w:rsidRPr="00D03C4D" w:rsidRDefault="00785714" w:rsidP="00571A9D">
      <w:pPr>
        <w:widowControl/>
        <w:rPr>
          <w:lang w:bidi="ar-SA"/>
        </w:rPr>
      </w:pPr>
    </w:p>
    <w:p w14:paraId="484BBAA3" w14:textId="77777777" w:rsidR="00785714" w:rsidRPr="00D03C4D" w:rsidRDefault="00785714" w:rsidP="00571A9D">
      <w:pPr>
        <w:widowControl/>
        <w:rPr>
          <w:lang w:bidi="ar-SA"/>
        </w:rPr>
      </w:pPr>
      <w:r w:rsidRPr="00D03C4D">
        <w:rPr>
          <w:lang w:bidi="ar-SA"/>
        </w:rPr>
        <w:t xml:space="preserve">The remaining dams in each group were allowed to give birth spontaneously, and maintained to PND 21, the day of weaning. The length of gestation was recorded, as were the live birth index, and the numbers and live:dead ratio of pups. Pups were sexed, weighed and examined for external abnormalities. The number of surviving pups was recorded daily until PND 21 for each litter. Other endpoints measured in live pups were pinna detachment, appearance of abdominal hair, eruption of incisors, separation of eyelids, descent of testes, and vaginal opening. Pups were redistributed on PND 4, after weighing, to standardise litter sizes to approximately 4/sex/dam. Surplus pups were killed and necropsied, with recording of fresh weights of heart, lung, liver, kidneys, and spleen. On PND 21, three pups/sex/litter were weaned and maintained alive, while the rest of the pups were killed and necropsied, with fresh weights of brain, heart, lungs, liver, kidneys, adrenal glands, spleen and gonads </w:t>
      </w:r>
      <w:r w:rsidRPr="00D03C4D">
        <w:rPr>
          <w:lang w:bidi="ar-SA"/>
        </w:rPr>
        <w:lastRenderedPageBreak/>
        <w:t xml:space="preserve">recorded. Pups killed at PND 21 were also processed for examination of the skeleton. Surviving pups were weighed on PNDs 0, 4, 7, 11, 14, 17, 21, 28, 35, 42, 49, 56, 63 and 70. </w:t>
      </w:r>
    </w:p>
    <w:p w14:paraId="1C43E51F" w14:textId="77777777" w:rsidR="00785714" w:rsidRPr="00D03C4D" w:rsidRDefault="00785714" w:rsidP="00571A9D">
      <w:pPr>
        <w:widowControl/>
        <w:rPr>
          <w:lang w:bidi="ar-SA"/>
        </w:rPr>
      </w:pPr>
    </w:p>
    <w:p w14:paraId="73B98AEF" w14:textId="77777777" w:rsidR="00785714" w:rsidRPr="00D03C4D" w:rsidRDefault="00785714" w:rsidP="00571A9D">
      <w:pPr>
        <w:widowControl/>
        <w:rPr>
          <w:lang w:bidi="ar-SA"/>
        </w:rPr>
      </w:pPr>
      <w:r w:rsidRPr="00D03C4D">
        <w:rPr>
          <w:lang w:bidi="ar-SA"/>
        </w:rPr>
        <w:t xml:space="preserve">Pups maintained beyond weaning were subject to functional and behavioural assessments including testing of reflexes, wheel cage performance at weaning, inclined screen test at weaning, rotarod performance at weaning, open field test at 8 weeks of age, water T-maze test at 9 weeks of age, conditioned avoidance response at 10 weeks age. After 10 weeks, surviving pups were paired with a pup of the opposite sex from the same maternal dose group. Days to copulation, copulation index and pregnancy index were calculated. Dams of the F1 generation were weighed on GDs 0, 4, 7, 11, 14, 17, and 20. All F1 dams were allowed to give birth naturally and their pups were subject to the same observations to GD 4, when the F1 dams and F2 pups were killed. Dams were subject to necropsy. Half the pups were processed for internal examination and half for skeletal examination. </w:t>
      </w:r>
    </w:p>
    <w:p w14:paraId="3013E744" w14:textId="77777777" w:rsidR="00785714" w:rsidRPr="00D03C4D" w:rsidRDefault="00785714" w:rsidP="00571A9D">
      <w:pPr>
        <w:widowControl/>
        <w:rPr>
          <w:lang w:bidi="ar-SA"/>
        </w:rPr>
      </w:pPr>
    </w:p>
    <w:p w14:paraId="069BD9AC" w14:textId="77777777" w:rsidR="00785714" w:rsidRPr="00D03C4D" w:rsidRDefault="00785714" w:rsidP="00571A9D">
      <w:pPr>
        <w:widowControl/>
        <w:rPr>
          <w:lang w:bidi="ar-SA"/>
        </w:rPr>
      </w:pPr>
      <w:r w:rsidRPr="00D03C4D">
        <w:rPr>
          <w:lang w:bidi="ar-SA"/>
        </w:rPr>
        <w:t xml:space="preserve">Males used for assessment of reproductive capability were killed and necropsied at the end of the mating period. Females that did not conceive were killed and necropsied on Day 24 after the end of the mating period, and their uteri and ovaries were weighed and processed for histopathology. </w:t>
      </w:r>
    </w:p>
    <w:p w14:paraId="23FA5747" w14:textId="77777777" w:rsidR="00785714" w:rsidRPr="00D03C4D" w:rsidRDefault="00785714" w:rsidP="00571A9D">
      <w:pPr>
        <w:widowControl/>
        <w:rPr>
          <w:lang w:bidi="ar-SA"/>
        </w:rPr>
      </w:pPr>
    </w:p>
    <w:p w14:paraId="55F316AF" w14:textId="77777777" w:rsidR="00785714" w:rsidRPr="00D03C4D" w:rsidRDefault="00785714" w:rsidP="00571A9D">
      <w:pPr>
        <w:keepNext/>
        <w:keepLines/>
        <w:widowControl/>
        <w:rPr>
          <w:lang w:bidi="ar-SA"/>
        </w:rPr>
      </w:pPr>
      <w:r w:rsidRPr="00D03C4D">
        <w:rPr>
          <w:lang w:bidi="ar-SA"/>
        </w:rPr>
        <w:t>There were no test material-related deaths in the P generatio</w:t>
      </w:r>
      <w:r>
        <w:rPr>
          <w:lang w:bidi="ar-SA"/>
        </w:rPr>
        <w:t>n. Among dams in the 3000 mg/kg </w:t>
      </w:r>
      <w:r w:rsidRPr="00D03C4D">
        <w:rPr>
          <w:lang w:bidi="ar-SA"/>
        </w:rPr>
        <w:t xml:space="preserve">bw/day group, there were low incidences of clinical observations possibly attributable to treatment, including hypersalivation, loose stools and soiling of abdominal hair. Relative to the control P dams, the P dams in the 3000 mg/kg bw/day group had significantly lower bodyweight gain during pregnancy, with a compensatory increase in bodyweight gain during lactation. Group mean food consumption of the 3000 mg/kg bw/day dams was significantly decreased on GD 8, the day after dosing commenced, but this effect was not apparent on subsequent measurements of food consumption during pregnancy. Group mean water intake in the same group, on the other hand, was significantly elevated relative to that of controls on GDs 8, 1, 14, and 17, the four days when water intake was measured during the dosing period. The 3000 mg/kg bw/day dams had significantly higher food consumption than controls on two of the days during lactation when food consumption was measured. Water intake during lactation showed no significant differences between treated dams and controls. </w:t>
      </w:r>
    </w:p>
    <w:p w14:paraId="69BA13E2" w14:textId="77777777" w:rsidR="00785714" w:rsidRPr="00D03C4D" w:rsidRDefault="00785714" w:rsidP="00571A9D">
      <w:pPr>
        <w:widowControl/>
        <w:rPr>
          <w:lang w:bidi="ar-SA"/>
        </w:rPr>
      </w:pPr>
    </w:p>
    <w:p w14:paraId="2299BCEA" w14:textId="77777777" w:rsidR="00785714" w:rsidRPr="00D03C4D" w:rsidRDefault="00785714" w:rsidP="00571A9D">
      <w:pPr>
        <w:widowControl/>
        <w:rPr>
          <w:lang w:bidi="ar-SA"/>
        </w:rPr>
      </w:pPr>
      <w:r w:rsidRPr="00D03C4D">
        <w:rPr>
          <w:lang w:bidi="ar-SA"/>
        </w:rPr>
        <w:t xml:space="preserve">Among dams killed on GD 20, there were no significant differences between treated P dams and controls in numbers of corpora lutea, number of implantations, prenatal deaths, numbers or sex ratios of live pups, pup weights, placental weights or incidence of external abnormalities of pups. The number of ossified metacarpal bones was increased in pups in the 3000 mg/kg bw/day group, but this was considered to be an incidental finding. The group mean lung weight of 3000 mg/kg bw/day dams killed on GD 20 was significantly higher than that of controls, and this was attributed by the authors of the study to treatment, but was not associated with any microscopic lesions. It was noted that if the change was treatment-related, it was reversible, in that it was not evident in dams killed at the time of weaning. </w:t>
      </w:r>
    </w:p>
    <w:p w14:paraId="7EF1217D" w14:textId="77777777" w:rsidR="00785714" w:rsidRPr="00D03C4D" w:rsidRDefault="00785714" w:rsidP="00571A9D">
      <w:pPr>
        <w:widowControl/>
        <w:rPr>
          <w:lang w:bidi="ar-SA"/>
        </w:rPr>
      </w:pPr>
    </w:p>
    <w:p w14:paraId="039EB95E" w14:textId="77777777" w:rsidR="00785714" w:rsidRPr="00D03C4D" w:rsidRDefault="00785714" w:rsidP="00571A9D">
      <w:pPr>
        <w:widowControl/>
        <w:rPr>
          <w:lang w:bidi="ar-SA"/>
        </w:rPr>
      </w:pPr>
      <w:r w:rsidRPr="00D03C4D">
        <w:rPr>
          <w:lang w:bidi="ar-SA"/>
        </w:rPr>
        <w:t>Among P generation dams allowed to give birth, there was no significant differences between treated rats and controls in delivery index, period of gestation, number of implantations, incidence of stillbirth, number of liveborn pups, sex ratio of pups, live birth index, bodyweights of pups by sex, viability index at PND 4, weaning index at PND 21, or survival index at PND 70. No pups had external abnormalities. Dosing of dams had no effect on developmental milestones of pinna detachment, appearance of abdominal hair, incisor eruption, eyelid separation, testis descent or vaginal opening. In functional and behavioural assessments of F1 rats, on the water T-maze test, there was a significant increase in the error rate and swimming time of 3000 mg/kg bw/day female pups on the 8</w:t>
      </w:r>
      <w:r w:rsidRPr="00D03C4D">
        <w:rPr>
          <w:vertAlign w:val="superscript"/>
          <w:lang w:bidi="ar-SA"/>
        </w:rPr>
        <w:t>th</w:t>
      </w:r>
      <w:r w:rsidRPr="00D03C4D">
        <w:rPr>
          <w:lang w:bidi="ar-SA"/>
        </w:rPr>
        <w:t xml:space="preserve"> day of testing. These findings were attributed by the authors to the test material. </w:t>
      </w:r>
    </w:p>
    <w:p w14:paraId="7B39EF7C" w14:textId="77777777" w:rsidR="00785714" w:rsidRPr="00D03C4D" w:rsidRDefault="00785714" w:rsidP="00571A9D">
      <w:pPr>
        <w:widowControl/>
        <w:rPr>
          <w:lang w:bidi="ar-SA"/>
        </w:rPr>
      </w:pPr>
    </w:p>
    <w:p w14:paraId="78A56BEB" w14:textId="77777777" w:rsidR="00785714" w:rsidRPr="00D03C4D" w:rsidRDefault="00785714" w:rsidP="00571A9D">
      <w:pPr>
        <w:widowControl/>
        <w:rPr>
          <w:lang w:bidi="ar-SA"/>
        </w:rPr>
      </w:pPr>
      <w:r w:rsidRPr="00D03C4D">
        <w:rPr>
          <w:lang w:bidi="ar-SA"/>
        </w:rPr>
        <w:t xml:space="preserve">There were no treatment-related effects on copulation index or pregnancy index of F1 rats, or on number of implantations, number of stillborn pups, number of liveborn pups, sex ratio of offspring, incidence of external abnormalities, PND 4 viability, or bodyweights of F2 pups at birth or on PND 4. Group mean gestation length was marginally increased for the 3000 mg/kg bw/day group, relative to the control group, but remained within the normal range. </w:t>
      </w:r>
    </w:p>
    <w:p w14:paraId="7D2A0A95" w14:textId="77777777" w:rsidR="00785714" w:rsidRPr="00D03C4D" w:rsidRDefault="00785714" w:rsidP="00571A9D">
      <w:pPr>
        <w:widowControl/>
        <w:rPr>
          <w:lang w:bidi="ar-SA"/>
        </w:rPr>
      </w:pPr>
    </w:p>
    <w:p w14:paraId="50E4EBD7" w14:textId="4F332D4E" w:rsidR="00785714" w:rsidRPr="00D03C4D" w:rsidRDefault="00785714" w:rsidP="00571A9D">
      <w:pPr>
        <w:widowControl/>
        <w:rPr>
          <w:i/>
          <w:lang w:bidi="ar-SA"/>
        </w:rPr>
      </w:pPr>
      <w:r w:rsidRPr="00D03C4D">
        <w:rPr>
          <w:lang w:bidi="ar-SA"/>
        </w:rPr>
        <w:t>FSANZ concurs with the authors that the NOAEL for maternal toxicity was 547.7 mg/kg bw/day, on the basis of mild clinical signs and depressed bodyweight during pregnancy, and that the NOAEL for reproductive toxicity in the P and F1 generation was 3000 mg/kg bw/day, the highest dose tested. The authors concluded the NOAEL for development and behaviour of F1 pups was 100 mg/kg bw/day, on the basis of slightly poorer performance on water T-maze trial two of twelve trials, although on one of those two trials, the group mean performance 547.7 mg/kg</w:t>
      </w:r>
      <w:r w:rsidR="00952144">
        <w:rPr>
          <w:lang w:bidi="ar-SA"/>
        </w:rPr>
        <w:t xml:space="preserve"> bw</w:t>
      </w:r>
      <w:r w:rsidRPr="00D03C4D">
        <w:rPr>
          <w:lang w:bidi="ar-SA"/>
        </w:rPr>
        <w:t>/d</w:t>
      </w:r>
      <w:r w:rsidR="00952144">
        <w:rPr>
          <w:lang w:bidi="ar-SA"/>
        </w:rPr>
        <w:t>ay</w:t>
      </w:r>
      <w:r w:rsidRPr="00D03C4D">
        <w:rPr>
          <w:lang w:bidi="ar-SA"/>
        </w:rPr>
        <w:t xml:space="preserve"> group was worse than that of the 3000 mg/kg</w:t>
      </w:r>
      <w:r w:rsidR="00952144">
        <w:rPr>
          <w:lang w:bidi="ar-SA"/>
        </w:rPr>
        <w:t xml:space="preserve"> bw</w:t>
      </w:r>
      <w:r w:rsidRPr="00D03C4D">
        <w:rPr>
          <w:lang w:bidi="ar-SA"/>
        </w:rPr>
        <w:t>/d</w:t>
      </w:r>
      <w:r w:rsidR="00952144">
        <w:rPr>
          <w:lang w:bidi="ar-SA"/>
        </w:rPr>
        <w:t>ay</w:t>
      </w:r>
      <w:r w:rsidRPr="00D03C4D">
        <w:rPr>
          <w:lang w:bidi="ar-SA"/>
        </w:rPr>
        <w:t xml:space="preserve"> group. Furthermore, although individual data are not available, the standard deviations for group mean performance on this trial by 3000 mg/kg bw/day females are very large, suggesting poor performance by one or two individuals may have skewed the results</w:t>
      </w:r>
      <w:r w:rsidR="0055564D">
        <w:rPr>
          <w:lang w:bidi="ar-SA"/>
        </w:rPr>
        <w:t xml:space="preserve">. </w:t>
      </w:r>
      <w:r w:rsidRPr="00D03C4D">
        <w:rPr>
          <w:lang w:bidi="ar-SA"/>
        </w:rPr>
        <w:t xml:space="preserve">Therefore FSANZ does not agree with the authors, but considers the NOAEL for development and behaviour of the F1 pups to be a maternal dose of 3000 mg/kg bw/day. </w:t>
      </w:r>
    </w:p>
    <w:p w14:paraId="79387EBA" w14:textId="77777777" w:rsidR="00785714" w:rsidRPr="00D03C4D" w:rsidRDefault="00785714" w:rsidP="00571A9D">
      <w:pPr>
        <w:widowControl/>
        <w:rPr>
          <w:i/>
          <w:lang w:bidi="ar-SA"/>
        </w:rPr>
      </w:pPr>
    </w:p>
    <w:p w14:paraId="0762ADCB" w14:textId="1DB59A71" w:rsidR="00785714" w:rsidRPr="00D03C4D" w:rsidRDefault="00785714" w:rsidP="00571A9D">
      <w:pPr>
        <w:keepNext/>
        <w:keepLines/>
        <w:widowControl/>
        <w:rPr>
          <w:i/>
          <w:lang w:bidi="ar-SA"/>
        </w:rPr>
      </w:pPr>
      <w:r w:rsidRPr="00D03C4D">
        <w:rPr>
          <w:i/>
          <w:lang w:bidi="ar-SA"/>
        </w:rPr>
        <w:t xml:space="preserve">Teratogenicity study of oral L-carnitine chloride in rabbits (Toteno </w:t>
      </w:r>
      <w:r w:rsidR="000B7678">
        <w:rPr>
          <w:i/>
          <w:lang w:bidi="ar-SA"/>
        </w:rPr>
        <w:t>et al. 1</w:t>
      </w:r>
      <w:r w:rsidRPr="00D03C4D">
        <w:rPr>
          <w:i/>
          <w:lang w:bidi="ar-SA"/>
        </w:rPr>
        <w:t>988)</w:t>
      </w:r>
    </w:p>
    <w:p w14:paraId="6FB200E9" w14:textId="77777777" w:rsidR="00785714" w:rsidRPr="00D03C4D" w:rsidRDefault="00785714" w:rsidP="00571A9D">
      <w:pPr>
        <w:keepNext/>
        <w:keepLines/>
        <w:widowControl/>
        <w:rPr>
          <w:i/>
          <w:lang w:bidi="ar-SA"/>
        </w:rPr>
      </w:pPr>
    </w:p>
    <w:p w14:paraId="1AD9E561" w14:textId="77777777" w:rsidR="00785714" w:rsidRPr="00D03C4D" w:rsidRDefault="00785714" w:rsidP="00571A9D">
      <w:pPr>
        <w:keepNext/>
        <w:keepLines/>
        <w:widowControl/>
        <w:rPr>
          <w:lang w:bidi="ar-SA"/>
        </w:rPr>
      </w:pPr>
      <w:r w:rsidRPr="00D03C4D">
        <w:rPr>
          <w:lang w:bidi="ar-SA"/>
        </w:rPr>
        <w:t xml:space="preserve">Male Japanese white rabbits were approximately six months old at time of purchase, and females were approximately five months old. Rabbits were acclimated to laboratory conditions for approximately four weeks prior to study start. They were individually housed and environmental conditions were standard for husbandry of laboratory rabbits. Food and water and provided </w:t>
      </w:r>
      <w:r w:rsidRPr="00D03C4D">
        <w:rPr>
          <w:i/>
          <w:lang w:bidi="ar-SA"/>
        </w:rPr>
        <w:t>ad libitum</w:t>
      </w:r>
      <w:r w:rsidRPr="00D03C4D">
        <w:rPr>
          <w:lang w:bidi="ar-SA"/>
        </w:rPr>
        <w:t xml:space="preserve">. Based on previous studies, the dose levels selected were 0, 100, 316 and 1000 mg/kg bw/day. Fourteen female rabbits were assigned to each group, with the exception of the 100 mg/kg bw/day group in which there were 13 female rabbits. The test material was administered as a solution in distilled water, at a dose volume of 10 mL/kg, daily from GD 6 through to 18 inclusive. Dose formulations were based on daily bodyweights. Rabbits were observed daily, and food consumption and water intake were recorded. Rabbits were killed on GD 29 and necropsied. Numbers of corpora lutea, number of implantations, number of dead and resorbed fetuses, and the number of viable fetuses were recorded. Viable fetuses were weighed and examined for external or oral abnormalities, and their placentas were weighed. They were then necropsied for sex determination and examination for internal abnormalities. Hearts and major vessels were fixed and examined microscopically for abnormalities. Skeletons were processed for examination for deformities, variations and assessment of ossification. </w:t>
      </w:r>
    </w:p>
    <w:p w14:paraId="34418218" w14:textId="77777777" w:rsidR="00785714" w:rsidRPr="00D03C4D" w:rsidRDefault="00785714" w:rsidP="00571A9D">
      <w:pPr>
        <w:widowControl/>
        <w:rPr>
          <w:lang w:bidi="ar-SA"/>
        </w:rPr>
      </w:pPr>
    </w:p>
    <w:p w14:paraId="5028B3FA" w14:textId="77777777" w:rsidR="00785714" w:rsidRPr="00D03C4D" w:rsidRDefault="00785714" w:rsidP="00571A9D">
      <w:pPr>
        <w:widowControl/>
        <w:rPr>
          <w:lang w:bidi="ar-SA"/>
        </w:rPr>
      </w:pPr>
      <w:r w:rsidRPr="00D03C4D">
        <w:rPr>
          <w:lang w:bidi="ar-SA"/>
        </w:rPr>
        <w:t xml:space="preserve">All the dams survived to scheduled termination. Twelve of the 14 dams in the 1000 mg/kg bw/day group developed soft or diarrhetic faeces during the dosing period, and two also exhibited transient depression of pinna temperature. Two rabbits, one in the 100 mg/kg bw/day group and one in the 316 mg/kg bw/day group, lost their pregnancies after suffering dosing accidents that caused thoracic empyaema. One other dam in the 316 mg/kg bw/day group, aborted because all the fetuses had died </w:t>
      </w:r>
      <w:r w:rsidRPr="00D03C4D">
        <w:rPr>
          <w:i/>
          <w:lang w:bidi="ar-SA"/>
        </w:rPr>
        <w:t>in utero</w:t>
      </w:r>
      <w:r w:rsidRPr="00D03C4D">
        <w:rPr>
          <w:lang w:bidi="ar-SA"/>
        </w:rPr>
        <w:t xml:space="preserve">, an outcome that was not considered to be due to the test material because it affected only one individual. There were no statistically significant differences in group mean food consumption between the treated dams and the controls. All groups showed a decline in food consumption during the dosing period, with a compensatory increase in food consumption after the dosing period ended on GD 18. Group mean water intake was also decreased in all groups during the dosing period, and the difference in group mean water intake was significant between the 1000 mg/kg bw/day group and the control group on GDs 7 and 9. Group mean bodyweight gain was somewhat depressed in the 1000 mg/kg bw/day group, when compared to the control group, </w:t>
      </w:r>
      <w:r w:rsidRPr="00D03C4D">
        <w:rPr>
          <w:lang w:bidi="ar-SA"/>
        </w:rPr>
        <w:lastRenderedPageBreak/>
        <w:t xml:space="preserve">between GDs 7 and 10, but this difference was not statistically significant. The only significant finding in dams at scheduled necropsy was a decrease in the number of surviving female fetuses, and an increase in the number of surviving male fetuses in the 1000 mg/kg bw/day group, compared to the control group. There were no significant differences in group mean values for numbers of corpora lutea , number of implantations, plantation index, total number of viable fetuses, number of dead and resorbed fetuses, fetal viability index, fetal weight, placental weight, or fetuses of bodyweight less than 70% of the mean fetal weight for the control group. There were no treatment-related external abnormalities, internal abnormalities, skeletal abnormalities or differences in progress of ossification. </w:t>
      </w:r>
    </w:p>
    <w:p w14:paraId="448D4ED1" w14:textId="77777777" w:rsidR="00785714" w:rsidRPr="00D03C4D" w:rsidRDefault="00785714" w:rsidP="00571A9D">
      <w:pPr>
        <w:widowControl/>
        <w:rPr>
          <w:lang w:bidi="ar-SA"/>
        </w:rPr>
      </w:pPr>
    </w:p>
    <w:p w14:paraId="7C158F53" w14:textId="77777777" w:rsidR="00785714" w:rsidRPr="007B6FC3" w:rsidRDefault="00785714" w:rsidP="00571A9D">
      <w:pPr>
        <w:widowControl/>
        <w:rPr>
          <w:lang w:bidi="ar-SA"/>
        </w:rPr>
      </w:pPr>
      <w:r w:rsidRPr="00D03C4D">
        <w:rPr>
          <w:lang w:bidi="ar-SA"/>
        </w:rPr>
        <w:t xml:space="preserve">FSANZ concurs with the authors’ conclusion that, on the basis of clinical signs of diarrhoea, decreased food consumption and bodyweight gain, and decreased water intake, the NOAEL for the dams was 316 mg/kg bw/day, and that the NOAEL for fetuses was the maternal dose of 1000 mg/kg bw/day. </w:t>
      </w:r>
    </w:p>
    <w:p w14:paraId="62285677" w14:textId="77777777" w:rsidR="00785714" w:rsidRPr="00D03C4D" w:rsidRDefault="00785714" w:rsidP="00571A9D">
      <w:pPr>
        <w:keepNext/>
        <w:widowControl/>
        <w:spacing w:before="240" w:after="240"/>
        <w:ind w:left="851" w:hanging="851"/>
        <w:outlineLvl w:val="3"/>
        <w:rPr>
          <w:b/>
          <w:bCs/>
          <w:i/>
          <w:iCs/>
          <w:szCs w:val="22"/>
          <w:lang w:bidi="ar-SA"/>
        </w:rPr>
      </w:pPr>
      <w:r w:rsidRPr="00D03C4D">
        <w:rPr>
          <w:b/>
          <w:bCs/>
          <w:i/>
          <w:iCs/>
          <w:szCs w:val="22"/>
          <w:lang w:bidi="ar-SA"/>
        </w:rPr>
        <w:t>Carcinogenicity studies</w:t>
      </w:r>
    </w:p>
    <w:p w14:paraId="408A020D" w14:textId="77777777" w:rsidR="00785714" w:rsidRDefault="00785714" w:rsidP="00571A9D">
      <w:pPr>
        <w:widowControl/>
        <w:rPr>
          <w:lang w:bidi="ar-SA"/>
        </w:rPr>
      </w:pPr>
      <w:r w:rsidRPr="00D03C4D">
        <w:rPr>
          <w:lang w:bidi="ar-SA"/>
        </w:rPr>
        <w:t xml:space="preserve">No </w:t>
      </w:r>
      <w:r w:rsidRPr="00D03C4D">
        <w:rPr>
          <w:i/>
          <w:lang w:bidi="ar-SA"/>
        </w:rPr>
        <w:t>in vivo</w:t>
      </w:r>
      <w:r w:rsidRPr="00D03C4D">
        <w:rPr>
          <w:lang w:bidi="ar-SA"/>
        </w:rPr>
        <w:t xml:space="preserve"> carcinogenicity studies were submitted with the application or identified in the literature. Carcinogenicity studies are not considered to be necessary for the hazard assessment of L-carnitine because results of genotoxicity assays are negative, and there is no evidence of proliferative or preneoplastic lesions in the subchronic or chronic studies summarized above. </w:t>
      </w:r>
    </w:p>
    <w:p w14:paraId="097D7901" w14:textId="77777777" w:rsidR="00785714" w:rsidRDefault="00785714" w:rsidP="00571A9D">
      <w:pPr>
        <w:pStyle w:val="Heading4"/>
        <w:widowControl/>
        <w:rPr>
          <w:lang w:eastAsia="en-AU"/>
        </w:rPr>
      </w:pPr>
      <w:r>
        <w:rPr>
          <w:lang w:eastAsia="en-AU"/>
        </w:rPr>
        <w:t>Genotoxicity studies; L-carnitine</w:t>
      </w:r>
    </w:p>
    <w:p w14:paraId="2D97CB65" w14:textId="77777777" w:rsidR="00785714" w:rsidRPr="009A6EA8" w:rsidRDefault="00785714" w:rsidP="00571A9D">
      <w:pPr>
        <w:widowControl/>
        <w:rPr>
          <w:i/>
          <w:lang w:eastAsia="en-AU" w:bidi="ar-SA"/>
        </w:rPr>
      </w:pPr>
      <w:r w:rsidRPr="009A6EA8">
        <w:rPr>
          <w:i/>
          <w:lang w:eastAsia="en-AU" w:bidi="ar-SA"/>
        </w:rPr>
        <w:t>Reverse mutation assay (Ames test)</w:t>
      </w:r>
      <w:r>
        <w:rPr>
          <w:i/>
          <w:lang w:eastAsia="en-AU" w:bidi="ar-SA"/>
        </w:rPr>
        <w:t xml:space="preserve"> of L-</w:t>
      </w:r>
      <w:r w:rsidRPr="00F647D5">
        <w:rPr>
          <w:i/>
          <w:lang w:eastAsia="en-AU" w:bidi="ar-SA"/>
        </w:rPr>
        <w:t>carnitine (SafePharm Laboratories 0102/0584, 2008)</w:t>
      </w:r>
    </w:p>
    <w:p w14:paraId="3362A5BA" w14:textId="77777777" w:rsidR="00785714" w:rsidRDefault="00785714" w:rsidP="00571A9D">
      <w:pPr>
        <w:widowControl/>
        <w:rPr>
          <w:lang w:eastAsia="en-AU" w:bidi="ar-SA"/>
        </w:rPr>
      </w:pPr>
    </w:p>
    <w:p w14:paraId="6A7CA7B6" w14:textId="77777777" w:rsidR="00785714" w:rsidRDefault="00785714" w:rsidP="00571A9D">
      <w:pPr>
        <w:widowControl/>
        <w:rPr>
          <w:lang w:eastAsia="en-AU" w:bidi="ar-SA"/>
        </w:rPr>
      </w:pPr>
      <w:r>
        <w:rPr>
          <w:lang w:eastAsia="en-AU" w:bidi="ar-SA"/>
        </w:rPr>
        <w:t xml:space="preserve">This study was conducted in compliance with OECD Guideline No. 471, as well as USA, EPA (TSCA) OPPTS harmonised guidelines. </w:t>
      </w:r>
    </w:p>
    <w:p w14:paraId="4B3AD479" w14:textId="77777777" w:rsidR="00785714" w:rsidRDefault="00785714" w:rsidP="00571A9D">
      <w:pPr>
        <w:widowControl/>
        <w:rPr>
          <w:lang w:eastAsia="en-AU" w:bidi="ar-SA"/>
        </w:rPr>
      </w:pPr>
    </w:p>
    <w:p w14:paraId="2AF5FA41" w14:textId="77777777" w:rsidR="00785714" w:rsidRDefault="00785714" w:rsidP="00571A9D">
      <w:pPr>
        <w:widowControl/>
        <w:rPr>
          <w:lang w:eastAsia="en-AU" w:bidi="ar-SA"/>
        </w:rPr>
      </w:pPr>
      <w:r>
        <w:rPr>
          <w:lang w:eastAsia="en-AU" w:bidi="ar-SA"/>
        </w:rPr>
        <w:t>The test material was identified as LZ1000, with a stated purity of 99.6%. According to the applicant, LZ1000 is L-carnitine.</w:t>
      </w:r>
      <w:r w:rsidRPr="00004034">
        <w:t xml:space="preserve"> </w:t>
      </w:r>
      <w:r w:rsidRPr="00004034">
        <w:rPr>
          <w:lang w:eastAsia="en-AU" w:bidi="ar-SA"/>
        </w:rPr>
        <w:t xml:space="preserve">The solvent for LZ1000 was sterile distilled water. </w:t>
      </w:r>
      <w:r>
        <w:rPr>
          <w:lang w:eastAsia="en-AU" w:bidi="ar-SA"/>
        </w:rPr>
        <w:t xml:space="preserve">The tester strains of bacteria were </w:t>
      </w:r>
      <w:r w:rsidRPr="00FA07C1">
        <w:rPr>
          <w:i/>
          <w:lang w:eastAsia="en-AU" w:bidi="ar-SA"/>
        </w:rPr>
        <w:t>Salmonella typhimurium</w:t>
      </w:r>
      <w:r>
        <w:rPr>
          <w:lang w:eastAsia="en-AU" w:bidi="ar-SA"/>
        </w:rPr>
        <w:t xml:space="preserve"> TA 1537, TA98, TA100, TA1535, and </w:t>
      </w:r>
      <w:r w:rsidRPr="00FA07C1">
        <w:rPr>
          <w:i/>
          <w:lang w:eastAsia="en-AU" w:bidi="ar-SA"/>
        </w:rPr>
        <w:t>Escherichia coli</w:t>
      </w:r>
      <w:r>
        <w:rPr>
          <w:i/>
          <w:lang w:eastAsia="en-AU" w:bidi="ar-SA"/>
        </w:rPr>
        <w:t xml:space="preserve"> </w:t>
      </w:r>
      <w:r>
        <w:rPr>
          <w:lang w:eastAsia="en-AU" w:bidi="ar-SA"/>
        </w:rPr>
        <w:t>WP2uvrA</w:t>
      </w:r>
      <w:r w:rsidRPr="00FA07C1">
        <w:rPr>
          <w:vertAlign w:val="superscript"/>
          <w:lang w:eastAsia="en-AU" w:bidi="ar-SA"/>
        </w:rPr>
        <w:t>-</w:t>
      </w:r>
      <w:r>
        <w:rPr>
          <w:lang w:eastAsia="en-AU" w:bidi="ar-SA"/>
        </w:rPr>
        <w:t>pKM101. Vehicle (solvent) control assays and positive control assays were run in parallel with assays of the test material. The positive control material for assays using TA100, TA1535 or WP2uvrA</w:t>
      </w:r>
      <w:r w:rsidRPr="00FA07C1">
        <w:rPr>
          <w:vertAlign w:val="superscript"/>
          <w:lang w:eastAsia="en-AU" w:bidi="ar-SA"/>
        </w:rPr>
        <w:t>-</w:t>
      </w:r>
      <w:r>
        <w:rPr>
          <w:lang w:eastAsia="en-AU" w:bidi="ar-SA"/>
        </w:rPr>
        <w:t>pKM101 in the absence of S9 fraction was N-ethyl-N’-nitro-N-nitrosoguanidine. The positive control material for the assay using TA1537 without addition of S9 fraction was 9-aminoacridine, while 4-nitroquinoline-1-oxide was the positive control material for the assay using TA98 in the absence of S9 fraction. For assays including S9 fraction, the positive control material was 2-aminoanthracene for assays using TA100, TA1535, TA1537 and WP2uvrA</w:t>
      </w:r>
      <w:r w:rsidRPr="00FA07C1">
        <w:rPr>
          <w:vertAlign w:val="superscript"/>
          <w:lang w:eastAsia="en-AU" w:bidi="ar-SA"/>
        </w:rPr>
        <w:t>-</w:t>
      </w:r>
      <w:r>
        <w:rPr>
          <w:lang w:eastAsia="en-AU" w:bidi="ar-SA"/>
        </w:rPr>
        <w:t xml:space="preserve">pKM101, and benzo(a)pyrene for the assay using TA98. </w:t>
      </w:r>
    </w:p>
    <w:p w14:paraId="398E505A" w14:textId="77777777" w:rsidR="00785714" w:rsidRDefault="00785714" w:rsidP="00571A9D">
      <w:pPr>
        <w:widowControl/>
        <w:rPr>
          <w:lang w:eastAsia="en-AU" w:bidi="ar-SA"/>
        </w:rPr>
      </w:pPr>
    </w:p>
    <w:p w14:paraId="23AD6424" w14:textId="77777777" w:rsidR="00785714" w:rsidRDefault="00785714" w:rsidP="00571A9D">
      <w:pPr>
        <w:widowControl/>
        <w:rPr>
          <w:lang w:eastAsia="en-AU" w:bidi="ar-SA"/>
        </w:rPr>
      </w:pPr>
      <w:r>
        <w:rPr>
          <w:lang w:eastAsia="en-AU" w:bidi="ar-SA"/>
        </w:rPr>
        <w:t xml:space="preserve">In order to select appropriate dose levels for the main test, preliminary tests were carried out at test material concentrations of 0, 0.15, 0.5, 1.5, 5, 15, 50, 150, 500, 1500 and 5000 </w:t>
      </w:r>
      <w:r>
        <w:rPr>
          <w:rFonts w:cs="Arial"/>
          <w:lang w:eastAsia="en-AU" w:bidi="ar-SA"/>
        </w:rPr>
        <w:t>µ</w:t>
      </w:r>
      <w:r>
        <w:rPr>
          <w:lang w:eastAsia="en-AU" w:bidi="ar-SA"/>
        </w:rPr>
        <w:t xml:space="preserve">g test material/plate. The test material caused no visible reduction in the growth of the background bacterial lawn at any concentration, and no test material precipitate was observed in any plate, and therefore the test material concentrations selected for the main test were 50, 150, 500, 1500 and 5000 </w:t>
      </w:r>
      <w:r>
        <w:rPr>
          <w:rFonts w:cs="Arial"/>
          <w:lang w:eastAsia="en-AU" w:bidi="ar-SA"/>
        </w:rPr>
        <w:t>µ</w:t>
      </w:r>
      <w:r>
        <w:rPr>
          <w:lang w:eastAsia="en-AU" w:bidi="ar-SA"/>
        </w:rPr>
        <w:t xml:space="preserve">g/plate for all tester strains. </w:t>
      </w:r>
    </w:p>
    <w:p w14:paraId="4DE76B94" w14:textId="77777777" w:rsidR="00785714" w:rsidRDefault="00785714" w:rsidP="00571A9D">
      <w:pPr>
        <w:widowControl/>
        <w:rPr>
          <w:lang w:eastAsia="en-AU" w:bidi="ar-SA"/>
        </w:rPr>
      </w:pPr>
    </w:p>
    <w:p w14:paraId="4216F6F0" w14:textId="77777777" w:rsidR="00785714" w:rsidRDefault="00785714" w:rsidP="00571A9D">
      <w:pPr>
        <w:widowControl/>
        <w:rPr>
          <w:lang w:eastAsia="en-AU" w:bidi="ar-SA"/>
        </w:rPr>
      </w:pPr>
      <w:r w:rsidRPr="00C3655F">
        <w:rPr>
          <w:lang w:eastAsia="en-AU" w:bidi="ar-SA"/>
        </w:rPr>
        <w:t>The plate incorporation method was used</w:t>
      </w:r>
      <w:r>
        <w:rPr>
          <w:lang w:eastAsia="en-AU" w:bidi="ar-SA"/>
        </w:rPr>
        <w:t xml:space="preserve"> for both the preliminary tests and the main tests. </w:t>
      </w:r>
      <w:r w:rsidRPr="00C3655F">
        <w:rPr>
          <w:lang w:eastAsia="en-AU" w:bidi="ar-SA"/>
        </w:rPr>
        <w:t>All assays were performed in triplicate.</w:t>
      </w:r>
      <w:r>
        <w:rPr>
          <w:lang w:eastAsia="en-AU" w:bidi="ar-SA"/>
        </w:rPr>
        <w:t xml:space="preserve"> The incubation conditions for all assays were approximately 48 hours at 37</w:t>
      </w:r>
      <w:r>
        <w:rPr>
          <w:rFonts w:cs="Arial"/>
          <w:lang w:eastAsia="en-AU" w:bidi="ar-SA"/>
        </w:rPr>
        <w:t>º</w:t>
      </w:r>
      <w:r>
        <w:rPr>
          <w:lang w:eastAsia="en-AU" w:bidi="ar-SA"/>
        </w:rPr>
        <w:t xml:space="preserve">C. The main test was conducted twice, using fresh bacterial cultures, test material and control solutions for the second test. </w:t>
      </w:r>
    </w:p>
    <w:p w14:paraId="060C3DCB" w14:textId="77777777" w:rsidR="00785714" w:rsidRDefault="00785714" w:rsidP="00571A9D">
      <w:pPr>
        <w:widowControl/>
        <w:rPr>
          <w:lang w:eastAsia="en-AU" w:bidi="ar-SA"/>
        </w:rPr>
      </w:pPr>
    </w:p>
    <w:p w14:paraId="1EAB37BD" w14:textId="77777777" w:rsidR="00785714" w:rsidRDefault="00785714" w:rsidP="00571A9D">
      <w:pPr>
        <w:widowControl/>
        <w:rPr>
          <w:lang w:eastAsia="en-AU" w:bidi="ar-SA"/>
        </w:rPr>
      </w:pPr>
      <w:r>
        <w:rPr>
          <w:lang w:eastAsia="en-AU" w:bidi="ar-SA"/>
        </w:rPr>
        <w:t xml:space="preserve">Counts of revertant colonies in all vehicle control plates were within the normal historical control range, while all positive control chemicals induced marked increases in the frequency of revertant colonies. Thus, the sensitivity of the assay and the efficacy of the S9 mix were confirmed. The test material did not cause any significant increase in the frequency of revertant colonies of any bacterial strain, with or without metabolic activation with S9 mix. It was concluded that the test material was not mutagenic under the conditions of the study. </w:t>
      </w:r>
    </w:p>
    <w:p w14:paraId="298620D5" w14:textId="77777777" w:rsidR="00785714" w:rsidRDefault="00785714" w:rsidP="00571A9D">
      <w:pPr>
        <w:widowControl/>
        <w:rPr>
          <w:lang w:eastAsia="en-AU" w:bidi="ar-SA"/>
        </w:rPr>
      </w:pPr>
    </w:p>
    <w:p w14:paraId="19A656AF" w14:textId="77777777" w:rsidR="00785714" w:rsidRDefault="00785714" w:rsidP="00571A9D">
      <w:pPr>
        <w:widowControl/>
        <w:rPr>
          <w:lang w:eastAsia="en-AU" w:bidi="ar-SA"/>
        </w:rPr>
      </w:pPr>
      <w:r w:rsidRPr="003E6B58">
        <w:rPr>
          <w:i/>
          <w:lang w:eastAsia="en-AU" w:bidi="ar-SA"/>
        </w:rPr>
        <w:t xml:space="preserve">Chromosome aberration test of L-carnitine in human lymphocytes in </w:t>
      </w:r>
      <w:r w:rsidRPr="009A0DFB">
        <w:rPr>
          <w:i/>
          <w:lang w:eastAsia="en-AU" w:bidi="ar-SA"/>
        </w:rPr>
        <w:t>vitro (Ha</w:t>
      </w:r>
      <w:r>
        <w:rPr>
          <w:i/>
          <w:lang w:eastAsia="en-AU" w:bidi="ar-SA"/>
        </w:rPr>
        <w:t>rlan Laboratories 1208500, 2008b</w:t>
      </w:r>
      <w:r w:rsidRPr="009A0DFB">
        <w:rPr>
          <w:lang w:eastAsia="en-AU" w:bidi="ar-SA"/>
        </w:rPr>
        <w:t>)</w:t>
      </w:r>
      <w:r>
        <w:rPr>
          <w:lang w:eastAsia="en-AU" w:bidi="ar-SA"/>
        </w:rPr>
        <w:t xml:space="preserve"> </w:t>
      </w:r>
    </w:p>
    <w:p w14:paraId="1D58401B" w14:textId="77777777" w:rsidR="00785714" w:rsidRDefault="00785714" w:rsidP="00571A9D">
      <w:pPr>
        <w:widowControl/>
        <w:rPr>
          <w:lang w:eastAsia="en-AU" w:bidi="ar-SA"/>
        </w:rPr>
      </w:pPr>
    </w:p>
    <w:p w14:paraId="5DA01F0D" w14:textId="77777777" w:rsidR="00785714" w:rsidRDefault="00785714" w:rsidP="00571A9D">
      <w:pPr>
        <w:widowControl/>
        <w:rPr>
          <w:lang w:eastAsia="en-AU" w:bidi="ar-SA"/>
        </w:rPr>
      </w:pPr>
      <w:r>
        <w:rPr>
          <w:lang w:eastAsia="en-AU" w:bidi="ar-SA"/>
        </w:rPr>
        <w:t>This GLP-compliant study was conducted using LZ1000, with a purity of approximately 99%, as the test material. According to the applicant, LZ1000 is L-carnitine. The solvent for LZ1000 was deionised water. The study was conducted in vitro using human peripheral lymphocytes collected from healthy donors and stimulated to undergo mitosis by phytohaemagglutinin. The solvent (deionised water) was used for negative control assays. The positive control materials were ethyl methanesulfonate for assays in the absence of metabolic activation by S9 fraction, and cyclophosphamide in the presence of metabolic activation by S9 fraction.</w:t>
      </w:r>
    </w:p>
    <w:p w14:paraId="62D42E5B" w14:textId="77777777" w:rsidR="00785714" w:rsidRDefault="00785714" w:rsidP="00571A9D">
      <w:pPr>
        <w:widowControl/>
        <w:rPr>
          <w:lang w:eastAsia="en-AU" w:bidi="ar-SA"/>
        </w:rPr>
      </w:pPr>
    </w:p>
    <w:p w14:paraId="010343D6" w14:textId="77777777" w:rsidR="00785714" w:rsidRDefault="00785714" w:rsidP="00571A9D">
      <w:pPr>
        <w:widowControl/>
        <w:rPr>
          <w:lang w:eastAsia="en-AU" w:bidi="ar-SA"/>
        </w:rPr>
      </w:pPr>
      <w:r>
        <w:rPr>
          <w:lang w:eastAsia="en-AU" w:bidi="ar-SA"/>
        </w:rPr>
        <w:t xml:space="preserve">A preliminary dose-range finding study was performed in duplicate using 10 concentrations of the test article at concentrations of between 10.5 and 1620 </w:t>
      </w:r>
      <w:r>
        <w:rPr>
          <w:rFonts w:cs="Arial"/>
          <w:lang w:eastAsia="en-AU" w:bidi="ar-SA"/>
        </w:rPr>
        <w:t>µ</w:t>
      </w:r>
      <w:r>
        <w:rPr>
          <w:lang w:eastAsia="en-AU" w:bidi="ar-SA"/>
        </w:rPr>
        <w:t xml:space="preserve">g/mL, with and without S9 fraction. The exposure period was 4 hours, followed by 18 hour incubation for total preparation time of 22 hours. No cytogenic effects were noted up to and including the highest concentration used, and the doses selected for the main test were the three highest doses from the dose-rangefinder; </w:t>
      </w:r>
      <w:r w:rsidRPr="003F0124">
        <w:rPr>
          <w:lang w:eastAsia="en-AU" w:bidi="ar-SA"/>
        </w:rPr>
        <w:t xml:space="preserve">529.0, 925.7 and 1620.0 </w:t>
      </w:r>
      <w:r>
        <w:rPr>
          <w:rFonts w:cs="Arial"/>
          <w:lang w:eastAsia="en-AU" w:bidi="ar-SA"/>
        </w:rPr>
        <w:t>µ</w:t>
      </w:r>
      <w:r>
        <w:rPr>
          <w:lang w:eastAsia="en-AU" w:bidi="ar-SA"/>
        </w:rPr>
        <w:t xml:space="preserve">g/mL LZ1000. </w:t>
      </w:r>
    </w:p>
    <w:p w14:paraId="754E15FF" w14:textId="77777777" w:rsidR="00785714" w:rsidRDefault="00785714" w:rsidP="00571A9D">
      <w:pPr>
        <w:widowControl/>
        <w:rPr>
          <w:lang w:eastAsia="en-AU" w:bidi="ar-SA"/>
        </w:rPr>
      </w:pPr>
    </w:p>
    <w:p w14:paraId="4FAECCC0" w14:textId="77777777" w:rsidR="00785714" w:rsidRDefault="00785714" w:rsidP="00571A9D">
      <w:pPr>
        <w:widowControl/>
        <w:rPr>
          <w:lang w:eastAsia="en-AU" w:bidi="ar-SA"/>
        </w:rPr>
      </w:pPr>
      <w:r>
        <w:rPr>
          <w:lang w:eastAsia="en-AU" w:bidi="ar-SA"/>
        </w:rPr>
        <w:t>For the main study, two experiments were conducted without S9 fraction and two were conducted with S9 fraction. Of the two experiments conducted without S9 fraction, the exposure period for one was 4 hours, followed by removal of the test article and a further 18 hours incubation, while for the other experiment, exposure to the test article continued for the full 22 hours incubation. For the two experiments conducted with addition of S9 fraction, exposure to the test article was throughout the 22 hour incubation. All assays were conducted in duplicate, with concurrent negative and positive control assays. All cultures were incubated at 37</w:t>
      </w:r>
      <w:r>
        <w:rPr>
          <w:rFonts w:cs="Arial"/>
          <w:lang w:eastAsia="en-AU" w:bidi="ar-SA"/>
        </w:rPr>
        <w:t>º</w:t>
      </w:r>
      <w:r>
        <w:rPr>
          <w:lang w:eastAsia="en-AU" w:bidi="ar-SA"/>
        </w:rPr>
        <w:t xml:space="preserve"> C in a humidified atmosphere with 5.5% CO</w:t>
      </w:r>
      <w:r w:rsidRPr="008A772C">
        <w:rPr>
          <w:vertAlign w:val="subscript"/>
          <w:lang w:eastAsia="en-AU" w:bidi="ar-SA"/>
        </w:rPr>
        <w:t>2</w:t>
      </w:r>
      <w:r>
        <w:rPr>
          <w:lang w:eastAsia="en-AU" w:bidi="ar-SA"/>
        </w:rPr>
        <w:t xml:space="preserve"> , and mitosis was arrested with colcemid three hours before harvesting. Two slides were prepared from each assay and evaluated for mitotic index and structural chromosomal aberrations. </w:t>
      </w:r>
    </w:p>
    <w:p w14:paraId="7FF1C387" w14:textId="77777777" w:rsidR="00785714" w:rsidRDefault="00785714" w:rsidP="00571A9D">
      <w:pPr>
        <w:widowControl/>
        <w:rPr>
          <w:lang w:eastAsia="en-AU" w:bidi="ar-SA"/>
        </w:rPr>
      </w:pPr>
    </w:p>
    <w:p w14:paraId="78E713D1" w14:textId="77777777" w:rsidR="00785714" w:rsidRDefault="00785714" w:rsidP="00571A9D">
      <w:pPr>
        <w:widowControl/>
        <w:rPr>
          <w:lang w:eastAsia="en-AU" w:bidi="ar-SA"/>
        </w:rPr>
      </w:pPr>
      <w:r>
        <w:rPr>
          <w:lang w:eastAsia="en-AU" w:bidi="ar-SA"/>
        </w:rPr>
        <w:t xml:space="preserve">The numbers of chromosomal aberrations in negative control assays were within historical negative control ranges, while all the positive control assays showed significant increases in structural chromosomal aberrations, within the historical positive control ranges for the testing laboratory. Exposure to LZ1000 had no biologically relevant effects on either mitotic index or the number of cells with structural chromosomal aberrations in any of the experiments. It was concluded that under the conditions of the study, LZ1000 did not induce structural chromosomal aberrations in human lymphocytes. </w:t>
      </w:r>
    </w:p>
    <w:p w14:paraId="53F029D8" w14:textId="77777777" w:rsidR="00785714" w:rsidRDefault="00785714" w:rsidP="00571A9D">
      <w:pPr>
        <w:pStyle w:val="Heading4"/>
        <w:widowControl/>
        <w:rPr>
          <w:lang w:eastAsia="en-AU"/>
        </w:rPr>
      </w:pPr>
      <w:r>
        <w:rPr>
          <w:lang w:eastAsia="en-AU"/>
        </w:rPr>
        <w:t>Genotoxicity studies; L-carnitine chloride</w:t>
      </w:r>
    </w:p>
    <w:p w14:paraId="3F82131E" w14:textId="2A636C3F" w:rsidR="00785714" w:rsidRDefault="00785714" w:rsidP="00571A9D">
      <w:pPr>
        <w:widowControl/>
        <w:rPr>
          <w:i/>
          <w:lang w:eastAsia="en-AU" w:bidi="ar-SA"/>
        </w:rPr>
      </w:pPr>
      <w:r>
        <w:rPr>
          <w:i/>
          <w:lang w:eastAsia="en-AU" w:bidi="ar-SA"/>
        </w:rPr>
        <w:t>Mutagenicity</w:t>
      </w:r>
      <w:r w:rsidRPr="00F6781D">
        <w:rPr>
          <w:i/>
          <w:vertAlign w:val="superscript"/>
          <w:lang w:eastAsia="en-AU" w:bidi="ar-SA"/>
        </w:rPr>
        <w:t>-</w:t>
      </w:r>
      <w:r w:rsidRPr="00F6781D">
        <w:rPr>
          <w:i/>
          <w:lang w:eastAsia="en-AU" w:bidi="ar-SA"/>
        </w:rPr>
        <w:t xml:space="preserve"> </w:t>
      </w:r>
      <w:r>
        <w:rPr>
          <w:i/>
          <w:lang w:eastAsia="en-AU" w:bidi="ar-SA"/>
        </w:rPr>
        <w:t xml:space="preserve">assays </w:t>
      </w:r>
      <w:r w:rsidRPr="00F6781D">
        <w:rPr>
          <w:i/>
          <w:lang w:eastAsia="en-AU" w:bidi="ar-SA"/>
        </w:rPr>
        <w:t xml:space="preserve">of L-carnitine chloride (Hamai </w:t>
      </w:r>
      <w:r w:rsidR="000B7678">
        <w:rPr>
          <w:i/>
          <w:lang w:eastAsia="en-AU" w:bidi="ar-SA"/>
        </w:rPr>
        <w:t>et al. 1</w:t>
      </w:r>
      <w:r w:rsidRPr="00F6781D">
        <w:rPr>
          <w:i/>
          <w:lang w:eastAsia="en-AU" w:bidi="ar-SA"/>
        </w:rPr>
        <w:t xml:space="preserve">988) </w:t>
      </w:r>
    </w:p>
    <w:p w14:paraId="7C2442F5" w14:textId="77777777" w:rsidR="00785714" w:rsidRDefault="00785714" w:rsidP="00571A9D">
      <w:pPr>
        <w:widowControl/>
        <w:rPr>
          <w:i/>
          <w:lang w:eastAsia="en-AU" w:bidi="ar-SA"/>
        </w:rPr>
      </w:pPr>
    </w:p>
    <w:p w14:paraId="1629A1C6" w14:textId="77777777" w:rsidR="00785714" w:rsidRDefault="00785714" w:rsidP="00571A9D">
      <w:pPr>
        <w:widowControl/>
        <w:rPr>
          <w:lang w:eastAsia="en-AU" w:bidi="ar-SA"/>
        </w:rPr>
      </w:pPr>
      <w:r>
        <w:rPr>
          <w:lang w:eastAsia="en-AU" w:bidi="ar-SA"/>
        </w:rPr>
        <w:t xml:space="preserve">Mutagenicity of L-carnitine chloride was investigated using </w:t>
      </w:r>
      <w:r w:rsidRPr="004D724F">
        <w:rPr>
          <w:i/>
          <w:lang w:eastAsia="en-AU" w:bidi="ar-SA"/>
        </w:rPr>
        <w:t>rec</w:t>
      </w:r>
      <w:r>
        <w:rPr>
          <w:vertAlign w:val="superscript"/>
          <w:lang w:eastAsia="en-AU" w:bidi="ar-SA"/>
        </w:rPr>
        <w:t xml:space="preserve">- </w:t>
      </w:r>
      <w:r>
        <w:rPr>
          <w:lang w:eastAsia="en-AU" w:bidi="ar-SA"/>
        </w:rPr>
        <w:t xml:space="preserve">assay, Ames test, and chromosomal aberration test in Chinese hamster V79 (lung fibroblast) cells. The purity of the L-carnitine used in these assays was not stated. </w:t>
      </w:r>
    </w:p>
    <w:p w14:paraId="562FEAA4" w14:textId="77777777" w:rsidR="00785714" w:rsidRDefault="00785714" w:rsidP="00571A9D">
      <w:pPr>
        <w:widowControl/>
        <w:rPr>
          <w:lang w:eastAsia="en-AU" w:bidi="ar-SA"/>
        </w:rPr>
      </w:pPr>
    </w:p>
    <w:p w14:paraId="07497AE3" w14:textId="77777777" w:rsidR="00785714" w:rsidRDefault="00785714" w:rsidP="00571A9D">
      <w:pPr>
        <w:widowControl/>
        <w:rPr>
          <w:lang w:eastAsia="en-AU" w:bidi="ar-SA"/>
        </w:rPr>
      </w:pPr>
      <w:r>
        <w:rPr>
          <w:lang w:eastAsia="en-AU" w:bidi="ar-SA"/>
        </w:rPr>
        <w:lastRenderedPageBreak/>
        <w:t xml:space="preserve">The </w:t>
      </w:r>
      <w:r w:rsidRPr="000539E1">
        <w:rPr>
          <w:i/>
          <w:lang w:eastAsia="en-AU" w:bidi="ar-SA"/>
        </w:rPr>
        <w:t>rec</w:t>
      </w:r>
      <w:r w:rsidRPr="000539E1">
        <w:rPr>
          <w:vertAlign w:val="superscript"/>
          <w:lang w:eastAsia="en-AU" w:bidi="ar-SA"/>
        </w:rPr>
        <w:t>-</w:t>
      </w:r>
      <w:r>
        <w:rPr>
          <w:lang w:eastAsia="en-AU" w:bidi="ar-SA"/>
        </w:rPr>
        <w:t xml:space="preserve"> test was conducted using concentrations of 25, 50, 250, 500, 2500 and 5000 </w:t>
      </w:r>
      <w:r>
        <w:rPr>
          <w:rFonts w:cs="Arial"/>
          <w:lang w:eastAsia="en-AU" w:bidi="ar-SA"/>
        </w:rPr>
        <w:t>µ</w:t>
      </w:r>
      <w:r>
        <w:rPr>
          <w:lang w:eastAsia="en-AU" w:bidi="ar-SA"/>
        </w:rPr>
        <w:t xml:space="preserve">g/disc of test material. The solvent was distilled water. The bacterial strains used were </w:t>
      </w:r>
      <w:r w:rsidRPr="003F0D2C">
        <w:rPr>
          <w:i/>
          <w:lang w:eastAsia="en-AU" w:bidi="ar-SA"/>
        </w:rPr>
        <w:t>Bacillis subtilis</w:t>
      </w:r>
      <w:r>
        <w:rPr>
          <w:lang w:eastAsia="en-AU" w:bidi="ar-SA"/>
        </w:rPr>
        <w:t xml:space="preserve"> H17 (</w:t>
      </w:r>
      <w:r w:rsidRPr="003F0D2C">
        <w:rPr>
          <w:i/>
          <w:lang w:eastAsia="en-AU" w:bidi="ar-SA"/>
        </w:rPr>
        <w:t>Rec</w:t>
      </w:r>
      <w:r w:rsidRPr="003F0D2C">
        <w:rPr>
          <w:vertAlign w:val="superscript"/>
          <w:lang w:eastAsia="en-AU" w:bidi="ar-SA"/>
        </w:rPr>
        <w:t>+</w:t>
      </w:r>
      <w:r>
        <w:rPr>
          <w:lang w:eastAsia="en-AU" w:bidi="ar-SA"/>
        </w:rPr>
        <w:t xml:space="preserve">) and </w:t>
      </w:r>
      <w:r w:rsidRPr="003F0D2C">
        <w:rPr>
          <w:i/>
          <w:lang w:eastAsia="en-AU" w:bidi="ar-SA"/>
        </w:rPr>
        <w:t>Bacillus subtilis</w:t>
      </w:r>
      <w:r>
        <w:rPr>
          <w:i/>
          <w:lang w:eastAsia="en-AU" w:bidi="ar-SA"/>
        </w:rPr>
        <w:t xml:space="preserve"> M45</w:t>
      </w:r>
      <w:r>
        <w:rPr>
          <w:lang w:eastAsia="en-AU" w:bidi="ar-SA"/>
        </w:rPr>
        <w:t xml:space="preserve"> (</w:t>
      </w:r>
      <w:r w:rsidRPr="003F0D2C">
        <w:rPr>
          <w:i/>
          <w:lang w:eastAsia="en-AU" w:bidi="ar-SA"/>
        </w:rPr>
        <w:t>Rec</w:t>
      </w:r>
      <w:r w:rsidRPr="003F0D2C">
        <w:rPr>
          <w:vertAlign w:val="superscript"/>
          <w:lang w:eastAsia="en-AU" w:bidi="ar-SA"/>
        </w:rPr>
        <w:t>-</w:t>
      </w:r>
      <w:r>
        <w:rPr>
          <w:lang w:eastAsia="en-AU" w:bidi="ar-SA"/>
        </w:rPr>
        <w:t xml:space="preserve">). H17 is a </w:t>
      </w:r>
      <w:r w:rsidRPr="003F0D2C">
        <w:rPr>
          <w:lang w:eastAsia="en-AU" w:bidi="ar-SA"/>
        </w:rPr>
        <w:t>recombinant structure retaining strain</w:t>
      </w:r>
      <w:r>
        <w:rPr>
          <w:lang w:eastAsia="en-AU" w:bidi="ar-SA"/>
        </w:rPr>
        <w:t xml:space="preserve"> whereas M45 is a deficient strain. Culture broths containing the strains were streaked on a culture plate so that they did not come in contact, and a filter paper disc impregnated with the test solution was placed at the point of closest approach of the two streaks. Each plate was maintained at 2</w:t>
      </w:r>
      <w:r>
        <w:rPr>
          <w:rFonts w:cs="Arial"/>
          <w:lang w:eastAsia="en-AU" w:bidi="ar-SA"/>
        </w:rPr>
        <w:t>º</w:t>
      </w:r>
      <w:r>
        <w:rPr>
          <w:lang w:eastAsia="en-AU" w:bidi="ar-SA"/>
        </w:rPr>
        <w:t>C for 24 hours and then incubated at 37</w:t>
      </w:r>
      <w:r>
        <w:rPr>
          <w:rFonts w:cs="Arial"/>
          <w:lang w:eastAsia="en-AU" w:bidi="ar-SA"/>
        </w:rPr>
        <w:t>º</w:t>
      </w:r>
      <w:r>
        <w:rPr>
          <w:lang w:eastAsia="en-AU" w:bidi="ar-SA"/>
        </w:rPr>
        <w:t xml:space="preserve">C for 24 hours. Negative and positive controls were run concurrently, and all plates were run duplicate. The negative control was sterilized distilled water and the positive control was mitomycin C. A </w:t>
      </w:r>
      <w:r w:rsidRPr="00242298">
        <w:rPr>
          <w:i/>
          <w:lang w:eastAsia="en-AU" w:bidi="ar-SA"/>
        </w:rPr>
        <w:t>Rec</w:t>
      </w:r>
      <w:r w:rsidRPr="00242298">
        <w:rPr>
          <w:vertAlign w:val="superscript"/>
          <w:lang w:eastAsia="en-AU" w:bidi="ar-SA"/>
        </w:rPr>
        <w:t>-</w:t>
      </w:r>
      <w:r>
        <w:rPr>
          <w:lang w:eastAsia="en-AU" w:bidi="ar-SA"/>
        </w:rPr>
        <w:t xml:space="preserve"> assay is considered to be positive if the difference in inhibition zone between the two bacterial strains (M45-M17) is greater than 3 mm. The difference was &lt;1 mm for all concentrations of test material and for the negative control, but was 15.5 mm for the positive control. </w:t>
      </w:r>
    </w:p>
    <w:p w14:paraId="28FBF9C2" w14:textId="77777777" w:rsidR="00785714" w:rsidRDefault="00785714" w:rsidP="00571A9D">
      <w:pPr>
        <w:widowControl/>
        <w:rPr>
          <w:lang w:eastAsia="en-AU" w:bidi="ar-SA"/>
        </w:rPr>
      </w:pPr>
    </w:p>
    <w:p w14:paraId="65A95028" w14:textId="77777777" w:rsidR="00785714" w:rsidRDefault="00785714" w:rsidP="00571A9D">
      <w:pPr>
        <w:widowControl/>
        <w:rPr>
          <w:lang w:eastAsia="en-AU" w:bidi="ar-SA"/>
        </w:rPr>
      </w:pPr>
      <w:r>
        <w:rPr>
          <w:lang w:eastAsia="en-AU" w:bidi="ar-SA"/>
        </w:rPr>
        <w:t xml:space="preserve">The test strains of bacteria for the Ames test were </w:t>
      </w:r>
      <w:r w:rsidRPr="00CF7E8A">
        <w:rPr>
          <w:i/>
          <w:lang w:eastAsia="en-AU" w:bidi="ar-SA"/>
        </w:rPr>
        <w:t>Escherichia coli</w:t>
      </w:r>
      <w:r>
        <w:rPr>
          <w:lang w:eastAsia="en-AU" w:bidi="ar-SA"/>
        </w:rPr>
        <w:t xml:space="preserve"> WP2uvrA, and </w:t>
      </w:r>
      <w:r w:rsidRPr="00CF7E8A">
        <w:rPr>
          <w:i/>
          <w:lang w:eastAsia="en-AU" w:bidi="ar-SA"/>
        </w:rPr>
        <w:t>Salmonella typhimurium</w:t>
      </w:r>
      <w:r>
        <w:rPr>
          <w:lang w:eastAsia="en-AU" w:bidi="ar-SA"/>
        </w:rPr>
        <w:t xml:space="preserve"> strains TA100, TA1535, TA98, TA1538 andTA1537. </w:t>
      </w:r>
      <w:r w:rsidRPr="00CF7E8A">
        <w:rPr>
          <w:lang w:eastAsia="en-AU" w:bidi="ar-SA"/>
        </w:rPr>
        <w:t xml:space="preserve">The positive control material for assays using TA100, TA1535 or WP2uvrA in the absence of S9 fraction was N-ethyl-N’-nitro-N-nitrosoguanidine. </w:t>
      </w:r>
      <w:r>
        <w:rPr>
          <w:lang w:eastAsia="en-AU" w:bidi="ar-SA"/>
        </w:rPr>
        <w:t>For the assay using TA98,</w:t>
      </w:r>
      <w:r w:rsidRPr="007E329C">
        <w:rPr>
          <w:lang w:eastAsia="en-AU" w:bidi="ar-SA"/>
        </w:rPr>
        <w:t xml:space="preserve"> 2-</w:t>
      </w:r>
      <w:r w:rsidRPr="00BD01A1">
        <w:rPr>
          <w:lang w:eastAsia="en-AU" w:bidi="ar-SA"/>
        </w:rPr>
        <w:t>nitrofluorene was the positive control material for the assay using TA98 in the absence of S9 fraction. For assays including S9 fraction, the positive control material was 2-aminoanthracene.</w:t>
      </w:r>
      <w:r>
        <w:rPr>
          <w:lang w:eastAsia="en-AU" w:bidi="ar-SA"/>
        </w:rPr>
        <w:t xml:space="preserve"> Test material concentrations were 0, 50, 100, 500, 1000, 5000 and 10,000 </w:t>
      </w:r>
      <w:r>
        <w:rPr>
          <w:rFonts w:cs="Arial"/>
          <w:lang w:eastAsia="en-AU" w:bidi="ar-SA"/>
        </w:rPr>
        <w:t>µ</w:t>
      </w:r>
      <w:r>
        <w:rPr>
          <w:lang w:eastAsia="en-AU" w:bidi="ar-SA"/>
        </w:rPr>
        <w:t>g/plate. All assays were conducted in duplicate, in culture plates with incubation at 37</w:t>
      </w:r>
      <w:r>
        <w:rPr>
          <w:rFonts w:cs="Arial"/>
          <w:lang w:eastAsia="en-AU" w:bidi="ar-SA"/>
        </w:rPr>
        <w:t>º</w:t>
      </w:r>
      <w:r>
        <w:rPr>
          <w:lang w:eastAsia="en-AU" w:bidi="ar-SA"/>
        </w:rPr>
        <w:t xml:space="preserve">C for 48 hours. The test material </w:t>
      </w:r>
      <w:r w:rsidRPr="00973976">
        <w:rPr>
          <w:lang w:eastAsia="en-AU" w:bidi="ar-SA"/>
        </w:rPr>
        <w:t>at</w:t>
      </w:r>
      <w:r>
        <w:rPr>
          <w:lang w:eastAsia="en-AU" w:bidi="ar-SA"/>
        </w:rPr>
        <w:t xml:space="preserve"> a concentration of</w:t>
      </w:r>
      <w:r w:rsidRPr="00973976">
        <w:rPr>
          <w:lang w:eastAsia="en-AU" w:bidi="ar-SA"/>
        </w:rPr>
        <w:t xml:space="preserve"> 10,000 µg/plate</w:t>
      </w:r>
      <w:r>
        <w:rPr>
          <w:lang w:eastAsia="en-AU" w:bidi="ar-SA"/>
        </w:rPr>
        <w:t xml:space="preserve"> caused bacterial growth inhibition of TA1537 without metabolic activation, and also caused growth inhibition of TA100, TA1535, TA98, TA1538 and TA1537 with metabolic activation. However the number of revertant colonies were closely comparable to those in negative control plates for</w:t>
      </w:r>
      <w:r w:rsidRPr="00103950">
        <w:rPr>
          <w:lang w:eastAsia="en-AU" w:bidi="ar-SA"/>
        </w:rPr>
        <w:t xml:space="preserve"> all bacterial strains </w:t>
      </w:r>
      <w:r>
        <w:rPr>
          <w:lang w:eastAsia="en-AU" w:bidi="ar-SA"/>
        </w:rPr>
        <w:t xml:space="preserve">at all concentrations of L-carnitine chloride. The positive controls had the expected mutagenic effects on all the bacterial strains, validating the assays. </w:t>
      </w:r>
    </w:p>
    <w:p w14:paraId="2B74EFB7" w14:textId="77777777" w:rsidR="00785714" w:rsidRDefault="00785714" w:rsidP="00571A9D">
      <w:pPr>
        <w:widowControl/>
        <w:rPr>
          <w:lang w:eastAsia="en-AU" w:bidi="ar-SA"/>
        </w:rPr>
      </w:pPr>
    </w:p>
    <w:p w14:paraId="401D0983" w14:textId="77777777" w:rsidR="00785714" w:rsidRDefault="00785714" w:rsidP="00571A9D">
      <w:pPr>
        <w:widowControl/>
        <w:rPr>
          <w:lang w:eastAsia="en-AU" w:bidi="ar-SA"/>
        </w:rPr>
      </w:pPr>
      <w:r>
        <w:rPr>
          <w:lang w:eastAsia="en-AU" w:bidi="ar-SA"/>
        </w:rPr>
        <w:t>L-carnitine chloride was added to V79 cells suspended in culture broth at concentrations of 2.5, 5.0 or 10 mg/mL. The concentration of 10 mg/mL caused 50% cell growth suppression. All assays were conducted in duplicate. For the experiment without metabolic activation, negative control assays were an untreated control and a solvent (distilled water) control, and the positive control assay was also conducted using mitomycin C. Cultures were incubated with test material for 24 or 48 hours. Mitosis was arrested by addition of colchicine 2 hours before the end of incubation, and the cells were processed for examination. For the experiment with metabolic activation by S9 fraction, the negative controls were an untreated control and a solvent (distilled water) control, and the positive control dimethylnitrosamine. The cells were incubated with the test material and S9 fraction for 3 hours, after which the cells were washed and cultured for a further 24 hours. Mitosis was arrested, and cells prepared for examination, as for the experiment without metabolic activation. In the absence of metabolic activation, after 24 hours the frequency of abnormal cells was greater in the presence of the test article than in the untreated control cultures, but not significantly different to the frequency in the solvent control cultures. After 48 hours, there was no significant difference in frequency of abnormal cells between the assay with L-carnitine chloride and either the untreated control or the solvent control. In the experiment with metabolic activation, the presence of L-carnitine chloride did not increase the frequency of abnormal cells above that in either the untreated or the solvent control. The positive control substances, as expected, caused highly significant increases in the frequencies of abnormal cells, compared to both the untreated controls and the solvent controls.</w:t>
      </w:r>
    </w:p>
    <w:p w14:paraId="3502ABC0" w14:textId="77777777" w:rsidR="00785714" w:rsidRDefault="00785714" w:rsidP="00571A9D">
      <w:pPr>
        <w:widowControl/>
        <w:rPr>
          <w:lang w:eastAsia="en-AU" w:bidi="ar-SA"/>
        </w:rPr>
      </w:pPr>
    </w:p>
    <w:p w14:paraId="4283B154" w14:textId="77777777" w:rsidR="00785714" w:rsidRPr="00BD01A1" w:rsidRDefault="00785714" w:rsidP="00571A9D">
      <w:pPr>
        <w:widowControl/>
        <w:rPr>
          <w:lang w:eastAsia="en-AU" w:bidi="ar-SA"/>
        </w:rPr>
      </w:pPr>
      <w:r>
        <w:rPr>
          <w:lang w:eastAsia="en-AU" w:bidi="ar-SA"/>
        </w:rPr>
        <w:t xml:space="preserve">It was concluded from the results of these assays that L-carnitine chloride is not mutagenic. </w:t>
      </w:r>
    </w:p>
    <w:p w14:paraId="5136AF6B" w14:textId="77777777" w:rsidR="00785714" w:rsidRPr="00D03C4D" w:rsidRDefault="00785714" w:rsidP="00571A9D">
      <w:pPr>
        <w:keepNext/>
        <w:widowControl/>
        <w:spacing w:before="240" w:after="240"/>
        <w:ind w:left="851" w:hanging="851"/>
        <w:outlineLvl w:val="3"/>
        <w:rPr>
          <w:b/>
          <w:bCs/>
          <w:i/>
          <w:iCs/>
          <w:szCs w:val="22"/>
          <w:lang w:bidi="ar-SA"/>
        </w:rPr>
      </w:pPr>
      <w:r w:rsidRPr="00D03C4D">
        <w:rPr>
          <w:b/>
          <w:bCs/>
          <w:i/>
          <w:iCs/>
          <w:szCs w:val="22"/>
          <w:lang w:bidi="ar-SA"/>
        </w:rPr>
        <w:lastRenderedPageBreak/>
        <w:t>Immunotoxicity studies</w:t>
      </w:r>
    </w:p>
    <w:p w14:paraId="39F475C9" w14:textId="77777777" w:rsidR="00785714" w:rsidRPr="00D03C4D" w:rsidRDefault="00785714" w:rsidP="00571A9D">
      <w:pPr>
        <w:widowControl/>
        <w:rPr>
          <w:lang w:bidi="ar-SA"/>
        </w:rPr>
      </w:pPr>
      <w:r w:rsidRPr="00D03C4D">
        <w:rPr>
          <w:lang w:bidi="ar-SA"/>
        </w:rPr>
        <w:t xml:space="preserve">No immunotoxicity studies were submitted with the application or located elsewhere. However the results from subchronic and chronic studies do not suggest that immunotoxic effects are likely. </w:t>
      </w:r>
    </w:p>
    <w:p w14:paraId="725778A8" w14:textId="77777777" w:rsidR="00785714" w:rsidRPr="00D03C4D" w:rsidRDefault="00785714" w:rsidP="00571A9D">
      <w:pPr>
        <w:keepNext/>
        <w:widowControl/>
        <w:spacing w:before="240" w:after="240"/>
        <w:ind w:left="851" w:hanging="851"/>
        <w:outlineLvl w:val="3"/>
        <w:rPr>
          <w:b/>
          <w:bCs/>
          <w:i/>
          <w:iCs/>
          <w:szCs w:val="22"/>
          <w:lang w:bidi="ar-SA"/>
        </w:rPr>
      </w:pPr>
      <w:r w:rsidRPr="00D03C4D">
        <w:rPr>
          <w:b/>
          <w:bCs/>
          <w:i/>
          <w:iCs/>
          <w:szCs w:val="22"/>
          <w:lang w:bidi="ar-SA"/>
        </w:rPr>
        <w:t>Other studies</w:t>
      </w:r>
    </w:p>
    <w:p w14:paraId="20BCC0AA" w14:textId="0248F36C" w:rsidR="00785714" w:rsidRPr="0062510C" w:rsidRDefault="00785714" w:rsidP="00571A9D">
      <w:pPr>
        <w:widowControl/>
        <w:rPr>
          <w:i/>
        </w:rPr>
      </w:pPr>
      <w:r w:rsidRPr="0062510C">
        <w:rPr>
          <w:i/>
        </w:rPr>
        <w:t xml:space="preserve">4-week study of L-carnitine supplementation via drinking water to hyperlipidaemic rabbits (Seccombe </w:t>
      </w:r>
      <w:r w:rsidR="000B7678">
        <w:rPr>
          <w:i/>
        </w:rPr>
        <w:t>et al. 1</w:t>
      </w:r>
      <w:r w:rsidRPr="0062510C">
        <w:rPr>
          <w:i/>
        </w:rPr>
        <w:t>987)</w:t>
      </w:r>
    </w:p>
    <w:p w14:paraId="04380883" w14:textId="77777777" w:rsidR="00785714" w:rsidRDefault="00785714" w:rsidP="00571A9D">
      <w:pPr>
        <w:widowControl/>
      </w:pPr>
    </w:p>
    <w:p w14:paraId="74AB3964" w14:textId="77777777" w:rsidR="00785714" w:rsidRDefault="00785714" w:rsidP="00571A9D">
      <w:pPr>
        <w:widowControl/>
      </w:pPr>
      <w:r>
        <w:t>The purpose of this study was to determine the effect of carnitine on plasma lipids of New Zealand White (NZW) rabbits that had hyperlipidaemia induced by feeding a high-fat diet for four weeks prior to introduction of an L-carnitine supplement. Male NZW rabbits, ranging in weight from 2.5 to 3.0 kg, were assigned to three groups, 4 rabbits/group. Rabbits were individually housed, allowed ad libitum access to water and food, and maintained on a 12-hour light/dark cycle. The control group was fed a standard commercial rabbit chow throughout the eight weeks of the experiment. The second group was fed a high-fat diet throughout the experiment. The high-fat diet was created by adding a solution of cholesterol in corn oil to the standard commercial rabbit chow, so that the final diet contained 5% corn oil and 0.5% cholesterol by weight. The third group was fed the same high-fat diet for eight weeks, but for the last four weeks of the experiment, they also received an L-carnitine supplement in their drinking water, providing a mean daily L-carnitine intake of 170 ± 40 mg/kg bw/day. The purity of the L-carnitine used to supplement the water supply was not stated.</w:t>
      </w:r>
    </w:p>
    <w:p w14:paraId="67C5AD2F" w14:textId="77777777" w:rsidR="00785714" w:rsidRDefault="00785714" w:rsidP="00571A9D">
      <w:pPr>
        <w:widowControl/>
      </w:pPr>
    </w:p>
    <w:p w14:paraId="2591C7A8" w14:textId="77777777" w:rsidR="00785714" w:rsidRDefault="00785714" w:rsidP="00571A9D">
      <w:pPr>
        <w:widowControl/>
      </w:pPr>
      <w:r>
        <w:t xml:space="preserve">In-life parameters included survival, clinical signs, bodyweights, food consumption and water intake. Blood collection was performed at the start of the experiment, at 4 weeks and at 8 weeks. Rabbits were fasted for 16 to 18 hours prior to collection of blood from a marginal ear vein. Blood was analysed for glucose, carnitine, β-hydroxybutyrate, VLDL isolation and lipid analysis. At the end of the 8-week in-life phase, the rabbits were killed, and liver and muscle were collected. Tissue samples were either frozen in liquid nitrogen or preserved in neutral buffered formalin or Bouin’s solution for histopathology. </w:t>
      </w:r>
    </w:p>
    <w:p w14:paraId="64A53ADE" w14:textId="77777777" w:rsidR="00785714" w:rsidRDefault="00785714" w:rsidP="00571A9D">
      <w:pPr>
        <w:widowControl/>
      </w:pPr>
    </w:p>
    <w:p w14:paraId="31D03163" w14:textId="77777777" w:rsidR="00785714" w:rsidRDefault="00785714" w:rsidP="00571A9D">
      <w:pPr>
        <w:widowControl/>
      </w:pPr>
      <w:r>
        <w:t xml:space="preserve">All rabbits survived the study. There were no treatment-related effects on clinical signs, food consumption, bodyweight or blood glucose. Eight weeks of consumption of the high-fat diet resulted in a significant increase in total plasma cholesterol, VLDL-cholesterol, VLDL-triglycerides, VLDL-apolipoprotein B, VLDL protein and free, total and acyl carnitine. </w:t>
      </w:r>
    </w:p>
    <w:p w14:paraId="1B037B88" w14:textId="77777777" w:rsidR="00785714" w:rsidRDefault="00785714" w:rsidP="00571A9D">
      <w:pPr>
        <w:widowControl/>
      </w:pPr>
    </w:p>
    <w:p w14:paraId="6FA6DEB4" w14:textId="14A7F19E" w:rsidR="00785714" w:rsidRDefault="00785714" w:rsidP="00571A9D">
      <w:pPr>
        <w:widowControl/>
      </w:pPr>
      <w:r>
        <w:t>Compared to rabbits that consumed the high-fat diet but were not supplemented with L-carnitine, rabbits that were supplemented with L-carnitine for four weeks had significantly increased blood levels of free, acetyl-, acyl- and total carnitine, and also had significantly lower blood levels of VLDL-triglyceride, VLDL-cholesterol and VLDL-protein. Rabbits fed the high-fat diet, but not supplemented with L-carnitine, had significantly lower total carnitine in the liver than rabbits fed the standard rabbit chow. This decrease was attributable to decreases in the free and short-chain acylcarnitine pools, whereas the long-chain acylcarnitine pool increased</w:t>
      </w:r>
      <w:r w:rsidR="0055564D">
        <w:t xml:space="preserve">. </w:t>
      </w:r>
      <w:r>
        <w:t xml:space="preserve">Liver carnitine stores of rabbits that consumed the high-fat diet but also received L-carnitine supplementation were comparable to those of controls. The high-fat diet had less effect on skeletal muscle carnitine than on liver carnitine, although it did cause a significant increase in long-chain acylcarnitine concentration. This increase was reversed by the L-carnitine supplementation. </w:t>
      </w:r>
    </w:p>
    <w:p w14:paraId="6FBA9879" w14:textId="77777777" w:rsidR="00785714" w:rsidRDefault="00785714" w:rsidP="00571A9D">
      <w:pPr>
        <w:widowControl/>
      </w:pPr>
    </w:p>
    <w:p w14:paraId="6478482D" w14:textId="77777777" w:rsidR="00785714" w:rsidRDefault="00785714" w:rsidP="00571A9D">
      <w:pPr>
        <w:widowControl/>
      </w:pPr>
      <w:r>
        <w:t xml:space="preserve">On microscopic examination, rabbits fed the high-fat diet had marked steatosis, evident as enlargement and vacuolation of hepatocytes, in their livers. The vacuolation was confirmed by Oil Red O staining to be lipid accumulation. L-carnitine supplementation was associated </w:t>
      </w:r>
      <w:r>
        <w:lastRenderedPageBreak/>
        <w:t xml:space="preserve">with a reduction in the severity of steatosis. Compared to the control diet, the high-fat diet led to a significant decrease in hepatic β-hydroxy-β-methyl glutaryl-CoA reductase activity, and L-carnitine supplementation did not significantly ameliorate this change. Hepatic activity of 7α-hydroxylase (more commonly known as cytochrome P450 7A1, or CYP7A1) significantly increased in rabbits fed the high-fat diet, when compared to controls. L-carnitine supplementation had some ameliorating effect on this change, although activity remained significantly elevated relative to that of controls. The high-fat diet also increased hepatic activity of acyl-CoA cholesterol acyltransferase (ACAT), and L-carnitine supplementation resulted in an even greater increase. </w:t>
      </w:r>
    </w:p>
    <w:p w14:paraId="7575C7AD" w14:textId="77777777" w:rsidR="00785714" w:rsidRDefault="00785714" w:rsidP="00571A9D">
      <w:pPr>
        <w:widowControl/>
      </w:pPr>
    </w:p>
    <w:p w14:paraId="427A362D" w14:textId="638523FE" w:rsidR="00785714" w:rsidRDefault="00785714" w:rsidP="00571A9D">
      <w:pPr>
        <w:widowControl/>
      </w:pPr>
      <w:r>
        <w:t>This experiment was not intended to be a toxicology study, and did not investigate many of the endpoints usually assessed as part of a toxicology study. However it may be noted that L-carnitine supplementation through drinking water, at an average intake of 170 ± 40 mg/kg bw/day for four weeks, was not associated with adverse effects in male New Zealand White rabbits</w:t>
      </w:r>
      <w:r w:rsidR="0055564D">
        <w:t xml:space="preserve">. </w:t>
      </w:r>
    </w:p>
    <w:p w14:paraId="657D3FC7" w14:textId="77777777" w:rsidR="00785714" w:rsidRDefault="00785714" w:rsidP="00571A9D">
      <w:pPr>
        <w:widowControl/>
      </w:pPr>
    </w:p>
    <w:p w14:paraId="1104908F" w14:textId="2B1FB677" w:rsidR="00785714" w:rsidRPr="0062510C" w:rsidRDefault="00785714" w:rsidP="00571A9D">
      <w:pPr>
        <w:widowControl/>
        <w:rPr>
          <w:i/>
        </w:rPr>
      </w:pPr>
      <w:r w:rsidRPr="0062510C">
        <w:rPr>
          <w:i/>
        </w:rPr>
        <w:t xml:space="preserve">28-day intraperitoneal L-carnitine study in rabbits with induced hypercholesterolaemia (Sayed-Ahmed </w:t>
      </w:r>
      <w:r w:rsidR="000B7678">
        <w:rPr>
          <w:i/>
        </w:rPr>
        <w:t>et al. 2</w:t>
      </w:r>
      <w:r w:rsidRPr="0062510C">
        <w:rPr>
          <w:i/>
        </w:rPr>
        <w:t>001)</w:t>
      </w:r>
    </w:p>
    <w:p w14:paraId="772A7A90" w14:textId="77777777" w:rsidR="00785714" w:rsidRDefault="00785714" w:rsidP="00571A9D">
      <w:pPr>
        <w:widowControl/>
      </w:pPr>
    </w:p>
    <w:p w14:paraId="33ACE47E" w14:textId="212B747B" w:rsidR="00785714" w:rsidRDefault="00785714" w:rsidP="00571A9D">
      <w:pPr>
        <w:widowControl/>
      </w:pPr>
      <w:r>
        <w:t>This study was not a toxicity study, but was designed to determine the effects of L-carnitine deficiency and supplementation on atherosclerosis in rabbits with induced hypercholesterolaemia. The test subjects were male NZW rabbits, aged 3 to 4 months and weighing between 2.0 and 2.5 kg. Rabbits were provided ad libitum access to a standard pelleted diet essentially free of L-carnitine or derivatives, and drinking water. Rabbits were assigned to four groups of 8 rabbits/group. The normal control group were maintained on the standard diet for 28 days and injected intraperitoneally (i.p.) daily, also for 28 days, with normal saline. Hypercholesterolaemia was induced in the other three groups by feeding the rabbits the pelleted diet spray-coated, to 2% w/w, with cholesterol for 28 days. The second group, was assigned to be the control hypercholesterolaemic group. Rabbits in this group were injected i.p., daily, with normal saline</w:t>
      </w:r>
      <w:r w:rsidR="0055564D">
        <w:t xml:space="preserve">. </w:t>
      </w:r>
      <w:r>
        <w:t>Rabbits in the third group, the L-carnitine-treated hypercholesterolaemic group, were injected daily for 28 days with a single i.p. dose of 250 mg/kg bw L-carnitine. The fourth group was the carnitine-deficient hypercholesterolaemic group. Rabbits in this group were injected daily with a single i.p. dose of 250 mg/kg bw D-carnitine</w:t>
      </w:r>
      <w:r w:rsidR="0055564D">
        <w:t xml:space="preserve">. </w:t>
      </w:r>
      <w:r>
        <w:t>Twenty-four hours after the last dose, animals were killed and blood was collected for measurement of serum triglycerides, total cholesterol and HDL-cholesterol. LDL-cholesterol was calculated by subtracting HDL-cholesterol from total cholesterol. Samples of thoracic aorta, coronary arteries and heart were collected, fixed in 10% neutral buffered formalin, and processed for histopathology. Slides were prepared with two stains; H&amp;E and orcein stain. Orcein stain is used to visualize elastic fibres. In addition, reduced glutathione (GSH) and malondialdehyde were measured by spectrophotometric methods in fresh samples of heart and thoracic aorta</w:t>
      </w:r>
      <w:r w:rsidR="0055564D">
        <w:t xml:space="preserve">. </w:t>
      </w:r>
    </w:p>
    <w:p w14:paraId="0AC68B1F" w14:textId="77777777" w:rsidR="00785714" w:rsidRDefault="00785714" w:rsidP="00571A9D">
      <w:pPr>
        <w:widowControl/>
      </w:pPr>
    </w:p>
    <w:p w14:paraId="7DD3D377" w14:textId="77777777" w:rsidR="00785714" w:rsidRDefault="00785714" w:rsidP="00571A9D">
      <w:pPr>
        <w:widowControl/>
      </w:pPr>
      <w:r>
        <w:t>Aortas of rabbits in the normal control group were microscopically normal, whereas in the hypercholesterolaemic control group, all rabbits developed atherosclerotic lesions in the thoracic aorta. Microscopically, these lesions consisted of intimal plaques, which under high magnification featured endothelial gaps, subendothelial foam cells, and splitting of superficial elastic membranes. Rabbits fed the hypercholesterolaemic diet but also supplemented with 250 mg/kg bw/day L-carnitine had normal aortic walls with no foam cells, no endothelial gaps and no changes in muscle fibres. In contrast, rabbits fed the hypercholesterolaemic diet but treated with D-carnitine to induce a state of L-carnitine deficiency developed intimal plaques even larger than those of rabbits in the hypercholesterolaemic control group. Aortas of rabbits in this last group also showed diffuse thickening of aortic walls and fasciculated elastic membranes.</w:t>
      </w:r>
    </w:p>
    <w:p w14:paraId="426466B4" w14:textId="77777777" w:rsidR="00785714" w:rsidRDefault="00785714" w:rsidP="00571A9D">
      <w:pPr>
        <w:widowControl/>
      </w:pPr>
    </w:p>
    <w:p w14:paraId="20C4E594" w14:textId="77777777" w:rsidR="00785714" w:rsidRDefault="00785714" w:rsidP="00571A9D">
      <w:pPr>
        <w:widowControl/>
      </w:pPr>
      <w:r>
        <w:lastRenderedPageBreak/>
        <w:t xml:space="preserve">Compared to the normal coronary histology of the normal control group, coronary arteries of the hypercholesterolaemic control group exhibited focal interruption of internal elastic laminae and vacuolation in arterial walls. Concurrent supplementation with L-carnitine almost completely prevented these lesions. However the lesions in elastic laminae of coronary arteries of rabbits fed the hypercholesterolaemic diet and also treated with D-carnitine were even more severe than those of the hypercholesterolaemic control group. </w:t>
      </w:r>
    </w:p>
    <w:p w14:paraId="3CA81E9B" w14:textId="77777777" w:rsidR="00785714" w:rsidRDefault="00785714" w:rsidP="00571A9D">
      <w:pPr>
        <w:widowControl/>
      </w:pPr>
    </w:p>
    <w:p w14:paraId="18AAF0DC" w14:textId="77777777" w:rsidR="00785714" w:rsidRDefault="00785714" w:rsidP="00571A9D">
      <w:pPr>
        <w:widowControl/>
      </w:pPr>
      <w:r>
        <w:t xml:space="preserve">Compared to normal controls, the hypercholesterolaemic control rabbits exhibited a 5.3-fold group mean increase in total cholesterol, which was principally attributable to increased LDL-cholesterol. The group mean LDL-cholesterol level of the hypercholesterolaemic controls was almost 18 times higher than that of normal control rabbits. Group mean serum triglyceride of the hypercholesterolaemic controls was 151% that of normal control rabbits. Supplementation with L-carnitine did not significantly change group mean total cholesterol, as compared to hypercholesterolaemic controls, and the effect of L-carnitine on serum triglyceride was also insignificant. The LDL-cholesterol/HDL-cholesterol ratio, or atherogenic index, was decreased by 14% by L-carnitine supplementation. In contrast, D-carnitine supplementation resulted in a 45% increase in group mean atherogenic index, compared to hypercholesterolaemic controls. Results are presented in bar graphs rather than in numerical form, but it appears that induction of an L-carnitine deficiency, by means of administering D-carnitine, had little effect on serum triglyceride or serum total cholesterol, when compared to hypercholesterolaemic controls. </w:t>
      </w:r>
    </w:p>
    <w:p w14:paraId="70E6E583" w14:textId="77777777" w:rsidR="00785714" w:rsidRDefault="00785714" w:rsidP="00571A9D">
      <w:pPr>
        <w:widowControl/>
      </w:pPr>
    </w:p>
    <w:p w14:paraId="64FFB844" w14:textId="77777777" w:rsidR="00785714" w:rsidRDefault="00785714" w:rsidP="00571A9D">
      <w:pPr>
        <w:widowControl/>
      </w:pPr>
      <w:r>
        <w:t xml:space="preserve">The hypercholesterolaemic diet resulted in significant increases in group mean aortic and cardiac GSH levels, of 53% and 43% respectively, when compared to normal controls. Administration of L-carnitine resulted in complete reversal of the increase in GSH in both tissues. D-carnitine did not significantly alter the levels of GSH in either tissue, as compared to hypercholesterolaemic controls. </w:t>
      </w:r>
    </w:p>
    <w:p w14:paraId="414CF546" w14:textId="77777777" w:rsidR="00785714" w:rsidRDefault="00785714" w:rsidP="00571A9D">
      <w:pPr>
        <w:widowControl/>
      </w:pPr>
    </w:p>
    <w:p w14:paraId="406A5FD6" w14:textId="77777777" w:rsidR="00785714" w:rsidRDefault="00785714" w:rsidP="00571A9D">
      <w:pPr>
        <w:widowControl/>
      </w:pPr>
      <w:r>
        <w:t xml:space="preserve">Group mean malondialdehyde was increased 1.87-fold in aorta and 14.1-fold in heart in hypercholesterolaemic controls, as compared to normal controls. Treatment with either L-carnitine or D-carnitine resulted in malondialdehyde levels in both tissues that were comparable to those of normal controls. </w:t>
      </w:r>
    </w:p>
    <w:p w14:paraId="4BEB73AD" w14:textId="77777777" w:rsidR="00785714" w:rsidRDefault="00785714" w:rsidP="00571A9D">
      <w:pPr>
        <w:widowControl/>
      </w:pPr>
    </w:p>
    <w:p w14:paraId="22C19302" w14:textId="77777777" w:rsidR="00785714" w:rsidRDefault="00785714" w:rsidP="00571A9D">
      <w:pPr>
        <w:widowControl/>
      </w:pPr>
      <w:r>
        <w:t xml:space="preserve">Under the conditions of this study, supplementation with L-carnitine completely prevented the development and progression of atherosclerotic lesions observed in hypercholesterolaemic controls, whereas D-carnitine resulted in an exacerbation of the lesions. The beneficial effect of L-carnitine did not appear to be attributable to effects on serum triglyceride or serum total cholesterol, although L-carnitine did cause a moderate decrease in atherogenic index. The authors suggested that the beneficial effect of both L-carnitine and D-carnitine on malondialdehyde may indicate that both compounds act as antioxidants. </w:t>
      </w:r>
    </w:p>
    <w:p w14:paraId="7731816D" w14:textId="77777777" w:rsidR="00785714" w:rsidRDefault="00785714" w:rsidP="00571A9D">
      <w:pPr>
        <w:widowControl/>
      </w:pPr>
    </w:p>
    <w:p w14:paraId="413F1A4C" w14:textId="77777777" w:rsidR="00785714" w:rsidRDefault="00785714" w:rsidP="00571A9D">
      <w:pPr>
        <w:widowControl/>
      </w:pPr>
      <w:r>
        <w:t xml:space="preserve">It may be concluded from this study that L-carnitine can prevent the progression of atherosclerotic lesions, and depletion or deficiency of L-carnitine may be an additional risk factor in atherogenesis. </w:t>
      </w:r>
    </w:p>
    <w:p w14:paraId="2CE0BE6F" w14:textId="77777777" w:rsidR="00785714" w:rsidRDefault="00785714" w:rsidP="00571A9D">
      <w:pPr>
        <w:widowControl/>
      </w:pPr>
    </w:p>
    <w:p w14:paraId="44F68696" w14:textId="128CDC0D" w:rsidR="00785714" w:rsidRPr="003E2044" w:rsidRDefault="00785714" w:rsidP="00571A9D">
      <w:pPr>
        <w:keepNext/>
        <w:keepLines/>
        <w:widowControl/>
        <w:rPr>
          <w:i/>
        </w:rPr>
      </w:pPr>
      <w:r w:rsidRPr="003E2044">
        <w:rPr>
          <w:i/>
        </w:rPr>
        <w:lastRenderedPageBreak/>
        <w:t xml:space="preserve">12-week oral gavage study of L-carnitine and/or methimazole in male ApoE KO mice transfected with the human CETP gene (Collins </w:t>
      </w:r>
      <w:r w:rsidR="000B7678">
        <w:rPr>
          <w:i/>
        </w:rPr>
        <w:t>et al. 2</w:t>
      </w:r>
      <w:r w:rsidRPr="003E2044">
        <w:rPr>
          <w:i/>
        </w:rPr>
        <w:t>016)</w:t>
      </w:r>
    </w:p>
    <w:p w14:paraId="4095EF4D" w14:textId="77777777" w:rsidR="00785714" w:rsidRDefault="00785714" w:rsidP="00571A9D">
      <w:pPr>
        <w:keepNext/>
        <w:keepLines/>
        <w:widowControl/>
      </w:pPr>
    </w:p>
    <w:p w14:paraId="530A2966" w14:textId="77777777" w:rsidR="00785714" w:rsidRDefault="00785714" w:rsidP="00571A9D">
      <w:pPr>
        <w:keepNext/>
        <w:keepLines/>
        <w:widowControl/>
      </w:pPr>
      <w:r>
        <w:t xml:space="preserve">The test subjects of this study were male ApoE KO mice (ApoE -/-) transfected with an adeno-associated viral vector containing the human gene for cholesteryl ester transfer protein (hCETP). This protein is a key enzyme in reverse cholesterol transport, transferring cholesterol ester from high density lipoprotein (HDL) to low density lipoprotein (LDL) cholesterol. CETP expression was verified at 2 and 14 weeks after transfection, and found to be stable. Husbandry conditions of the mice are not described in detail. Two weeks after transfection, mice were placed on a diet containing 21% fat w/w and 0.15% cholesterol, and remained on that diet during the 12 weeks of the experiment. Mice were assigned to 5 groups of 15 mice/group. The control group was gavaged daily with the vehicle, sterile deionised water. The two L-carnitine groups were gavaged daily with 87 and 352 mg/kg bw/day L-carnitine. These doses were considered to be equivalent to low and high human doses of 500 and 2000 mg/day. Two further groups were gavaged daily with 15 mg/kg bw/day methimazole, alone or with 352 mg/kg bw/day L-carnitine. Methimazole blocks formation of trimethylamine N-oxide (TMAO). The dose volume for all groups was 1 mL/100 g bodyweight. Mice were weighed weekly. After 12 weeks of treatment, blood samples were collected for determination of plasma concentrations of L-carnitine and TMAO, and the mice were killed. The thoracic aorta of each mouse was fixed for morphometric analysis. In addition, a small segment of ascending aorta with heart attached was collected for histological examination of the aortic root. </w:t>
      </w:r>
    </w:p>
    <w:p w14:paraId="47E31262" w14:textId="77777777" w:rsidR="00785714" w:rsidRDefault="00785714" w:rsidP="00571A9D">
      <w:pPr>
        <w:widowControl/>
      </w:pPr>
    </w:p>
    <w:p w14:paraId="6D451BC1" w14:textId="3F2CE053" w:rsidR="00785714" w:rsidRDefault="00785714" w:rsidP="00571A9D">
      <w:pPr>
        <w:widowControl/>
      </w:pPr>
      <w:r>
        <w:t>There were no treatment-related effects on bodyweights or bodyweight changes</w:t>
      </w:r>
      <w:r w:rsidR="0055564D">
        <w:t xml:space="preserve">. </w:t>
      </w:r>
      <w:r>
        <w:t>Treatment with L-carnitine resulted in a significant dose-dependent increase in group mean plasma L-carnitine, compared to that of controls. In the group gavaged with methimazole alone, there was a significant decrease in plasma L-carnitine. Plasma TMAO was significantly increased by treatment with 352 mg/kg bw/d</w:t>
      </w:r>
      <w:r w:rsidR="00952144">
        <w:t>ay</w:t>
      </w:r>
      <w:r>
        <w:t xml:space="preserve"> L-carnitine, but not by the lower dose of 87 mg/kg bw/day L-carnitine. Concurrent treatment with methimazole led to decreased group mean plasma TMAO compared to treatment with L-carnitine alone, but the level of plasma TMAO was still higher than that of controls. </w:t>
      </w:r>
    </w:p>
    <w:p w14:paraId="0F46B95F" w14:textId="77777777" w:rsidR="00785714" w:rsidRDefault="00785714" w:rsidP="00571A9D">
      <w:pPr>
        <w:widowControl/>
      </w:pPr>
    </w:p>
    <w:p w14:paraId="27422789" w14:textId="77777777" w:rsidR="00785714" w:rsidRDefault="00785714" w:rsidP="00571A9D">
      <w:pPr>
        <w:widowControl/>
      </w:pPr>
      <w:r>
        <w:t xml:space="preserve">In both groups treated with L-carnitine (without methimazole), analysis of atherosclerotic lesion size at the aortic root showed a very small but significant decrease in group mean lesion size compared to the control group. Methimazole alone also resulted in a decrease in group mean lesion size, a finding attributed to the anti-oxidant and anti-inflammatory properties of methimazole. </w:t>
      </w:r>
    </w:p>
    <w:p w14:paraId="2FF38B30" w14:textId="77777777" w:rsidR="00785714" w:rsidRDefault="00785714" w:rsidP="00571A9D">
      <w:pPr>
        <w:widowControl/>
      </w:pPr>
    </w:p>
    <w:p w14:paraId="2D2F70CD" w14:textId="77777777" w:rsidR="00785714" w:rsidRDefault="00785714" w:rsidP="00571A9D">
      <w:pPr>
        <w:widowControl/>
      </w:pPr>
      <w:r>
        <w:t xml:space="preserve">When the 352 mg/kg bw/day group was compared to the control group, there was a significant inverse correlation between lesion size at the aortic root and plasma TMAO. Likewise, using morphometric analysis data, a significant inverse correlation was found between plasma TMAO and thoracic aorta lesion area. Overall, high plasma TMAO was significantly correlated with lower incidence of atherosclerotic lesions. </w:t>
      </w:r>
    </w:p>
    <w:p w14:paraId="10074370" w14:textId="77777777" w:rsidR="00785714" w:rsidRDefault="00785714" w:rsidP="00571A9D">
      <w:pPr>
        <w:widowControl/>
      </w:pPr>
    </w:p>
    <w:p w14:paraId="01B2E6CC" w14:textId="77777777" w:rsidR="00785714" w:rsidRDefault="00785714" w:rsidP="00571A9D">
      <w:pPr>
        <w:widowControl/>
      </w:pPr>
      <w:r>
        <w:t xml:space="preserve">There were no treatment-related differences in lipid content of thoracic aortas in mice, and no significant changes were found in plasma cholesterol, triglycerides or phospholipids. The high-dose (352 mg/kg bw/day) L-carnitine treatment was associated with increased group mean plasma HDL-cholesterol, compared to controls, but the difference was not significant and there were no significant treatment-related differences in plasma VLDL-cholesterol or LDL cholesterol levels. Therefore, the association between plasma TMAO and prevention or amelioration of lesion development appears to be independent of plasma lipid levels. </w:t>
      </w:r>
    </w:p>
    <w:p w14:paraId="474CE20C" w14:textId="77777777" w:rsidR="00785714" w:rsidRDefault="00785714" w:rsidP="00571A9D">
      <w:pPr>
        <w:widowControl/>
      </w:pPr>
    </w:p>
    <w:p w14:paraId="6B88BA34" w14:textId="77777777" w:rsidR="00785714" w:rsidRDefault="00785714" w:rsidP="00571A9D">
      <w:pPr>
        <w:widowControl/>
      </w:pPr>
      <w:r>
        <w:lastRenderedPageBreak/>
        <w:t xml:space="preserve">It was concluded from this study that TMAO is likely to provide a protective rather than a causative effect on atherosclerosis development, and that this protective effect is independent of any effects on plasma lipids. </w:t>
      </w:r>
    </w:p>
    <w:p w14:paraId="775C578C" w14:textId="77777777" w:rsidR="00785714" w:rsidRDefault="00785714" w:rsidP="00571A9D">
      <w:pPr>
        <w:widowControl/>
      </w:pPr>
    </w:p>
    <w:p w14:paraId="2C977D0A" w14:textId="4F31FEA6" w:rsidR="00785714" w:rsidRPr="003E2044" w:rsidRDefault="00785714" w:rsidP="00571A9D">
      <w:pPr>
        <w:keepNext/>
        <w:keepLines/>
        <w:widowControl/>
        <w:rPr>
          <w:i/>
        </w:rPr>
      </w:pPr>
      <w:r w:rsidRPr="003E2044">
        <w:rPr>
          <w:i/>
        </w:rPr>
        <w:t xml:space="preserve">15-week  study of L-carnitine in drinking water of C57BL/6J Apolipoprotein E-knockout (Apoe-/-) mice (Koeth </w:t>
      </w:r>
      <w:r w:rsidR="000B7678">
        <w:rPr>
          <w:i/>
        </w:rPr>
        <w:t>et al. 2</w:t>
      </w:r>
      <w:r w:rsidRPr="003E2044">
        <w:rPr>
          <w:i/>
        </w:rPr>
        <w:t>013).</w:t>
      </w:r>
    </w:p>
    <w:p w14:paraId="4AA4A0C1" w14:textId="77777777" w:rsidR="00785714" w:rsidRDefault="00785714" w:rsidP="00571A9D">
      <w:pPr>
        <w:keepNext/>
        <w:keepLines/>
        <w:widowControl/>
      </w:pPr>
    </w:p>
    <w:p w14:paraId="28B7E7D4" w14:textId="77777777" w:rsidR="00785714" w:rsidRDefault="00785714" w:rsidP="00571A9D">
      <w:pPr>
        <w:keepNext/>
        <w:keepLines/>
        <w:widowControl/>
      </w:pPr>
      <w:r>
        <w:t xml:space="preserve">This study was conducted in female (Apoe-/-) mice. Mice were 28 days old at the start of the study. Details of caging and environmental conditions are not stated. Mice were provided with a standard diet. There was one control group consisting of 9 mice. A second group, consisting of 11 mice, was provided with 1.3% L-carnitine in their drinking water. A third group, containing  9 mice, was provided with a mixture of antibiotics in the drinking water, comprising 0.1% ampicillin sodium salt, 0.1% metronidazole, 0.05% vancomycin and 0.1% neomycin sulphate. The fourth group, consisting of 10 mice, received both the 1.3% L-carnitine and the antibiotic mixture in their drinking water. Mice were treated continuously for 15 weeks. At the end of the study, cardiac blood was collected under anaesthesia and mice were killed by exsanguination. Plasma triglyceride, total cholesterol, glucose and insulin were determined. The hearts were collected for histopathological examination of sections stained with Oil Red O, a lipid stain, with haematoxylin as a counterstain. The areas of atherosclerotic lesions at the aortic root were quantified. The livers were also collected for determination of triglyceride and total cholesterol. </w:t>
      </w:r>
    </w:p>
    <w:p w14:paraId="32457015" w14:textId="77777777" w:rsidR="00785714" w:rsidRDefault="00785714" w:rsidP="00571A9D">
      <w:pPr>
        <w:widowControl/>
      </w:pPr>
    </w:p>
    <w:p w14:paraId="2CE994B8" w14:textId="543E69BD" w:rsidR="00785714" w:rsidRDefault="00785714" w:rsidP="00571A9D">
      <w:pPr>
        <w:widowControl/>
      </w:pPr>
      <w:r>
        <w:t>An approximate doubling of aortic root atherosclerotic plaque formation was reported in L-carnitine-supplemented mice compared to control mice. Numerical data are not provided in the publication. A small graph indicates that the group mean size of aortic root lesions in control mice was approximately1.8-fold that of controls, although the same graph shows that this increase in group mean was driven by three individuals and that lesion sizes in the other mice in the group were in the same general range as the controls</w:t>
      </w:r>
      <w:r w:rsidR="0055564D">
        <w:t xml:space="preserve">. </w:t>
      </w:r>
      <w:r>
        <w:t>Mice in the two groups that were given the antibiotic mixture, with or without concurrent L-carnitine, had lesion sizes in the same range as the control group. The graph plots aortic lesion sizes in the range 0 to 5.0 x 10</w:t>
      </w:r>
      <w:r w:rsidRPr="00077096">
        <w:rPr>
          <w:vertAlign w:val="superscript"/>
        </w:rPr>
        <w:t>5</w:t>
      </w:r>
      <w:r>
        <w:t xml:space="preserve"> µm</w:t>
      </w:r>
      <w:r w:rsidRPr="00077096">
        <w:rPr>
          <w:vertAlign w:val="superscript"/>
        </w:rPr>
        <w:t>2</w:t>
      </w:r>
      <w:r>
        <w:t>. All plotted points for control mice, and mice treated with antibiotics with or without L-carnitine, fall below 2.5 x 10</w:t>
      </w:r>
      <w:r w:rsidRPr="00077096">
        <w:rPr>
          <w:vertAlign w:val="superscript"/>
        </w:rPr>
        <w:t>5</w:t>
      </w:r>
      <w:r>
        <w:t xml:space="preserve"> µm</w:t>
      </w:r>
      <w:r w:rsidRPr="00077096">
        <w:rPr>
          <w:vertAlign w:val="superscript"/>
        </w:rPr>
        <w:t>2</w:t>
      </w:r>
      <w:r>
        <w:t xml:space="preserve">; however, so do seven of the 11 plot points for the L-carnitine supplemented mice. That is, only a minority of L-carnitine supplemented mice had atherosclerotic lesions that were outside the range for other groups. </w:t>
      </w:r>
    </w:p>
    <w:p w14:paraId="17FB2E70" w14:textId="77777777" w:rsidR="00785714" w:rsidRDefault="00785714" w:rsidP="00571A9D">
      <w:pPr>
        <w:widowControl/>
      </w:pPr>
    </w:p>
    <w:p w14:paraId="39621364" w14:textId="1A313F21" w:rsidR="005D3400" w:rsidRDefault="00785714" w:rsidP="00571A9D">
      <w:pPr>
        <w:widowControl/>
      </w:pPr>
      <w:r>
        <w:t>Group mean plasma carnitine was significantly higher in mice supplemented with L-carnitine than in controls. Plasma carnitine was even higher in mice treated with both L-carnitine and the antibiotic mixture. Group mean plasma TMA and TMAO concentrations were much higher in L-carnitine supplemented mice than in controls, but were comparable to those of controls in mice treated with L-carnitine and the antibiotic mixture, as well as in mice treated with the antibiotic mixture alone. No proatherogenic changes in plasma lipid, lipoprotein, glucose or insulin levels were found. There was no evidence of hepatic steatosis in any group and L-carnitine supplementation had no effect on liver triglyceride or total cholesterol.</w:t>
      </w:r>
    </w:p>
    <w:p w14:paraId="11C43073" w14:textId="77777777" w:rsidR="00785714" w:rsidRDefault="00785714" w:rsidP="00571A9D">
      <w:pPr>
        <w:widowControl/>
        <w:rPr>
          <w:b/>
          <w:bCs/>
          <w:sz w:val="36"/>
          <w:szCs w:val="28"/>
          <w:lang w:bidi="ar-SA"/>
        </w:rPr>
      </w:pPr>
      <w:bookmarkStart w:id="66" w:name="_Ref406592480"/>
      <w:bookmarkStart w:id="67" w:name="_Toc415041936"/>
      <w:bookmarkStart w:id="68" w:name="_Toc516587291"/>
      <w:bookmarkStart w:id="69" w:name="_Toc516654683"/>
      <w:bookmarkStart w:id="70" w:name="_Toc518372097"/>
      <w:bookmarkStart w:id="71" w:name="_Toc269201853"/>
      <w:bookmarkStart w:id="72" w:name="_Toc360028637"/>
      <w:bookmarkStart w:id="73" w:name="_Ref406587862"/>
      <w:r>
        <w:br w:type="page"/>
      </w:r>
    </w:p>
    <w:p w14:paraId="42A03D73" w14:textId="3586DC74" w:rsidR="005D3400" w:rsidRPr="00C66F07" w:rsidRDefault="005D3400" w:rsidP="005D3400">
      <w:pPr>
        <w:pStyle w:val="Heading1"/>
        <w:ind w:left="0" w:firstLine="0"/>
      </w:pPr>
      <w:bookmarkStart w:id="74" w:name="_Toc520888233"/>
      <w:r>
        <w:lastRenderedPageBreak/>
        <w:t xml:space="preserve">Appendix </w:t>
      </w:r>
      <w:bookmarkEnd w:id="66"/>
      <w:r>
        <w:t>2</w:t>
      </w:r>
      <w:r w:rsidRPr="00C66F07">
        <w:t xml:space="preserve">: Dietary </w:t>
      </w:r>
      <w:r>
        <w:t>Intake</w:t>
      </w:r>
      <w:r w:rsidRPr="00C66F07">
        <w:t xml:space="preserve"> Assessments at FSANZ</w:t>
      </w:r>
      <w:bookmarkEnd w:id="67"/>
      <w:bookmarkEnd w:id="68"/>
      <w:bookmarkEnd w:id="69"/>
      <w:bookmarkEnd w:id="70"/>
      <w:bookmarkEnd w:id="74"/>
    </w:p>
    <w:bookmarkEnd w:id="71"/>
    <w:bookmarkEnd w:id="72"/>
    <w:bookmarkEnd w:id="73"/>
    <w:p w14:paraId="186238A0" w14:textId="77777777" w:rsidR="005D3400" w:rsidRPr="002D3F0A" w:rsidRDefault="005D3400" w:rsidP="005D3400">
      <w:pPr>
        <w:rPr>
          <w:lang w:eastAsia="en-GB"/>
        </w:rPr>
      </w:pPr>
      <w:r w:rsidRPr="002D3F0A">
        <w:rPr>
          <w:lang w:eastAsia="en-GB"/>
        </w:rPr>
        <w:t xml:space="preserve">A dietary </w:t>
      </w:r>
      <w:r>
        <w:rPr>
          <w:lang w:eastAsia="en-GB"/>
        </w:rPr>
        <w:t>intake</w:t>
      </w:r>
      <w:r w:rsidRPr="002D3F0A">
        <w:rPr>
          <w:lang w:eastAsia="en-GB"/>
        </w:rPr>
        <w:t xml:space="preserve"> assessment is the process of estimating how much of a food chemical a population, or population sub group, consumes. Dietary </w:t>
      </w:r>
      <w:r>
        <w:rPr>
          <w:lang w:eastAsia="en-GB"/>
        </w:rPr>
        <w:t>intake of</w:t>
      </w:r>
      <w:r w:rsidRPr="002D3F0A">
        <w:rPr>
          <w:lang w:eastAsia="en-GB"/>
        </w:rPr>
        <w:t xml:space="preserve"> food chemicals is estimated by combining food consumption data with food chemical concentration data. The process of doing this is called ‘dietary modelling’.</w:t>
      </w:r>
    </w:p>
    <w:p w14:paraId="0B230F6B" w14:textId="77777777" w:rsidR="005D3400" w:rsidRPr="002D3F0A" w:rsidRDefault="005D3400" w:rsidP="005D3400">
      <w:pPr>
        <w:rPr>
          <w:lang w:eastAsia="en-GB"/>
        </w:rPr>
      </w:pPr>
    </w:p>
    <w:p w14:paraId="5B1345AD" w14:textId="77777777" w:rsidR="005D3400" w:rsidRPr="002D3F0A" w:rsidRDefault="005D3400" w:rsidP="005D3400">
      <w:pPr>
        <w:rPr>
          <w:i/>
          <w:lang w:eastAsia="en-GB"/>
        </w:rPr>
      </w:pPr>
      <w:r w:rsidRPr="002D3F0A">
        <w:rPr>
          <w:i/>
          <w:lang w:eastAsia="en-GB"/>
        </w:rPr>
        <w:t xml:space="preserve">Dietary </w:t>
      </w:r>
      <w:r>
        <w:rPr>
          <w:i/>
          <w:lang w:eastAsia="en-GB"/>
        </w:rPr>
        <w:t>intake</w:t>
      </w:r>
      <w:r w:rsidRPr="002D3F0A">
        <w:rPr>
          <w:i/>
          <w:lang w:eastAsia="en-GB"/>
        </w:rPr>
        <w:t xml:space="preserve"> = food chemical concentration x food consumption</w:t>
      </w:r>
    </w:p>
    <w:p w14:paraId="0D64D478" w14:textId="77777777" w:rsidR="005D3400" w:rsidRPr="002D3F0A" w:rsidRDefault="005D3400" w:rsidP="005D3400">
      <w:pPr>
        <w:rPr>
          <w:lang w:eastAsia="en-GB"/>
        </w:rPr>
      </w:pPr>
    </w:p>
    <w:p w14:paraId="7037B22B" w14:textId="77777777" w:rsidR="005D3400" w:rsidRPr="002D3F0A" w:rsidRDefault="005D3400" w:rsidP="005D3400">
      <w:pPr>
        <w:rPr>
          <w:lang w:eastAsia="en-GB"/>
        </w:rPr>
      </w:pPr>
      <w:r w:rsidRPr="002D3F0A">
        <w:rPr>
          <w:lang w:eastAsia="en-GB"/>
        </w:rPr>
        <w:t xml:space="preserve">FSANZ’s approach to dietary modelling is based on internationally accepted procedures for estimating dietary </w:t>
      </w:r>
      <w:r>
        <w:rPr>
          <w:lang w:eastAsia="en-GB"/>
        </w:rPr>
        <w:t>intake of</w:t>
      </w:r>
      <w:r w:rsidRPr="002D3F0A">
        <w:rPr>
          <w:lang w:eastAsia="en-GB"/>
        </w:rPr>
        <w:t xml:space="preserve"> food chemicals.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w:t>
      </w:r>
      <w:r>
        <w:rPr>
          <w:lang w:eastAsia="en-GB"/>
        </w:rPr>
        <w:t>intake</w:t>
      </w:r>
      <w:r w:rsidRPr="002D3F0A">
        <w:rPr>
          <w:lang w:eastAsia="en-GB"/>
        </w:rPr>
        <w:t xml:space="preserve">. Population summary statistics such as the mean </w:t>
      </w:r>
      <w:r>
        <w:rPr>
          <w:lang w:eastAsia="en-GB"/>
        </w:rPr>
        <w:t xml:space="preserve">intake </w:t>
      </w:r>
      <w:r w:rsidRPr="002D3F0A">
        <w:rPr>
          <w:lang w:eastAsia="en-GB"/>
        </w:rPr>
        <w:t xml:space="preserve">or a high percentile </w:t>
      </w:r>
      <w:r>
        <w:rPr>
          <w:lang w:eastAsia="en-GB"/>
        </w:rPr>
        <w:t>intake</w:t>
      </w:r>
      <w:r w:rsidRPr="002D3F0A">
        <w:rPr>
          <w:lang w:eastAsia="en-GB"/>
        </w:rPr>
        <w:t xml:space="preserve"> are derived from the ranked individual person’s </w:t>
      </w:r>
      <w:r>
        <w:rPr>
          <w:lang w:eastAsia="en-GB"/>
        </w:rPr>
        <w:t>intak</w:t>
      </w:r>
      <w:r w:rsidRPr="002D3F0A">
        <w:rPr>
          <w:lang w:eastAsia="en-GB"/>
        </w:rPr>
        <w:t>es from the nutrition survey.</w:t>
      </w:r>
    </w:p>
    <w:p w14:paraId="23BB0CC4" w14:textId="77777777" w:rsidR="005D3400" w:rsidRPr="002D3F0A" w:rsidRDefault="005D3400" w:rsidP="005D3400"/>
    <w:p w14:paraId="59E57978" w14:textId="77777777" w:rsidR="005D3400" w:rsidRPr="002D3F0A" w:rsidRDefault="005D3400" w:rsidP="005D3400">
      <w:r w:rsidRPr="002D3F0A">
        <w:t xml:space="preserve">An overview of how dietary </w:t>
      </w:r>
      <w:r>
        <w:t>intak</w:t>
      </w:r>
      <w:r w:rsidRPr="002D3F0A">
        <w:t>e assessments are conducted and their place in the FSANZ Risk Analysis Process is provided on the FSANZ website at:</w:t>
      </w:r>
    </w:p>
    <w:p w14:paraId="5371C842" w14:textId="77777777" w:rsidR="005D3400" w:rsidRDefault="007377EA" w:rsidP="005D3400">
      <w:hyperlink r:id="rId139" w:history="1">
        <w:r w:rsidR="005D3400" w:rsidRPr="00F93248">
          <w:rPr>
            <w:rStyle w:val="Hyperlink"/>
          </w:rPr>
          <w:t>http://www.foodstandards.gov.au/science/riskanalysis/Pages/default.aspx</w:t>
        </w:r>
      </w:hyperlink>
      <w:r w:rsidR="005D3400">
        <w:t xml:space="preserve"> </w:t>
      </w:r>
    </w:p>
    <w:p w14:paraId="4F1C79BF" w14:textId="77777777" w:rsidR="005D3400" w:rsidRPr="002D3F0A" w:rsidRDefault="005D3400" w:rsidP="005D3400"/>
    <w:p w14:paraId="12777233" w14:textId="77777777" w:rsidR="005D3400" w:rsidRDefault="005D3400" w:rsidP="005D3400">
      <w:pPr>
        <w:rPr>
          <w:lang w:eastAsia="en-GB"/>
        </w:rPr>
      </w:pPr>
      <w:r w:rsidRPr="007157CF">
        <w:rPr>
          <w:lang w:eastAsia="en-GB"/>
        </w:rPr>
        <w:t xml:space="preserve">FSANZ has developed a custom-built computer program ‘Harvest’ to calculate dietary </w:t>
      </w:r>
      <w:r>
        <w:rPr>
          <w:lang w:eastAsia="en-GB"/>
        </w:rPr>
        <w:t>intak</w:t>
      </w:r>
      <w:r w:rsidRPr="007157CF">
        <w:rPr>
          <w:lang w:eastAsia="en-GB"/>
        </w:rPr>
        <w:t>es. Harvest replaces the program ‘DIAMOND’ that has been used by FSANZ for many years.</w:t>
      </w:r>
      <w:r>
        <w:rPr>
          <w:lang w:eastAsia="en-GB"/>
        </w:rPr>
        <w:t xml:space="preserve"> Harvest has been designed to replicate the calculations that occurred within DIAMOND using a different software package.</w:t>
      </w:r>
    </w:p>
    <w:p w14:paraId="0B64D1E4" w14:textId="77777777" w:rsidR="005D3400" w:rsidRPr="007157CF" w:rsidRDefault="005D3400" w:rsidP="005D3400"/>
    <w:p w14:paraId="35D4D69E" w14:textId="77777777" w:rsidR="005D3400" w:rsidRPr="007157CF" w:rsidRDefault="005D3400" w:rsidP="005D3400">
      <w:r w:rsidRPr="007157CF">
        <w:t xml:space="preserve">Further detailed information on conducting dietary </w:t>
      </w:r>
      <w:r>
        <w:t>intak</w:t>
      </w:r>
      <w:r w:rsidRPr="007157CF">
        <w:t xml:space="preserve">e assessments at FSANZ is provided in </w:t>
      </w:r>
      <w:r w:rsidRPr="007157CF">
        <w:rPr>
          <w:i/>
        </w:rPr>
        <w:t xml:space="preserve">Principles and Practices of Dietary Exposure Assessment for Food Regulatory Purposes </w:t>
      </w:r>
      <w:r w:rsidRPr="007157CF">
        <w:t xml:space="preserve">(FSANZ 2009), available at: </w:t>
      </w:r>
      <w:hyperlink r:id="rId140" w:history="1">
        <w:r w:rsidRPr="007157CF">
          <w:rPr>
            <w:rStyle w:val="Hyperlink"/>
          </w:rPr>
          <w:t>http://www.foodstandards.gov.au/science/exposure/documents/Principles%20_%20practices%20exposure%20assessment%202009.pdf</w:t>
        </w:r>
      </w:hyperlink>
      <w:r w:rsidRPr="007157CF">
        <w:t xml:space="preserve"> </w:t>
      </w:r>
    </w:p>
    <w:p w14:paraId="74BB389A" w14:textId="141F921B" w:rsidR="005D3400" w:rsidRPr="007157CF" w:rsidRDefault="005D3400" w:rsidP="003D354D">
      <w:pPr>
        <w:pStyle w:val="Heading2"/>
      </w:pPr>
      <w:bookmarkStart w:id="75" w:name="_Toc256582725"/>
      <w:bookmarkStart w:id="76" w:name="_Toc360028638"/>
      <w:bookmarkStart w:id="77" w:name="_Toc415041937"/>
      <w:bookmarkStart w:id="78" w:name="_Toc516587292"/>
      <w:bookmarkStart w:id="79" w:name="_Toc516654684"/>
      <w:bookmarkStart w:id="80" w:name="_Toc518372098"/>
      <w:bookmarkStart w:id="81" w:name="_Toc520888234"/>
      <w:r>
        <w:t>A2</w:t>
      </w:r>
      <w:r w:rsidRPr="007157CF">
        <w:t>.1</w:t>
      </w:r>
      <w:r w:rsidRPr="007157CF">
        <w:tab/>
        <w:t>Food consumption data used</w:t>
      </w:r>
      <w:bookmarkEnd w:id="75"/>
      <w:bookmarkEnd w:id="76"/>
      <w:bookmarkEnd w:id="77"/>
      <w:bookmarkEnd w:id="78"/>
      <w:bookmarkEnd w:id="79"/>
      <w:bookmarkEnd w:id="80"/>
      <w:bookmarkEnd w:id="81"/>
    </w:p>
    <w:p w14:paraId="4D7772BE" w14:textId="77777777" w:rsidR="005D3400" w:rsidRPr="00A408DF" w:rsidRDefault="005D3400" w:rsidP="005D3400">
      <w:r w:rsidRPr="007157CF">
        <w:t xml:space="preserve">The most recent food consumption data available were used to estimate </w:t>
      </w:r>
      <w:r>
        <w:t>intak</w:t>
      </w:r>
      <w:r w:rsidRPr="007157CF">
        <w:t xml:space="preserve">es </w:t>
      </w:r>
      <w:r>
        <w:t>of L-carnitine</w:t>
      </w:r>
      <w:r w:rsidRPr="007157CF">
        <w:t xml:space="preserve"> for the Australian and New Zealand populations. The national nutrition survey </w:t>
      </w:r>
      <w:r w:rsidRPr="00A408DF">
        <w:t>(NNS) data used for these assessments were:</w:t>
      </w:r>
    </w:p>
    <w:p w14:paraId="7A79B42B" w14:textId="77777777" w:rsidR="005D3400" w:rsidRPr="00A408DF" w:rsidRDefault="005D3400" w:rsidP="005D3400">
      <w:pPr>
        <w:pStyle w:val="FSBullet"/>
        <w:numPr>
          <w:ilvl w:val="0"/>
          <w:numId w:val="6"/>
        </w:numPr>
        <w:ind w:left="567" w:hanging="567"/>
      </w:pPr>
      <w:r w:rsidRPr="00A408DF">
        <w:t>The 2011-12 Australian National Nutrition and Physical Activity Survey (2011-12 NNPAS)</w:t>
      </w:r>
    </w:p>
    <w:p w14:paraId="2A01CAF6" w14:textId="77777777" w:rsidR="005D3400" w:rsidRPr="00A408DF" w:rsidRDefault="005D3400" w:rsidP="005D3400">
      <w:pPr>
        <w:pStyle w:val="FSBullet"/>
        <w:numPr>
          <w:ilvl w:val="0"/>
          <w:numId w:val="6"/>
        </w:numPr>
        <w:ind w:left="567" w:hanging="567"/>
      </w:pPr>
      <w:r w:rsidRPr="00A408DF">
        <w:t>The 2002 New Zealand National Children’s Nutrition Survey (2002 NZNNS)</w:t>
      </w:r>
    </w:p>
    <w:p w14:paraId="21D4043A" w14:textId="77777777" w:rsidR="005D3400" w:rsidRPr="00A408DF" w:rsidRDefault="005D3400" w:rsidP="005D3400">
      <w:pPr>
        <w:pStyle w:val="FSBullet"/>
        <w:numPr>
          <w:ilvl w:val="0"/>
          <w:numId w:val="6"/>
        </w:numPr>
        <w:ind w:left="567" w:hanging="567"/>
      </w:pPr>
      <w:r w:rsidRPr="00A408DF">
        <w:t>The 2008/09 New Zealand Adult Nutrition Survey (2008 NZANS).</w:t>
      </w:r>
    </w:p>
    <w:p w14:paraId="5DB2FC23" w14:textId="77777777" w:rsidR="005D3400" w:rsidRPr="00A408DF" w:rsidRDefault="005D3400" w:rsidP="005D3400"/>
    <w:p w14:paraId="367FA71A" w14:textId="77777777" w:rsidR="005D3400" w:rsidRPr="00A408DF" w:rsidRDefault="005D3400" w:rsidP="005D3400">
      <w:pPr>
        <w:rPr>
          <w:color w:val="0000FF"/>
          <w:sz w:val="18"/>
          <w:szCs w:val="18"/>
          <w:lang w:val="en-AU" w:eastAsia="en-AU"/>
        </w:rPr>
      </w:pPr>
      <w:r w:rsidRPr="00A408DF">
        <w:t xml:space="preserve">The design of each of these surveys varies somewhat and key attributes of each are set out below. </w:t>
      </w:r>
      <w:r w:rsidRPr="00A408DF">
        <w:rPr>
          <w:lang w:val="en-AU" w:eastAsia="en-AU"/>
        </w:rPr>
        <w:t xml:space="preserve">Further information on the National Nutrition Surveys used to conduct dietary intake assessments is available on the FSANZ website at: </w:t>
      </w:r>
      <w:hyperlink r:id="rId141" w:history="1">
        <w:r w:rsidRPr="00A408DF">
          <w:rPr>
            <w:rStyle w:val="Hyperlink"/>
            <w:lang w:val="en-AU" w:eastAsia="en-AU"/>
          </w:rPr>
          <w:t>http://www.foodstandards.gov.au/science/exposure/Pages/dietaryexposureandin4438.aspx</w:t>
        </w:r>
      </w:hyperlink>
      <w:r w:rsidRPr="00A408DF">
        <w:rPr>
          <w:lang w:val="en-AU" w:eastAsia="en-AU"/>
        </w:rPr>
        <w:t xml:space="preserve"> </w:t>
      </w:r>
    </w:p>
    <w:p w14:paraId="0DD5A6A7" w14:textId="3AB6ED7D" w:rsidR="005D3400" w:rsidRPr="007B7C20" w:rsidRDefault="005D3400" w:rsidP="003D354D">
      <w:pPr>
        <w:pStyle w:val="Heading3"/>
      </w:pPr>
      <w:bookmarkStart w:id="82" w:name="_Toc415041938"/>
      <w:bookmarkStart w:id="83" w:name="_Toc516587293"/>
      <w:bookmarkStart w:id="84" w:name="_Toc516654685"/>
      <w:bookmarkStart w:id="85" w:name="_Toc518372099"/>
      <w:bookmarkStart w:id="86" w:name="_Toc520888235"/>
      <w:r>
        <w:t>A2</w:t>
      </w:r>
      <w:r w:rsidRPr="007B7C20">
        <w:t>.1.1</w:t>
      </w:r>
      <w:r w:rsidRPr="007B7C20">
        <w:tab/>
      </w:r>
      <w:bookmarkEnd w:id="82"/>
      <w:r>
        <w:t>2011-12 NNPAS</w:t>
      </w:r>
      <w:bookmarkEnd w:id="83"/>
      <w:bookmarkEnd w:id="84"/>
      <w:bookmarkEnd w:id="85"/>
      <w:bookmarkEnd w:id="86"/>
    </w:p>
    <w:p w14:paraId="58670944" w14:textId="2E1DD5AF" w:rsidR="005D3400" w:rsidRPr="00BC485A" w:rsidRDefault="005D3400" w:rsidP="005D3400">
      <w:r w:rsidRPr="00BC485A">
        <w:t>The 2011–12 Australian National Nutrition and Physical Activity Survey (</w:t>
      </w:r>
      <w:r>
        <w:t xml:space="preserve">2011-12 </w:t>
      </w:r>
      <w:r w:rsidRPr="00BC485A">
        <w:t>NNPAS)</w:t>
      </w:r>
      <w:r>
        <w:t>,</w:t>
      </w:r>
      <w:r w:rsidRPr="00BC485A">
        <w:t xml:space="preserve"> undertaken by the Australian Bureau of Statistics</w:t>
      </w:r>
      <w:r>
        <w:t>,</w:t>
      </w:r>
      <w:r w:rsidRPr="00BC485A">
        <w:t xml:space="preserve"> is the most recent food consumption data for Australia. This survey includes dietary patterns of a sample of</w:t>
      </w:r>
      <w:r>
        <w:t xml:space="preserve"> 12,153 Australians aged from 2 </w:t>
      </w:r>
      <w:r w:rsidRPr="00BC485A">
        <w:t xml:space="preserve">years and above. The survey used a 24-hour recall method for all respondents, with </w:t>
      </w:r>
      <w:r w:rsidRPr="00BC485A">
        <w:lastRenderedPageBreak/>
        <w:t xml:space="preserve">64% of respondents also </w:t>
      </w:r>
      <w:r w:rsidRPr="00A57692">
        <w:rPr>
          <w:szCs w:val="22"/>
        </w:rPr>
        <w:t xml:space="preserve">completing a second 24-hour recall on a second, non-consecutive day. The data were collected from May 2011 to June 2012 (with no enumeration between August and September 2011 due to the Census). </w:t>
      </w:r>
      <w:r>
        <w:rPr>
          <w:szCs w:val="22"/>
        </w:rPr>
        <w:t xml:space="preserve">Only those respondents who had two days of food consumption data were used to estimate L-carnitine intakes for this assessment. To allow a comparison with New Zealand L-carnitine </w:t>
      </w:r>
      <w:r w:rsidRPr="00520C66">
        <w:rPr>
          <w:szCs w:val="22"/>
        </w:rPr>
        <w:t xml:space="preserve">intakes, </w:t>
      </w:r>
      <w:r w:rsidRPr="00520C66">
        <w:rPr>
          <w:szCs w:val="22"/>
          <w:lang w:val="en-AU" w:eastAsia="en-AU"/>
        </w:rPr>
        <w:t>Day</w:t>
      </w:r>
      <w:r w:rsidRPr="00520C66">
        <w:rPr>
          <w:lang w:val="en-AU" w:eastAsia="en-AU"/>
        </w:rPr>
        <w:t xml:space="preserve"> 1 L-carnitine intakes were also estimated for Australia. However, the </w:t>
      </w:r>
      <w:r>
        <w:rPr>
          <w:lang w:val="en-AU" w:eastAsia="en-AU"/>
        </w:rPr>
        <w:t>Day 1 and 2</w:t>
      </w:r>
      <w:r w:rsidRPr="00520C66">
        <w:rPr>
          <w:lang w:val="en-AU" w:eastAsia="en-AU"/>
        </w:rPr>
        <w:t xml:space="preserve"> ave</w:t>
      </w:r>
      <w:r>
        <w:rPr>
          <w:lang w:val="en-AU" w:eastAsia="en-AU"/>
        </w:rPr>
        <w:t xml:space="preserve">rage dietary intakes provide the best estimate of L-carnitine intakes for </w:t>
      </w:r>
      <w:r w:rsidRPr="00484548">
        <w:rPr>
          <w:lang w:val="en-AU" w:eastAsia="en-AU"/>
        </w:rPr>
        <w:t>Australia</w:t>
      </w:r>
      <w:r w:rsidR="00493631" w:rsidRPr="00484548">
        <w:rPr>
          <w:lang w:val="en-AU" w:eastAsia="en-AU"/>
        </w:rPr>
        <w:t>,</w:t>
      </w:r>
      <w:r w:rsidR="00EA4D6E" w:rsidRPr="00484548">
        <w:rPr>
          <w:lang w:val="en-AU" w:eastAsia="en-AU"/>
        </w:rPr>
        <w:t xml:space="preserve"> therefore for risk assessment purposes the day 1 only intakes for Australia are not </w:t>
      </w:r>
      <w:r w:rsidR="00493631" w:rsidRPr="00484548">
        <w:rPr>
          <w:lang w:val="en-AU" w:eastAsia="en-AU"/>
        </w:rPr>
        <w:t xml:space="preserve">taken into account or </w:t>
      </w:r>
      <w:r w:rsidR="00EA4D6E" w:rsidRPr="00484548">
        <w:rPr>
          <w:lang w:val="en-AU" w:eastAsia="en-AU"/>
        </w:rPr>
        <w:t>discussed in the main risk assessment part of this report</w:t>
      </w:r>
      <w:r w:rsidRPr="00484548">
        <w:rPr>
          <w:lang w:val="en-AU" w:eastAsia="en-AU"/>
        </w:rPr>
        <w:t xml:space="preserve">. </w:t>
      </w:r>
      <w:r w:rsidR="00EA4D6E" w:rsidRPr="00484548">
        <w:rPr>
          <w:lang w:val="en-AU" w:eastAsia="en-AU"/>
        </w:rPr>
        <w:t>A comparison of the</w:t>
      </w:r>
      <w:r w:rsidR="00493631" w:rsidRPr="00484548">
        <w:rPr>
          <w:lang w:val="en-AU" w:eastAsia="en-AU"/>
        </w:rPr>
        <w:t xml:space="preserve"> Australian results based on</w:t>
      </w:r>
      <w:r w:rsidR="00EA4D6E" w:rsidRPr="00484548">
        <w:rPr>
          <w:lang w:val="en-AU" w:eastAsia="en-AU"/>
        </w:rPr>
        <w:t xml:space="preserve"> day 1 only </w:t>
      </w:r>
      <w:r w:rsidR="00493631" w:rsidRPr="00484548">
        <w:rPr>
          <w:lang w:val="en-AU" w:eastAsia="en-AU"/>
        </w:rPr>
        <w:t xml:space="preserve">and </w:t>
      </w:r>
      <w:r w:rsidR="00EA4D6E" w:rsidRPr="00484548">
        <w:rPr>
          <w:lang w:val="en-AU" w:eastAsia="en-AU"/>
        </w:rPr>
        <w:t>the results based on the average of two days give</w:t>
      </w:r>
      <w:r w:rsidR="00493631" w:rsidRPr="00484548">
        <w:rPr>
          <w:lang w:val="en-AU" w:eastAsia="en-AU"/>
        </w:rPr>
        <w:t>s</w:t>
      </w:r>
      <w:r w:rsidR="00EA4D6E" w:rsidRPr="00484548">
        <w:rPr>
          <w:lang w:val="en-AU" w:eastAsia="en-AU"/>
        </w:rPr>
        <w:t xml:space="preserve"> an indication of the impact that more days of data have on estimating longer term intakes, particularly at high percentiles</w:t>
      </w:r>
      <w:r w:rsidR="00493631" w:rsidRPr="00484548">
        <w:rPr>
          <w:lang w:val="en-AU" w:eastAsia="en-AU"/>
        </w:rPr>
        <w:t xml:space="preserve"> (which are lower based on two days of data)</w:t>
      </w:r>
      <w:r w:rsidR="00EA4D6E" w:rsidRPr="00484548">
        <w:rPr>
          <w:lang w:val="en-AU" w:eastAsia="en-AU"/>
        </w:rPr>
        <w:t xml:space="preserve">. </w:t>
      </w:r>
      <w:r w:rsidR="00493631" w:rsidRPr="00484548">
        <w:rPr>
          <w:lang w:val="en-AU" w:eastAsia="en-AU"/>
        </w:rPr>
        <w:t>This illustrates the impact that would also occur for New Zealand if more days of data were available</w:t>
      </w:r>
      <w:r w:rsidR="00EA4D6E" w:rsidRPr="00484548">
        <w:rPr>
          <w:lang w:val="en-AU" w:eastAsia="en-AU"/>
        </w:rPr>
        <w:t>.</w:t>
      </w:r>
      <w:r w:rsidRPr="00484548">
        <w:rPr>
          <w:lang w:val="en-AU" w:eastAsia="en-AU"/>
        </w:rPr>
        <w:t xml:space="preserve"> </w:t>
      </w:r>
      <w:r w:rsidRPr="00484548">
        <w:t xml:space="preserve">Consumption and respondent data </w:t>
      </w:r>
      <w:r>
        <w:t>from the survey were incorporated into the Harvest program f</w:t>
      </w:r>
      <w:r w:rsidRPr="005F72E8">
        <w:t>rom the Confidentialised Unit Record Files (CURF) data set</w:t>
      </w:r>
      <w:r>
        <w:t xml:space="preserve"> </w:t>
      </w:r>
      <w:r>
        <w:fldChar w:fldCharType="begin"/>
      </w:r>
      <w:r>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fldChar w:fldCharType="separate"/>
      </w:r>
      <w:r>
        <w:rPr>
          <w:noProof/>
        </w:rPr>
        <w:t>(ABS 2014)</w:t>
      </w:r>
      <w:r>
        <w:fldChar w:fldCharType="end"/>
      </w:r>
      <w:r w:rsidRPr="00BC485A">
        <w:t>.</w:t>
      </w:r>
      <w:r>
        <w:t xml:space="preserve"> </w:t>
      </w:r>
      <w:r w:rsidRPr="001D2C27">
        <w:t>These data are used weighted in Harvest.</w:t>
      </w:r>
    </w:p>
    <w:p w14:paraId="1278774A" w14:textId="0A020A22" w:rsidR="005D3400" w:rsidRPr="001D2C27" w:rsidRDefault="005D3400" w:rsidP="003D354D">
      <w:pPr>
        <w:pStyle w:val="Heading3"/>
      </w:pPr>
      <w:bookmarkStart w:id="87" w:name="_Toc415041940"/>
      <w:bookmarkStart w:id="88" w:name="_Toc516587294"/>
      <w:bookmarkStart w:id="89" w:name="_Toc516654686"/>
      <w:bookmarkStart w:id="90" w:name="_Toc518372100"/>
      <w:bookmarkStart w:id="91" w:name="_Toc520888236"/>
      <w:r>
        <w:t>A2.1.2</w:t>
      </w:r>
      <w:r w:rsidRPr="001D2C27">
        <w:tab/>
        <w:t>2002 New Zealand National Children’s Nutrition Survey (2002 NZ</w:t>
      </w:r>
      <w:r>
        <w:t>N</w:t>
      </w:r>
      <w:r w:rsidRPr="001D2C27">
        <w:t>NS)</w:t>
      </w:r>
      <w:bookmarkEnd w:id="87"/>
      <w:bookmarkEnd w:id="88"/>
      <w:bookmarkEnd w:id="89"/>
      <w:bookmarkEnd w:id="90"/>
      <w:bookmarkEnd w:id="91"/>
    </w:p>
    <w:p w14:paraId="3284FF5E" w14:textId="77777777" w:rsidR="005D3400" w:rsidRPr="001D2C27" w:rsidRDefault="005D3400" w:rsidP="005D3400">
      <w:pPr>
        <w:autoSpaceDE w:val="0"/>
        <w:autoSpaceDN w:val="0"/>
        <w:adjustRightInd w:val="0"/>
        <w:rPr>
          <w:rFonts w:cs="Arial"/>
        </w:rPr>
      </w:pPr>
      <w:r w:rsidRPr="001D2C27">
        <w:t>The 2002 NZ</w:t>
      </w:r>
      <w:r>
        <w:t>N</w:t>
      </w:r>
      <w:r w:rsidRPr="001D2C27">
        <w:t xml:space="preserve">NS was a cross-sectional and </w:t>
      </w:r>
      <w:r w:rsidRPr="001D2C27">
        <w:rPr>
          <w:rFonts w:cs="Arial"/>
        </w:rPr>
        <w:t xml:space="preserve">nationally representative </w:t>
      </w:r>
      <w:r w:rsidRPr="001D2C27">
        <w:t xml:space="preserve">survey of </w:t>
      </w:r>
      <w:r w:rsidRPr="001D2C27">
        <w:rPr>
          <w:rFonts w:cs="Arial"/>
        </w:rPr>
        <w:t xml:space="preserve">3,275 </w:t>
      </w:r>
      <w:r w:rsidRPr="001D2C27">
        <w:t xml:space="preserve">New Zealand children </w:t>
      </w:r>
      <w:r w:rsidRPr="001D2C27">
        <w:rPr>
          <w:rFonts w:cs="Arial"/>
        </w:rPr>
        <w:t>aged 5-14 years.</w:t>
      </w:r>
      <w:r w:rsidRPr="001D2C27">
        <w:t xml:space="preserve"> The data were collected </w:t>
      </w:r>
      <w:r w:rsidRPr="001D2C27">
        <w:rPr>
          <w:rFonts w:cs="Arial"/>
        </w:rPr>
        <w:t xml:space="preserve">during the school year from February to December 2002. The survey used a 24-hour food recall and </w:t>
      </w:r>
      <w:r w:rsidRPr="001D2C27">
        <w:t xml:space="preserve">provided information on food and nutrient intakes, eating patterns, frequently eaten foods, </w:t>
      </w:r>
      <w:r w:rsidRPr="001D2C27">
        <w:rPr>
          <w:rFonts w:cs="Arial"/>
        </w:rPr>
        <w:t>physical activity patterns, dental health, anthropometric measures and nutrition-related clinical measures.</w:t>
      </w:r>
      <w:r w:rsidRPr="001D2C27">
        <w:t xml:space="preserve"> It was also the first children’s nutrition survey in New Zealand to include a second day diet recall data for about 15% of the respondents, and dietary intake from both foods (including beverages) and dietary supplements. </w:t>
      </w:r>
      <w:r w:rsidRPr="001D2C27">
        <w:rPr>
          <w:lang w:val="en-AU" w:eastAsia="en-AU"/>
        </w:rPr>
        <w:t xml:space="preserve">Only the Day 1 24-hour recall data for all respondents (excluding supplements) were used for this assessment. </w:t>
      </w:r>
      <w:r w:rsidRPr="001D2C27">
        <w:t>These data are used weighted in Harvest.</w:t>
      </w:r>
    </w:p>
    <w:p w14:paraId="0ADD96DC" w14:textId="1AA909D9" w:rsidR="005D3400" w:rsidRPr="001D2C27" w:rsidRDefault="005D3400" w:rsidP="003D354D">
      <w:pPr>
        <w:pStyle w:val="Heading3"/>
        <w:rPr>
          <w:lang w:val="en-AU"/>
        </w:rPr>
      </w:pPr>
      <w:bookmarkStart w:id="92" w:name="_Toc415041941"/>
      <w:bookmarkStart w:id="93" w:name="_Toc516587295"/>
      <w:bookmarkStart w:id="94" w:name="_Toc516654687"/>
      <w:bookmarkStart w:id="95" w:name="_Toc518372101"/>
      <w:bookmarkStart w:id="96" w:name="_Toc520888237"/>
      <w:r>
        <w:rPr>
          <w:lang w:val="en-AU"/>
        </w:rPr>
        <w:t>A2</w:t>
      </w:r>
      <w:r w:rsidRPr="001D2C27">
        <w:rPr>
          <w:lang w:val="en-AU"/>
        </w:rPr>
        <w:t>.1.</w:t>
      </w:r>
      <w:r>
        <w:rPr>
          <w:lang w:val="en-AU"/>
        </w:rPr>
        <w:t>3</w:t>
      </w:r>
      <w:r w:rsidRPr="001D2C27">
        <w:rPr>
          <w:lang w:val="en-AU"/>
        </w:rPr>
        <w:tab/>
        <w:t>2008</w:t>
      </w:r>
      <w:r>
        <w:rPr>
          <w:lang w:val="en-AU"/>
        </w:rPr>
        <w:t>/09</w:t>
      </w:r>
      <w:r w:rsidRPr="001D2C27">
        <w:rPr>
          <w:lang w:val="en-AU"/>
        </w:rPr>
        <w:t xml:space="preserve"> New Zealand Adult Nutrition Survey (2008 NZANS)</w:t>
      </w:r>
      <w:bookmarkEnd w:id="92"/>
      <w:bookmarkEnd w:id="93"/>
      <w:bookmarkEnd w:id="94"/>
      <w:bookmarkEnd w:id="95"/>
      <w:bookmarkEnd w:id="96"/>
    </w:p>
    <w:p w14:paraId="71F1262C" w14:textId="77777777" w:rsidR="005D3400" w:rsidRPr="007949D2" w:rsidRDefault="005D3400" w:rsidP="005D3400">
      <w:pPr>
        <w:rPr>
          <w:lang w:val="en-AU" w:eastAsia="en-AU"/>
        </w:rPr>
      </w:pPr>
      <w:r w:rsidRPr="007949D2">
        <w:rPr>
          <w:lang w:val="en-AU" w:eastAsia="en-AU"/>
        </w:rPr>
        <w:t xml:space="preserve">The 2008 NZANS provides comprehensive information on the dietary patterns of a sample of 4,721 respondents aged 15 years and above. </w:t>
      </w:r>
      <w:r w:rsidRPr="008B12AE">
        <w:rPr>
          <w:lang w:val="en-AU" w:eastAsia="en-AU"/>
        </w:rPr>
        <w:t xml:space="preserve">The survey was conducted on a stratified sample over a 12 month period from October 2008 – October 2009. The survey used a 24-hour recall </w:t>
      </w:r>
      <w:r w:rsidRPr="00550838">
        <w:rPr>
          <w:lang w:val="en-AU" w:eastAsia="en-AU"/>
        </w:rPr>
        <w:t>methodology with 25% of respondents also completing a second 24-hour recall.</w:t>
      </w:r>
      <w:r w:rsidRPr="008B12AE">
        <w:rPr>
          <w:rFonts w:cs="Arial"/>
        </w:rPr>
        <w:t xml:space="preserve"> </w:t>
      </w:r>
      <w:r>
        <w:rPr>
          <w:rFonts w:cs="Arial"/>
        </w:rPr>
        <w:t xml:space="preserve">The information collected in the 2008 NZANS </w:t>
      </w:r>
      <w:r>
        <w:t>included</w:t>
      </w:r>
      <w:r w:rsidRPr="001D2C27">
        <w:t xml:space="preserve"> food and nutrient intakes, </w:t>
      </w:r>
      <w:r>
        <w:t>dietary supplement use, socio-demographics, nutrition related health, and</w:t>
      </w:r>
      <w:r w:rsidRPr="001D2C27">
        <w:rPr>
          <w:rFonts w:cs="Arial"/>
        </w:rPr>
        <w:t xml:space="preserve"> anthropometric measures.</w:t>
      </w:r>
      <w:r w:rsidRPr="001D2C27">
        <w:t xml:space="preserve"> </w:t>
      </w:r>
      <w:r w:rsidRPr="007949D2">
        <w:rPr>
          <w:lang w:val="en-AU" w:eastAsia="en-AU"/>
        </w:rPr>
        <w:t>Only the Day 1 24-hour recall data for all respondents were used for this assessment. These data are used weighted in Harvest.</w:t>
      </w:r>
    </w:p>
    <w:p w14:paraId="330492BD" w14:textId="68A5BC24" w:rsidR="005D3400" w:rsidRPr="00127BAA" w:rsidRDefault="005D3400" w:rsidP="003D354D">
      <w:pPr>
        <w:pStyle w:val="Heading2"/>
      </w:pPr>
      <w:bookmarkStart w:id="97" w:name="_Toc247509506"/>
      <w:bookmarkStart w:id="98" w:name="_Toc256582727"/>
      <w:bookmarkStart w:id="99" w:name="_Toc360028640"/>
      <w:bookmarkStart w:id="100" w:name="_Toc415041943"/>
      <w:bookmarkStart w:id="101" w:name="_Toc516587296"/>
      <w:bookmarkStart w:id="102" w:name="_Toc516654688"/>
      <w:bookmarkStart w:id="103" w:name="_Toc518372102"/>
      <w:bookmarkStart w:id="104" w:name="_Toc520888238"/>
      <w:r>
        <w:t>A2</w:t>
      </w:r>
      <w:r w:rsidRPr="00127BAA">
        <w:t>.</w:t>
      </w:r>
      <w:r>
        <w:t>2</w:t>
      </w:r>
      <w:r w:rsidRPr="00127BAA">
        <w:tab/>
        <w:t xml:space="preserve">Limitations of dietary </w:t>
      </w:r>
      <w:r>
        <w:t>intake</w:t>
      </w:r>
      <w:r w:rsidRPr="00127BAA">
        <w:t xml:space="preserve"> assessments</w:t>
      </w:r>
      <w:bookmarkEnd w:id="97"/>
      <w:bookmarkEnd w:id="98"/>
      <w:bookmarkEnd w:id="99"/>
      <w:bookmarkEnd w:id="100"/>
      <w:bookmarkEnd w:id="101"/>
      <w:bookmarkEnd w:id="102"/>
      <w:bookmarkEnd w:id="103"/>
      <w:bookmarkEnd w:id="104"/>
    </w:p>
    <w:p w14:paraId="642AC81B" w14:textId="517E21BE" w:rsidR="005D3400" w:rsidRDefault="005D3400" w:rsidP="005D3400">
      <w:r w:rsidRPr="006E793D">
        <w:t>Dietary intake assessments based on food consumption data from national dietary surveys provide the best estimation of actual consumption of a food and the resulting estimated dietary intake assessment for the Australian population aged 2 years and above, as well as the New Zealand populations aged 5-14 years and 15 years and above. However, it should be noted that NNS data do have limitations. Further details of the limitations relating to</w:t>
      </w:r>
      <w:r w:rsidRPr="007157CF">
        <w:t xml:space="preserve"> dietary </w:t>
      </w:r>
      <w:r>
        <w:t>intak</w:t>
      </w:r>
      <w:r w:rsidRPr="007157CF">
        <w:t xml:space="preserve">e assessments undertaken by FSANZ are set out in the FSANZ document, </w:t>
      </w:r>
      <w:r w:rsidRPr="007157CF">
        <w:rPr>
          <w:i/>
        </w:rPr>
        <w:t>Principles and Practices of Dietary Exposure Assessment for Food Regulatory Purposes</w:t>
      </w:r>
      <w:r w:rsidRPr="007157CF">
        <w:t xml:space="preserve"> (FSANZ 2009).</w:t>
      </w:r>
    </w:p>
    <w:p w14:paraId="0F61EA52" w14:textId="77777777" w:rsidR="00E60401" w:rsidRPr="00E60401" w:rsidRDefault="00E60401" w:rsidP="00E60401">
      <w:pPr>
        <w:rPr>
          <w:lang w:val="en-AU" w:eastAsia="en-AU" w:bidi="ar-SA"/>
        </w:rPr>
      </w:pPr>
    </w:p>
    <w:p w14:paraId="7C9CD312" w14:textId="77777777" w:rsidR="008F57BC" w:rsidRDefault="008F57BC" w:rsidP="00E907D7">
      <w:pPr>
        <w:pStyle w:val="Heading1"/>
        <w:ind w:left="0" w:firstLine="0"/>
        <w:sectPr w:rsidR="008F57BC" w:rsidSect="00E874BB">
          <w:headerReference w:type="default" r:id="rId142"/>
          <w:footerReference w:type="even" r:id="rId143"/>
          <w:headerReference w:type="first" r:id="rId144"/>
          <w:pgSz w:w="11906" w:h="16838"/>
          <w:pgMar w:top="1440" w:right="1440" w:bottom="1440" w:left="1440" w:header="709" w:footer="709" w:gutter="0"/>
          <w:cols w:space="708"/>
          <w:docGrid w:linePitch="360"/>
        </w:sectPr>
      </w:pPr>
      <w:bookmarkStart w:id="105" w:name="_Toc518372103"/>
    </w:p>
    <w:p w14:paraId="3ACC1FC6" w14:textId="76B443E0" w:rsidR="00E907D7" w:rsidRDefault="00E907D7" w:rsidP="00E907D7">
      <w:pPr>
        <w:pStyle w:val="Heading1"/>
        <w:ind w:left="0" w:firstLine="0"/>
      </w:pPr>
      <w:bookmarkStart w:id="106" w:name="_Toc520888239"/>
      <w:r>
        <w:lastRenderedPageBreak/>
        <w:t>Appendix 3</w:t>
      </w:r>
      <w:r w:rsidRPr="00C66F07">
        <w:t xml:space="preserve">: Dietary </w:t>
      </w:r>
      <w:r>
        <w:t>Intake Assessment results</w:t>
      </w:r>
      <w:bookmarkEnd w:id="105"/>
      <w:bookmarkEnd w:id="106"/>
    </w:p>
    <w:tbl>
      <w:tblPr>
        <w:tblW w:w="0" w:type="auto"/>
        <w:tblLook w:val="04A0" w:firstRow="1" w:lastRow="0" w:firstColumn="1" w:lastColumn="0" w:noHBand="0" w:noVBand="1"/>
        <w:tblDescription w:val="Table of estimated mean and P90 dietary intakes of L-carnitine for Australian and New Z3aland population groups for the Baseline, Sport food increase and Consumer behaviour scenarios. The number of consumers in each population group is also listed."/>
      </w:tblPr>
      <w:tblGrid>
        <w:gridCol w:w="1955"/>
        <w:gridCol w:w="2606"/>
        <w:gridCol w:w="1002"/>
        <w:gridCol w:w="1431"/>
        <w:gridCol w:w="957"/>
        <w:gridCol w:w="1245"/>
        <w:gridCol w:w="1326"/>
        <w:gridCol w:w="957"/>
        <w:gridCol w:w="1197"/>
        <w:gridCol w:w="1326"/>
      </w:tblGrid>
      <w:tr w:rsidR="00E907D7" w:rsidRPr="00B83846" w14:paraId="69EC7897" w14:textId="77777777" w:rsidTr="003B0C9C">
        <w:trPr>
          <w:cantSplit/>
          <w:tblHeader/>
        </w:trPr>
        <w:tc>
          <w:tcPr>
            <w:tcW w:w="0" w:type="auto"/>
            <w:gridSpan w:val="10"/>
            <w:tcBorders>
              <w:bottom w:val="nil"/>
            </w:tcBorders>
          </w:tcPr>
          <w:p w14:paraId="45C32197" w14:textId="769F9791" w:rsidR="00E907D7" w:rsidRPr="00B83846" w:rsidRDefault="00E907D7" w:rsidP="00A05C00">
            <w:pPr>
              <w:pStyle w:val="FSTableTitle"/>
            </w:pPr>
            <w:bookmarkStart w:id="107" w:name="_Ref509588725"/>
            <w:r w:rsidRPr="00B83846">
              <w:t>Table A</w:t>
            </w:r>
            <w:r w:rsidR="00A05C00">
              <w:t>3</w:t>
            </w:r>
            <w:r>
              <w:t>.</w:t>
            </w:r>
            <w:r w:rsidR="00BE485E">
              <w:rPr>
                <w:noProof/>
              </w:rPr>
              <w:fldChar w:fldCharType="begin"/>
            </w:r>
            <w:r w:rsidR="00BE485E">
              <w:rPr>
                <w:noProof/>
              </w:rPr>
              <w:instrText xml:space="preserve"> SEQ Table_A \* ARABIC \s 1 </w:instrText>
            </w:r>
            <w:r w:rsidR="00BE485E">
              <w:rPr>
                <w:noProof/>
              </w:rPr>
              <w:fldChar w:fldCharType="separate"/>
            </w:r>
            <w:r w:rsidR="00872715">
              <w:rPr>
                <w:noProof/>
              </w:rPr>
              <w:t>1</w:t>
            </w:r>
            <w:r w:rsidR="00BE485E">
              <w:rPr>
                <w:noProof/>
              </w:rPr>
              <w:fldChar w:fldCharType="end"/>
            </w:r>
            <w:bookmarkEnd w:id="107"/>
            <w:r w:rsidRPr="00B83846">
              <w:t>: Estimated mean and P90 L-carnitine dietary intakes for Australia and New Zealand</w:t>
            </w:r>
          </w:p>
        </w:tc>
      </w:tr>
      <w:tr w:rsidR="00E907D7" w:rsidRPr="00B83846" w14:paraId="63020815" w14:textId="77777777" w:rsidTr="003B0C9C">
        <w:trPr>
          <w:cantSplit/>
          <w:trHeight w:val="334"/>
          <w:tblHeader/>
        </w:trPr>
        <w:tc>
          <w:tcPr>
            <w:tcW w:w="0" w:type="auto"/>
            <w:tcBorders>
              <w:top w:val="single" w:sz="4" w:space="0" w:color="auto"/>
              <w:left w:val="single" w:sz="4" w:space="0" w:color="auto"/>
              <w:bottom w:val="nil"/>
              <w:right w:val="single" w:sz="4" w:space="0" w:color="auto"/>
            </w:tcBorders>
            <w:shd w:val="clear" w:color="auto" w:fill="auto"/>
            <w:vAlign w:val="center"/>
          </w:tcPr>
          <w:p w14:paraId="2FDB37C9" w14:textId="77777777" w:rsidR="00E907D7" w:rsidRPr="00B83846" w:rsidRDefault="00E907D7" w:rsidP="00E907D7">
            <w:pPr>
              <w:widowControl/>
              <w:spacing w:before="40" w:after="40"/>
              <w:rPr>
                <w:rFonts w:cs="Arial"/>
                <w:b/>
                <w:bCs/>
                <w:color w:val="000000"/>
                <w:sz w:val="18"/>
                <w:szCs w:val="18"/>
                <w:lang w:eastAsia="en-GB" w:bidi="ar-SA"/>
              </w:rPr>
            </w:pPr>
            <w:r w:rsidRPr="00B83846">
              <w:rPr>
                <w:rFonts w:cs="Arial"/>
                <w:b/>
                <w:bCs/>
                <w:color w:val="000000"/>
                <w:sz w:val="18"/>
                <w:szCs w:val="18"/>
                <w:lang w:eastAsia="en-GB" w:bidi="ar-SA"/>
              </w:rPr>
              <w:t>Country</w:t>
            </w:r>
          </w:p>
        </w:tc>
        <w:tc>
          <w:tcPr>
            <w:tcW w:w="0" w:type="auto"/>
            <w:tcBorders>
              <w:top w:val="single" w:sz="4" w:space="0" w:color="auto"/>
              <w:left w:val="nil"/>
              <w:bottom w:val="nil"/>
              <w:right w:val="single" w:sz="4" w:space="0" w:color="auto"/>
            </w:tcBorders>
            <w:shd w:val="clear" w:color="auto" w:fill="auto"/>
            <w:vAlign w:val="center"/>
          </w:tcPr>
          <w:p w14:paraId="07F7E853" w14:textId="77777777" w:rsidR="00E907D7" w:rsidRPr="00B83846" w:rsidRDefault="00E907D7" w:rsidP="00E907D7">
            <w:pPr>
              <w:widowControl/>
              <w:spacing w:before="40" w:after="40"/>
              <w:rPr>
                <w:rFonts w:cs="Arial"/>
                <w:b/>
                <w:bCs/>
                <w:color w:val="000000"/>
                <w:sz w:val="18"/>
                <w:szCs w:val="18"/>
                <w:lang w:eastAsia="en-GB" w:bidi="ar-SA"/>
              </w:rPr>
            </w:pPr>
            <w:r w:rsidRPr="00B83846">
              <w:rPr>
                <w:rFonts w:cs="Arial"/>
                <w:b/>
                <w:bCs/>
                <w:color w:val="000000"/>
                <w:sz w:val="18"/>
                <w:szCs w:val="18"/>
                <w:lang w:eastAsia="en-GB" w:bidi="ar-SA"/>
              </w:rPr>
              <w:t>Population type</w:t>
            </w:r>
          </w:p>
        </w:tc>
        <w:tc>
          <w:tcPr>
            <w:tcW w:w="0" w:type="auto"/>
            <w:tcBorders>
              <w:top w:val="single" w:sz="4" w:space="0" w:color="auto"/>
              <w:left w:val="nil"/>
              <w:bottom w:val="nil"/>
              <w:right w:val="single" w:sz="4" w:space="0" w:color="auto"/>
            </w:tcBorders>
            <w:shd w:val="clear" w:color="auto" w:fill="auto"/>
            <w:vAlign w:val="center"/>
          </w:tcPr>
          <w:p w14:paraId="4C986482" w14:textId="77777777" w:rsidR="00E907D7" w:rsidRPr="00B83846" w:rsidRDefault="00E907D7" w:rsidP="00E907D7">
            <w:pPr>
              <w:widowControl/>
              <w:spacing w:before="40" w:after="40"/>
              <w:rPr>
                <w:rFonts w:cs="Arial"/>
                <w:b/>
                <w:bCs/>
                <w:color w:val="000000"/>
                <w:sz w:val="18"/>
                <w:szCs w:val="18"/>
                <w:lang w:eastAsia="en-GB" w:bidi="ar-SA"/>
              </w:rPr>
            </w:pPr>
            <w:r w:rsidRPr="00B83846">
              <w:rPr>
                <w:rFonts w:cs="Arial"/>
                <w:b/>
                <w:bCs/>
                <w:color w:val="000000"/>
                <w:sz w:val="18"/>
                <w:szCs w:val="18"/>
                <w:lang w:eastAsia="en-GB" w:bidi="ar-SA"/>
              </w:rPr>
              <w:t>Age Group</w:t>
            </w:r>
          </w:p>
        </w:tc>
        <w:tc>
          <w:tcPr>
            <w:tcW w:w="0" w:type="auto"/>
            <w:vMerge w:val="restart"/>
            <w:tcBorders>
              <w:top w:val="single" w:sz="4" w:space="0" w:color="auto"/>
              <w:left w:val="nil"/>
              <w:right w:val="single" w:sz="4" w:space="0" w:color="auto"/>
            </w:tcBorders>
          </w:tcPr>
          <w:p w14:paraId="0D54BD73" w14:textId="77777777" w:rsidR="00E907D7" w:rsidRPr="00B83846" w:rsidRDefault="00E907D7" w:rsidP="00E907D7">
            <w:pPr>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Number of Consumers</w:t>
            </w:r>
          </w:p>
          <w:p w14:paraId="06F49FAD" w14:textId="77777777" w:rsidR="00E907D7" w:rsidRPr="00B83846" w:rsidRDefault="00E907D7" w:rsidP="00E907D7">
            <w:pPr>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(all scenarios)</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E5A7B"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Estimated dietary intake of L-Carnitine (mg/day)</w:t>
            </w:r>
          </w:p>
        </w:tc>
      </w:tr>
      <w:tr w:rsidR="00E907D7" w:rsidRPr="00B83846" w14:paraId="607E57A1" w14:textId="77777777" w:rsidTr="003B0C9C">
        <w:trPr>
          <w:cantSplit/>
          <w:tblHeader/>
        </w:trPr>
        <w:tc>
          <w:tcPr>
            <w:tcW w:w="0" w:type="auto"/>
            <w:tcBorders>
              <w:top w:val="nil"/>
              <w:left w:val="single" w:sz="4" w:space="0" w:color="auto"/>
              <w:bottom w:val="nil"/>
              <w:right w:val="single" w:sz="4" w:space="0" w:color="auto"/>
            </w:tcBorders>
            <w:shd w:val="clear" w:color="auto" w:fill="auto"/>
            <w:vAlign w:val="center"/>
            <w:hideMark/>
          </w:tcPr>
          <w:p w14:paraId="5FFD00F1" w14:textId="77777777" w:rsidR="00E907D7" w:rsidRPr="00B83846" w:rsidRDefault="00E907D7" w:rsidP="00E907D7">
            <w:pPr>
              <w:widowControl/>
              <w:spacing w:before="40" w:after="40"/>
              <w:rPr>
                <w:rFonts w:cs="Arial"/>
                <w:b/>
                <w:bCs/>
                <w:color w:val="000000"/>
                <w:sz w:val="18"/>
                <w:szCs w:val="18"/>
                <w:lang w:eastAsia="en-GB" w:bidi="ar-SA"/>
              </w:rPr>
            </w:pPr>
          </w:p>
        </w:tc>
        <w:tc>
          <w:tcPr>
            <w:tcW w:w="0" w:type="auto"/>
            <w:tcBorders>
              <w:top w:val="nil"/>
              <w:left w:val="nil"/>
              <w:bottom w:val="nil"/>
              <w:right w:val="single" w:sz="4" w:space="0" w:color="auto"/>
            </w:tcBorders>
            <w:shd w:val="clear" w:color="auto" w:fill="auto"/>
            <w:vAlign w:val="center"/>
            <w:hideMark/>
          </w:tcPr>
          <w:p w14:paraId="081A0C4C" w14:textId="77777777" w:rsidR="00E907D7" w:rsidRPr="00B83846" w:rsidRDefault="00E907D7" w:rsidP="00E907D7">
            <w:pPr>
              <w:widowControl/>
              <w:spacing w:before="40" w:after="40"/>
              <w:rPr>
                <w:rFonts w:cs="Arial"/>
                <w:b/>
                <w:bCs/>
                <w:color w:val="000000"/>
                <w:sz w:val="18"/>
                <w:szCs w:val="18"/>
                <w:lang w:eastAsia="en-GB" w:bidi="ar-SA"/>
              </w:rPr>
            </w:pPr>
          </w:p>
        </w:tc>
        <w:tc>
          <w:tcPr>
            <w:tcW w:w="0" w:type="auto"/>
            <w:tcBorders>
              <w:top w:val="nil"/>
              <w:left w:val="nil"/>
              <w:bottom w:val="nil"/>
              <w:right w:val="single" w:sz="4" w:space="0" w:color="auto"/>
            </w:tcBorders>
            <w:shd w:val="clear" w:color="auto" w:fill="auto"/>
            <w:vAlign w:val="center"/>
            <w:hideMark/>
          </w:tcPr>
          <w:p w14:paraId="6A5684EA" w14:textId="77777777" w:rsidR="00E907D7" w:rsidRPr="00B83846" w:rsidRDefault="00E907D7" w:rsidP="00E907D7">
            <w:pPr>
              <w:widowControl/>
              <w:spacing w:before="40" w:after="40"/>
              <w:rPr>
                <w:rFonts w:cs="Arial"/>
                <w:b/>
                <w:bCs/>
                <w:color w:val="000000"/>
                <w:sz w:val="18"/>
                <w:szCs w:val="18"/>
                <w:lang w:eastAsia="en-GB" w:bidi="ar-SA"/>
              </w:rPr>
            </w:pPr>
          </w:p>
        </w:tc>
        <w:tc>
          <w:tcPr>
            <w:tcW w:w="0" w:type="auto"/>
            <w:vMerge/>
            <w:tcBorders>
              <w:left w:val="nil"/>
              <w:right w:val="single" w:sz="4" w:space="0" w:color="auto"/>
            </w:tcBorders>
            <w:shd w:val="clear" w:color="auto" w:fill="auto"/>
            <w:noWrap/>
            <w:vAlign w:val="center"/>
            <w:hideMark/>
          </w:tcPr>
          <w:p w14:paraId="143605E3" w14:textId="77777777" w:rsidR="00E907D7" w:rsidRPr="00B83846" w:rsidRDefault="00E907D7" w:rsidP="00E907D7">
            <w:pPr>
              <w:widowControl/>
              <w:spacing w:before="40" w:after="40"/>
              <w:rPr>
                <w:rFonts w:cs="Arial"/>
                <w:b/>
                <w:bCs/>
                <w:color w:val="000000"/>
                <w:sz w:val="18"/>
                <w:szCs w:val="18"/>
                <w:lang w:eastAsia="en-GB" w:bidi="ar-SA"/>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C991F"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Mean</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B3B49"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P90</w:t>
            </w:r>
          </w:p>
        </w:tc>
      </w:tr>
      <w:tr w:rsidR="00E907D7" w:rsidRPr="00B83846" w14:paraId="23E5E5B3" w14:textId="77777777" w:rsidTr="003B0C9C">
        <w:trPr>
          <w:cantSplit/>
          <w:tblHeader/>
        </w:trPr>
        <w:tc>
          <w:tcPr>
            <w:tcW w:w="0" w:type="auto"/>
            <w:tcBorders>
              <w:top w:val="nil"/>
              <w:left w:val="single" w:sz="4" w:space="0" w:color="auto"/>
              <w:bottom w:val="single" w:sz="4" w:space="0" w:color="auto"/>
              <w:right w:val="single" w:sz="4" w:space="0" w:color="auto"/>
            </w:tcBorders>
            <w:shd w:val="clear" w:color="auto" w:fill="auto"/>
            <w:vAlign w:val="center"/>
          </w:tcPr>
          <w:p w14:paraId="69F49BD8" w14:textId="77777777" w:rsidR="00E907D7" w:rsidRPr="00B83846" w:rsidRDefault="00E907D7" w:rsidP="00E907D7">
            <w:pPr>
              <w:widowControl/>
              <w:spacing w:before="40" w:after="40"/>
              <w:rPr>
                <w:rFonts w:cs="Arial"/>
                <w:b/>
                <w:bCs/>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tcPr>
          <w:p w14:paraId="680B9DEF" w14:textId="77777777" w:rsidR="00E907D7" w:rsidRPr="00B83846" w:rsidRDefault="00E907D7" w:rsidP="00E907D7">
            <w:pPr>
              <w:widowControl/>
              <w:spacing w:before="40" w:after="40"/>
              <w:rPr>
                <w:rFonts w:cs="Arial"/>
                <w:b/>
                <w:bCs/>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tcPr>
          <w:p w14:paraId="20B6CC51" w14:textId="77777777" w:rsidR="00E907D7" w:rsidRPr="00B83846" w:rsidRDefault="00E907D7" w:rsidP="00E907D7">
            <w:pPr>
              <w:widowControl/>
              <w:spacing w:before="40" w:after="40"/>
              <w:rPr>
                <w:rFonts w:cs="Arial"/>
                <w:b/>
                <w:bCs/>
                <w:color w:val="000000"/>
                <w:sz w:val="18"/>
                <w:szCs w:val="18"/>
                <w:lang w:eastAsia="en-GB" w:bidi="ar-SA"/>
              </w:rPr>
            </w:pPr>
          </w:p>
        </w:tc>
        <w:tc>
          <w:tcPr>
            <w:tcW w:w="0" w:type="auto"/>
            <w:vMerge/>
            <w:tcBorders>
              <w:left w:val="nil"/>
              <w:bottom w:val="single" w:sz="4" w:space="0" w:color="auto"/>
              <w:right w:val="single" w:sz="4" w:space="0" w:color="auto"/>
            </w:tcBorders>
            <w:shd w:val="clear" w:color="auto" w:fill="auto"/>
            <w:noWrap/>
            <w:vAlign w:val="center"/>
            <w:hideMark/>
          </w:tcPr>
          <w:p w14:paraId="1FC907E2" w14:textId="77777777" w:rsidR="00E907D7" w:rsidRPr="00B83846" w:rsidRDefault="00E907D7" w:rsidP="00E907D7">
            <w:pPr>
              <w:widowControl/>
              <w:spacing w:before="40" w:after="40"/>
              <w:jc w:val="center"/>
              <w:rPr>
                <w:rFonts w:cs="Arial"/>
                <w:b/>
                <w:bCs/>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7E403560"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0" w:type="auto"/>
            <w:tcBorders>
              <w:top w:val="single" w:sz="4" w:space="0" w:color="auto"/>
              <w:left w:val="nil"/>
              <w:bottom w:val="single" w:sz="4" w:space="0" w:color="auto"/>
              <w:right w:val="single" w:sz="4" w:space="0" w:color="auto"/>
            </w:tcBorders>
          </w:tcPr>
          <w:p w14:paraId="004CA0A3"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BB2AF7"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6BFD7B"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0" w:type="auto"/>
            <w:tcBorders>
              <w:top w:val="single" w:sz="4" w:space="0" w:color="auto"/>
              <w:left w:val="single" w:sz="4" w:space="0" w:color="auto"/>
              <w:bottom w:val="single" w:sz="4" w:space="0" w:color="auto"/>
              <w:right w:val="single" w:sz="4" w:space="0" w:color="auto"/>
            </w:tcBorders>
          </w:tcPr>
          <w:p w14:paraId="3AE81EEC"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F71B79"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r>
      <w:tr w:rsidR="00E907D7" w:rsidRPr="00B83846" w14:paraId="390B1E2A" w14:textId="77777777" w:rsidTr="003B0C9C">
        <w:trPr>
          <w:cantSplit/>
        </w:trPr>
        <w:tc>
          <w:tcPr>
            <w:tcW w:w="0" w:type="auto"/>
            <w:tcBorders>
              <w:top w:val="single" w:sz="4" w:space="0" w:color="auto"/>
              <w:left w:val="single" w:sz="4" w:space="0" w:color="auto"/>
              <w:right w:val="single" w:sz="4" w:space="0" w:color="auto"/>
            </w:tcBorders>
            <w:shd w:val="clear" w:color="auto" w:fill="auto"/>
            <w:vAlign w:val="center"/>
            <w:hideMark/>
          </w:tcPr>
          <w:p w14:paraId="45A9B781"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Australia</w:t>
            </w:r>
            <w:r w:rsidRPr="00B83846">
              <w:rPr>
                <w:rFonts w:cs="Arial"/>
                <w:sz w:val="18"/>
                <w:szCs w:val="18"/>
                <w:vertAlign w:val="superscript"/>
              </w:rPr>
              <w:sym w:font="Wingdings" w:char="F076"/>
            </w:r>
          </w:p>
        </w:tc>
        <w:tc>
          <w:tcPr>
            <w:tcW w:w="0" w:type="auto"/>
            <w:tcBorders>
              <w:top w:val="single" w:sz="4" w:space="0" w:color="auto"/>
              <w:left w:val="nil"/>
              <w:right w:val="single" w:sz="4" w:space="0" w:color="auto"/>
            </w:tcBorders>
            <w:shd w:val="clear" w:color="auto" w:fill="auto"/>
            <w:vAlign w:val="center"/>
            <w:hideMark/>
          </w:tcPr>
          <w:p w14:paraId="1AF1A18A"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General</w:t>
            </w:r>
          </w:p>
        </w:tc>
        <w:tc>
          <w:tcPr>
            <w:tcW w:w="0" w:type="auto"/>
            <w:tcBorders>
              <w:top w:val="nil"/>
              <w:left w:val="nil"/>
              <w:bottom w:val="single" w:sz="4" w:space="0" w:color="auto"/>
              <w:right w:val="single" w:sz="4" w:space="0" w:color="auto"/>
            </w:tcBorders>
            <w:shd w:val="clear" w:color="auto" w:fill="auto"/>
            <w:vAlign w:val="center"/>
            <w:hideMark/>
          </w:tcPr>
          <w:p w14:paraId="42CEDE29"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2-6 years</w:t>
            </w:r>
          </w:p>
        </w:tc>
        <w:tc>
          <w:tcPr>
            <w:tcW w:w="0" w:type="auto"/>
            <w:tcBorders>
              <w:top w:val="nil"/>
              <w:left w:val="nil"/>
              <w:bottom w:val="single" w:sz="4" w:space="0" w:color="auto"/>
              <w:right w:val="single" w:sz="4" w:space="0" w:color="auto"/>
            </w:tcBorders>
            <w:shd w:val="clear" w:color="auto" w:fill="auto"/>
            <w:noWrap/>
            <w:vAlign w:val="center"/>
          </w:tcPr>
          <w:p w14:paraId="152D991F"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rPr>
              <w:t>479</w:t>
            </w:r>
          </w:p>
        </w:tc>
        <w:tc>
          <w:tcPr>
            <w:tcW w:w="0" w:type="auto"/>
            <w:tcBorders>
              <w:top w:val="nil"/>
              <w:left w:val="nil"/>
              <w:bottom w:val="single" w:sz="4" w:space="0" w:color="auto"/>
              <w:right w:val="single" w:sz="4" w:space="0" w:color="auto"/>
            </w:tcBorders>
            <w:shd w:val="clear" w:color="auto" w:fill="auto"/>
            <w:noWrap/>
            <w:vAlign w:val="center"/>
          </w:tcPr>
          <w:p w14:paraId="11580604" w14:textId="77777777" w:rsidR="00E907D7" w:rsidRPr="00B83846" w:rsidRDefault="00E907D7" w:rsidP="00D61A42">
            <w:pPr>
              <w:widowControl/>
              <w:tabs>
                <w:tab w:val="decimal" w:pos="524"/>
              </w:tabs>
              <w:spacing w:before="40" w:after="40"/>
              <w:rPr>
                <w:rFonts w:cs="Arial"/>
                <w:color w:val="000000"/>
                <w:sz w:val="18"/>
                <w:szCs w:val="20"/>
                <w:lang w:eastAsia="en-GB" w:bidi="ar-SA"/>
              </w:rPr>
            </w:pPr>
            <w:r w:rsidRPr="00832A75">
              <w:rPr>
                <w:rFonts w:cs="Arial"/>
                <w:color w:val="000000"/>
                <w:sz w:val="18"/>
                <w:szCs w:val="20"/>
              </w:rPr>
              <w:t>38</w:t>
            </w:r>
          </w:p>
        </w:tc>
        <w:tc>
          <w:tcPr>
            <w:tcW w:w="0" w:type="auto"/>
            <w:tcBorders>
              <w:top w:val="single" w:sz="4" w:space="0" w:color="auto"/>
              <w:left w:val="nil"/>
              <w:bottom w:val="single" w:sz="4" w:space="0" w:color="auto"/>
              <w:right w:val="single" w:sz="4" w:space="0" w:color="auto"/>
            </w:tcBorders>
            <w:vAlign w:val="center"/>
          </w:tcPr>
          <w:p w14:paraId="78EB936D" w14:textId="77777777" w:rsidR="00E907D7" w:rsidRPr="00B83846" w:rsidRDefault="00E907D7" w:rsidP="00D61A42">
            <w:pPr>
              <w:tabs>
                <w:tab w:val="decimal" w:pos="653"/>
              </w:tabs>
              <w:rPr>
                <w:rFonts w:cs="Arial"/>
                <w:color w:val="000000"/>
                <w:sz w:val="18"/>
                <w:szCs w:val="20"/>
              </w:rPr>
            </w:pPr>
            <w:r w:rsidRPr="00B83846">
              <w:rPr>
                <w:rFonts w:cs="Arial"/>
                <w:color w:val="000000"/>
                <w:sz w:val="18"/>
                <w:szCs w:val="20"/>
              </w:rPr>
              <w:t>3</w:t>
            </w:r>
            <w:r w:rsidRPr="00152CFD">
              <w:rPr>
                <w:rFonts w:cs="Arial"/>
                <w:color w:val="000000"/>
                <w:sz w:val="18"/>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083C3D9" w14:textId="77777777" w:rsidR="00E907D7" w:rsidRPr="00B83846" w:rsidRDefault="00E907D7" w:rsidP="00E907D7">
            <w:pPr>
              <w:tabs>
                <w:tab w:val="decimal" w:pos="794"/>
              </w:tabs>
              <w:rPr>
                <w:rFonts w:cs="Arial"/>
                <w:color w:val="000000"/>
                <w:sz w:val="18"/>
                <w:szCs w:val="20"/>
                <w:lang w:eastAsia="en-GB" w:bidi="ar-SA"/>
              </w:rPr>
            </w:pPr>
            <w:r w:rsidRPr="00B83846">
              <w:rPr>
                <w:rFonts w:cs="Arial"/>
                <w:color w:val="000000"/>
                <w:sz w:val="18"/>
                <w:szCs w:val="20"/>
              </w:rPr>
              <w:t>288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FD0A10" w14:textId="77777777" w:rsidR="00E907D7" w:rsidRPr="00B83846" w:rsidRDefault="00E907D7" w:rsidP="00D61A42">
            <w:pPr>
              <w:widowControl/>
              <w:tabs>
                <w:tab w:val="decimal" w:pos="610"/>
              </w:tabs>
              <w:spacing w:before="40" w:after="40"/>
              <w:rPr>
                <w:rFonts w:cs="Arial"/>
                <w:color w:val="000000"/>
                <w:sz w:val="18"/>
                <w:szCs w:val="20"/>
                <w:lang w:eastAsia="en-GB" w:bidi="ar-SA"/>
              </w:rPr>
            </w:pPr>
            <w:r w:rsidRPr="00832A75">
              <w:rPr>
                <w:rFonts w:cs="Arial"/>
                <w:color w:val="000000"/>
                <w:sz w:val="18"/>
                <w:szCs w:val="20"/>
              </w:rPr>
              <w:t>73</w:t>
            </w:r>
          </w:p>
        </w:tc>
        <w:tc>
          <w:tcPr>
            <w:tcW w:w="0" w:type="auto"/>
            <w:tcBorders>
              <w:top w:val="single" w:sz="4" w:space="0" w:color="auto"/>
              <w:left w:val="single" w:sz="4" w:space="0" w:color="auto"/>
              <w:bottom w:val="single" w:sz="4" w:space="0" w:color="auto"/>
              <w:right w:val="single" w:sz="4" w:space="0" w:color="auto"/>
            </w:tcBorders>
            <w:vAlign w:val="center"/>
          </w:tcPr>
          <w:p w14:paraId="5B77E46C" w14:textId="77777777" w:rsidR="00E907D7" w:rsidRPr="00B83846" w:rsidRDefault="00E907D7" w:rsidP="00D61A42">
            <w:pPr>
              <w:widowControl/>
              <w:tabs>
                <w:tab w:val="decimal" w:pos="642"/>
              </w:tabs>
              <w:spacing w:before="40" w:after="40"/>
              <w:rPr>
                <w:rFonts w:cs="Arial"/>
                <w:color w:val="000000"/>
                <w:sz w:val="18"/>
                <w:szCs w:val="20"/>
              </w:rPr>
            </w:pPr>
            <w:r w:rsidRPr="00832A75">
              <w:rPr>
                <w:rFonts w:cs="Arial"/>
                <w:color w:val="000000"/>
                <w:sz w:val="18"/>
                <w:szCs w:val="20"/>
              </w:rPr>
              <w:t>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182FC05" w14:textId="77777777" w:rsidR="00E907D7" w:rsidRPr="00B83846" w:rsidRDefault="00E907D7" w:rsidP="00E907D7">
            <w:pPr>
              <w:widowControl/>
              <w:tabs>
                <w:tab w:val="decimal" w:pos="794"/>
              </w:tabs>
              <w:spacing w:before="40" w:after="40"/>
              <w:rPr>
                <w:rFonts w:cs="Arial"/>
                <w:color w:val="000000"/>
                <w:sz w:val="18"/>
                <w:szCs w:val="20"/>
                <w:lang w:eastAsia="en-GB" w:bidi="ar-SA"/>
              </w:rPr>
            </w:pPr>
            <w:r w:rsidRPr="00B83846">
              <w:rPr>
                <w:rFonts w:cs="Arial"/>
                <w:color w:val="000000"/>
                <w:sz w:val="18"/>
                <w:szCs w:val="20"/>
              </w:rPr>
              <w:t>5</w:t>
            </w:r>
            <w:r w:rsidRPr="00832A75">
              <w:rPr>
                <w:rFonts w:cs="Arial"/>
                <w:color w:val="000000"/>
                <w:sz w:val="18"/>
                <w:szCs w:val="20"/>
              </w:rPr>
              <w:t>46</w:t>
            </w:r>
          </w:p>
        </w:tc>
      </w:tr>
      <w:tr w:rsidR="00E907D7" w:rsidRPr="00B83846" w14:paraId="50285EB4" w14:textId="77777777" w:rsidTr="003B0C9C">
        <w:trPr>
          <w:cantSplit/>
        </w:trPr>
        <w:tc>
          <w:tcPr>
            <w:tcW w:w="0" w:type="auto"/>
            <w:tcBorders>
              <w:top w:val="nil"/>
              <w:left w:val="single" w:sz="4" w:space="0" w:color="auto"/>
              <w:right w:val="single" w:sz="4" w:space="0" w:color="auto"/>
            </w:tcBorders>
            <w:shd w:val="clear" w:color="auto" w:fill="auto"/>
            <w:vAlign w:val="center"/>
          </w:tcPr>
          <w:p w14:paraId="7A90FCA2" w14:textId="48FE1E9C" w:rsidR="00E907D7" w:rsidRPr="00B83846" w:rsidRDefault="008658C9" w:rsidP="00E907D7">
            <w:pPr>
              <w:widowControl/>
              <w:spacing w:before="40" w:after="40"/>
              <w:rPr>
                <w:rFonts w:cs="Arial"/>
                <w:color w:val="000000"/>
                <w:sz w:val="18"/>
                <w:szCs w:val="18"/>
                <w:lang w:eastAsia="en-GB" w:bidi="ar-SA"/>
              </w:rPr>
            </w:pPr>
            <w:r>
              <w:rPr>
                <w:rFonts w:cs="Arial"/>
                <w:color w:val="000000"/>
                <w:sz w:val="18"/>
                <w:szCs w:val="18"/>
                <w:lang w:eastAsia="en-GB" w:bidi="ar-SA"/>
              </w:rPr>
              <w:t>C</w:t>
            </w:r>
            <w:r w:rsidR="00ED504E" w:rsidRPr="00ED504E">
              <w:rPr>
                <w:rFonts w:cs="Arial"/>
                <w:color w:val="000000"/>
                <w:sz w:val="18"/>
                <w:szCs w:val="18"/>
                <w:lang w:eastAsia="en-GB" w:bidi="ar-SA"/>
              </w:rPr>
              <w:t>onsumption data from Day 1 and 2 respondents</w:t>
            </w:r>
          </w:p>
        </w:tc>
        <w:tc>
          <w:tcPr>
            <w:tcW w:w="0" w:type="auto"/>
            <w:tcBorders>
              <w:top w:val="nil"/>
              <w:left w:val="nil"/>
              <w:right w:val="single" w:sz="4" w:space="0" w:color="auto"/>
            </w:tcBorders>
            <w:shd w:val="clear" w:color="auto" w:fill="auto"/>
            <w:vAlign w:val="center"/>
          </w:tcPr>
          <w:p w14:paraId="2738C8B7"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4878E3AE"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7-17 years</w:t>
            </w:r>
          </w:p>
        </w:tc>
        <w:tc>
          <w:tcPr>
            <w:tcW w:w="0" w:type="auto"/>
            <w:tcBorders>
              <w:top w:val="nil"/>
              <w:left w:val="nil"/>
              <w:bottom w:val="single" w:sz="4" w:space="0" w:color="auto"/>
              <w:right w:val="single" w:sz="4" w:space="0" w:color="auto"/>
            </w:tcBorders>
            <w:shd w:val="clear" w:color="auto" w:fill="auto"/>
            <w:noWrap/>
            <w:vAlign w:val="center"/>
          </w:tcPr>
          <w:p w14:paraId="60C363D3"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rPr>
              <w:t>1,127</w:t>
            </w:r>
          </w:p>
        </w:tc>
        <w:tc>
          <w:tcPr>
            <w:tcW w:w="0" w:type="auto"/>
            <w:tcBorders>
              <w:top w:val="nil"/>
              <w:left w:val="nil"/>
              <w:bottom w:val="single" w:sz="4" w:space="0" w:color="auto"/>
              <w:right w:val="single" w:sz="4" w:space="0" w:color="auto"/>
            </w:tcBorders>
            <w:shd w:val="clear" w:color="auto" w:fill="auto"/>
            <w:noWrap/>
            <w:vAlign w:val="center"/>
          </w:tcPr>
          <w:p w14:paraId="42D978C8" w14:textId="77777777" w:rsidR="00E907D7" w:rsidRPr="00B83846" w:rsidRDefault="00E907D7" w:rsidP="00D61A42">
            <w:pPr>
              <w:widowControl/>
              <w:tabs>
                <w:tab w:val="decimal" w:pos="524"/>
              </w:tabs>
              <w:spacing w:before="40" w:after="40"/>
              <w:rPr>
                <w:rFonts w:cs="Arial"/>
                <w:color w:val="000000"/>
                <w:sz w:val="18"/>
                <w:szCs w:val="20"/>
                <w:lang w:eastAsia="en-GB" w:bidi="ar-SA"/>
              </w:rPr>
            </w:pPr>
            <w:r w:rsidRPr="00B83846">
              <w:rPr>
                <w:rFonts w:cs="Arial"/>
                <w:color w:val="000000"/>
                <w:sz w:val="18"/>
                <w:szCs w:val="20"/>
              </w:rPr>
              <w:t>57</w:t>
            </w:r>
          </w:p>
        </w:tc>
        <w:tc>
          <w:tcPr>
            <w:tcW w:w="0" w:type="auto"/>
            <w:tcBorders>
              <w:top w:val="single" w:sz="4" w:space="0" w:color="auto"/>
              <w:left w:val="nil"/>
              <w:bottom w:val="single" w:sz="4" w:space="0" w:color="auto"/>
              <w:right w:val="single" w:sz="4" w:space="0" w:color="auto"/>
            </w:tcBorders>
            <w:vAlign w:val="center"/>
          </w:tcPr>
          <w:p w14:paraId="2BFB7669" w14:textId="77777777" w:rsidR="00E907D7" w:rsidRPr="00B83846" w:rsidRDefault="00E907D7" w:rsidP="00D61A42">
            <w:pPr>
              <w:tabs>
                <w:tab w:val="decimal" w:pos="653"/>
              </w:tabs>
              <w:rPr>
                <w:rFonts w:cs="Arial"/>
                <w:color w:val="000000"/>
                <w:sz w:val="18"/>
                <w:szCs w:val="20"/>
              </w:rPr>
            </w:pPr>
            <w:r w:rsidRPr="00B83846">
              <w:rPr>
                <w:rFonts w:cs="Arial"/>
                <w:color w:val="000000"/>
                <w:sz w:val="18"/>
                <w:szCs w:val="20"/>
              </w:rPr>
              <w:t>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8FA673E" w14:textId="77777777" w:rsidR="00E907D7" w:rsidRPr="00832A75" w:rsidRDefault="00E907D7" w:rsidP="00E907D7">
            <w:pPr>
              <w:tabs>
                <w:tab w:val="decimal" w:pos="794"/>
              </w:tabs>
              <w:rPr>
                <w:rFonts w:cs="Arial"/>
                <w:color w:val="000000"/>
                <w:sz w:val="18"/>
                <w:szCs w:val="20"/>
                <w:lang w:eastAsia="en-GB" w:bidi="ar-SA"/>
              </w:rPr>
            </w:pPr>
            <w:r w:rsidRPr="00B83846">
              <w:rPr>
                <w:rFonts w:cs="Arial"/>
                <w:color w:val="000000"/>
                <w:sz w:val="18"/>
                <w:szCs w:val="20"/>
              </w:rPr>
              <w:t>445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57B234" w14:textId="77777777" w:rsidR="00E907D7" w:rsidRPr="00832A75" w:rsidRDefault="00E907D7" w:rsidP="00D61A42">
            <w:pPr>
              <w:tabs>
                <w:tab w:val="decimal" w:pos="610"/>
              </w:tabs>
              <w:rPr>
                <w:rFonts w:cs="Arial"/>
                <w:color w:val="000000"/>
                <w:sz w:val="18"/>
                <w:szCs w:val="20"/>
                <w:lang w:eastAsia="en-GB" w:bidi="ar-SA"/>
              </w:rPr>
            </w:pPr>
            <w:r w:rsidRPr="00832A75">
              <w:rPr>
                <w:rFonts w:cs="Arial"/>
                <w:color w:val="000000"/>
                <w:sz w:val="18"/>
                <w:szCs w:val="20"/>
              </w:rPr>
              <w:t>111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5C5852" w14:textId="77777777" w:rsidR="00E907D7" w:rsidRPr="00B83846" w:rsidRDefault="00E907D7" w:rsidP="00D61A42">
            <w:pPr>
              <w:tabs>
                <w:tab w:val="decimal" w:pos="642"/>
              </w:tabs>
              <w:rPr>
                <w:rFonts w:cs="Arial"/>
                <w:color w:val="000000"/>
                <w:sz w:val="18"/>
                <w:szCs w:val="20"/>
              </w:rPr>
            </w:pPr>
            <w:r w:rsidRPr="00152CFD">
              <w:rPr>
                <w:rFonts w:cs="Arial"/>
                <w:color w:val="000000"/>
                <w:sz w:val="18"/>
                <w:szCs w:val="20"/>
              </w:rPr>
              <w:t>116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5B51D0D" w14:textId="77777777" w:rsidR="00E907D7" w:rsidRPr="00152CFD" w:rsidRDefault="00E907D7" w:rsidP="00E907D7">
            <w:pPr>
              <w:tabs>
                <w:tab w:val="decimal" w:pos="794"/>
              </w:tabs>
              <w:rPr>
                <w:rFonts w:cs="Arial"/>
                <w:color w:val="000000"/>
                <w:sz w:val="18"/>
                <w:szCs w:val="20"/>
                <w:lang w:eastAsia="en-GB" w:bidi="ar-SA"/>
              </w:rPr>
            </w:pPr>
            <w:r w:rsidRPr="00B83846">
              <w:rPr>
                <w:rFonts w:cs="Arial"/>
                <w:color w:val="000000"/>
                <w:sz w:val="18"/>
                <w:szCs w:val="20"/>
              </w:rPr>
              <w:t>8</w:t>
            </w:r>
            <w:r w:rsidRPr="00152CFD">
              <w:rPr>
                <w:rFonts w:cs="Arial"/>
                <w:color w:val="000000"/>
                <w:sz w:val="18"/>
                <w:szCs w:val="20"/>
              </w:rPr>
              <w:t>74</w:t>
            </w:r>
          </w:p>
        </w:tc>
      </w:tr>
      <w:tr w:rsidR="00E907D7" w:rsidRPr="00B83846" w14:paraId="1C4D8BC3" w14:textId="77777777" w:rsidTr="003B0C9C">
        <w:trPr>
          <w:cantSplit/>
        </w:trPr>
        <w:tc>
          <w:tcPr>
            <w:tcW w:w="0" w:type="auto"/>
            <w:tcBorders>
              <w:top w:val="nil"/>
              <w:left w:val="single" w:sz="4" w:space="0" w:color="auto"/>
              <w:right w:val="single" w:sz="4" w:space="0" w:color="auto"/>
            </w:tcBorders>
            <w:shd w:val="clear" w:color="auto" w:fill="auto"/>
            <w:vAlign w:val="center"/>
          </w:tcPr>
          <w:p w14:paraId="37C5F735"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right w:val="single" w:sz="4" w:space="0" w:color="auto"/>
            </w:tcBorders>
            <w:shd w:val="clear" w:color="auto" w:fill="auto"/>
            <w:vAlign w:val="center"/>
          </w:tcPr>
          <w:p w14:paraId="40A98199"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41DDA026"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18-70 years</w:t>
            </w:r>
          </w:p>
        </w:tc>
        <w:tc>
          <w:tcPr>
            <w:tcW w:w="0" w:type="auto"/>
            <w:tcBorders>
              <w:top w:val="nil"/>
              <w:left w:val="nil"/>
              <w:bottom w:val="single" w:sz="4" w:space="0" w:color="auto"/>
              <w:right w:val="single" w:sz="4" w:space="0" w:color="auto"/>
            </w:tcBorders>
            <w:shd w:val="clear" w:color="auto" w:fill="auto"/>
            <w:noWrap/>
            <w:vAlign w:val="center"/>
          </w:tcPr>
          <w:p w14:paraId="6E55BC46"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rPr>
              <w:t>5,477</w:t>
            </w:r>
          </w:p>
        </w:tc>
        <w:tc>
          <w:tcPr>
            <w:tcW w:w="0" w:type="auto"/>
            <w:tcBorders>
              <w:top w:val="nil"/>
              <w:left w:val="nil"/>
              <w:bottom w:val="single" w:sz="4" w:space="0" w:color="auto"/>
              <w:right w:val="single" w:sz="4" w:space="0" w:color="auto"/>
            </w:tcBorders>
            <w:shd w:val="clear" w:color="auto" w:fill="auto"/>
            <w:noWrap/>
            <w:vAlign w:val="center"/>
          </w:tcPr>
          <w:p w14:paraId="6A24CDE7" w14:textId="77777777" w:rsidR="00E907D7" w:rsidRPr="00B83846" w:rsidRDefault="00E907D7" w:rsidP="00D61A42">
            <w:pPr>
              <w:widowControl/>
              <w:tabs>
                <w:tab w:val="decimal" w:pos="524"/>
              </w:tabs>
              <w:spacing w:before="40" w:after="40"/>
              <w:rPr>
                <w:rFonts w:cs="Arial"/>
                <w:color w:val="000000"/>
                <w:sz w:val="18"/>
                <w:szCs w:val="20"/>
                <w:lang w:eastAsia="en-GB" w:bidi="ar-SA"/>
              </w:rPr>
            </w:pPr>
            <w:r w:rsidRPr="00832A75">
              <w:rPr>
                <w:rFonts w:cs="Arial"/>
                <w:color w:val="000000"/>
                <w:sz w:val="18"/>
                <w:szCs w:val="20"/>
              </w:rPr>
              <w:t>7</w:t>
            </w:r>
            <w:r w:rsidRPr="00B83846">
              <w:rPr>
                <w:rFonts w:cs="Arial"/>
                <w:color w:val="000000"/>
                <w:sz w:val="18"/>
                <w:szCs w:val="20"/>
              </w:rPr>
              <w:t>1</w:t>
            </w:r>
          </w:p>
        </w:tc>
        <w:tc>
          <w:tcPr>
            <w:tcW w:w="0" w:type="auto"/>
            <w:tcBorders>
              <w:top w:val="single" w:sz="4" w:space="0" w:color="auto"/>
              <w:left w:val="nil"/>
              <w:bottom w:val="single" w:sz="4" w:space="0" w:color="auto"/>
              <w:right w:val="single" w:sz="4" w:space="0" w:color="auto"/>
            </w:tcBorders>
            <w:vAlign w:val="center"/>
          </w:tcPr>
          <w:p w14:paraId="20FBF627" w14:textId="77777777" w:rsidR="00E907D7" w:rsidRPr="00B83846" w:rsidRDefault="00E907D7" w:rsidP="00D61A42">
            <w:pPr>
              <w:tabs>
                <w:tab w:val="decimal" w:pos="653"/>
              </w:tabs>
              <w:rPr>
                <w:rFonts w:cs="Arial"/>
                <w:color w:val="000000"/>
                <w:sz w:val="18"/>
                <w:szCs w:val="20"/>
              </w:rPr>
            </w:pPr>
            <w:r w:rsidRPr="00832A75">
              <w:rPr>
                <w:rFonts w:cs="Arial"/>
                <w:color w:val="000000"/>
                <w:sz w:val="18"/>
                <w:szCs w:val="20"/>
              </w:rPr>
              <w:t>8</w:t>
            </w:r>
            <w:r w:rsidRPr="00B83846">
              <w:rPr>
                <w:rFonts w:cs="Arial"/>
                <w:color w:val="000000"/>
                <w:sz w:val="18"/>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D1F0AD5" w14:textId="77777777" w:rsidR="00E907D7" w:rsidRPr="00B83846" w:rsidRDefault="00E907D7" w:rsidP="00E907D7">
            <w:pPr>
              <w:tabs>
                <w:tab w:val="decimal" w:pos="794"/>
              </w:tabs>
              <w:rPr>
                <w:rFonts w:cs="Arial"/>
                <w:color w:val="000000"/>
                <w:sz w:val="18"/>
                <w:szCs w:val="20"/>
                <w:lang w:eastAsia="en-GB" w:bidi="ar-SA"/>
              </w:rPr>
            </w:pPr>
            <w:r w:rsidRPr="00832A75">
              <w:rPr>
                <w:rFonts w:cs="Arial"/>
                <w:color w:val="000000"/>
                <w:sz w:val="18"/>
                <w:szCs w:val="20"/>
              </w:rPr>
              <w:t>44</w:t>
            </w:r>
            <w:r w:rsidRPr="00B83846">
              <w:rPr>
                <w:rFonts w:cs="Arial"/>
                <w:color w:val="000000"/>
                <w:sz w:val="18"/>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AEF9753" w14:textId="77777777" w:rsidR="00E907D7" w:rsidRPr="00B83846" w:rsidRDefault="00E907D7" w:rsidP="00D61A42">
            <w:pPr>
              <w:tabs>
                <w:tab w:val="decimal" w:pos="610"/>
              </w:tabs>
              <w:rPr>
                <w:rFonts w:cs="Arial"/>
                <w:color w:val="000000"/>
                <w:sz w:val="18"/>
                <w:szCs w:val="20"/>
                <w:lang w:eastAsia="en-GB" w:bidi="ar-SA"/>
              </w:rPr>
            </w:pPr>
            <w:r w:rsidRPr="00832A75">
              <w:rPr>
                <w:rFonts w:cs="Arial"/>
                <w:color w:val="000000"/>
                <w:sz w:val="18"/>
                <w:szCs w:val="20"/>
              </w:rPr>
              <w:t>138</w:t>
            </w:r>
          </w:p>
        </w:tc>
        <w:tc>
          <w:tcPr>
            <w:tcW w:w="0" w:type="auto"/>
            <w:tcBorders>
              <w:top w:val="single" w:sz="4" w:space="0" w:color="auto"/>
              <w:left w:val="single" w:sz="4" w:space="0" w:color="auto"/>
              <w:bottom w:val="single" w:sz="4" w:space="0" w:color="auto"/>
              <w:right w:val="single" w:sz="4" w:space="0" w:color="auto"/>
            </w:tcBorders>
            <w:vAlign w:val="center"/>
          </w:tcPr>
          <w:p w14:paraId="448D0E10" w14:textId="77777777" w:rsidR="00E907D7" w:rsidRPr="00B83846" w:rsidRDefault="00E907D7" w:rsidP="00D61A42">
            <w:pPr>
              <w:tabs>
                <w:tab w:val="decimal" w:pos="642"/>
              </w:tabs>
              <w:rPr>
                <w:rFonts w:cs="Arial"/>
                <w:color w:val="000000"/>
                <w:sz w:val="18"/>
                <w:szCs w:val="20"/>
              </w:rPr>
            </w:pPr>
            <w:r w:rsidRPr="00832A75">
              <w:rPr>
                <w:rFonts w:cs="Arial"/>
                <w:color w:val="000000"/>
                <w:sz w:val="18"/>
                <w:szCs w:val="20"/>
              </w:rPr>
              <w:t>153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2615D84" w14:textId="77777777" w:rsidR="00E907D7" w:rsidRPr="00B83846" w:rsidRDefault="00E907D7" w:rsidP="00E907D7">
            <w:pPr>
              <w:tabs>
                <w:tab w:val="decimal" w:pos="794"/>
              </w:tabs>
              <w:rPr>
                <w:rFonts w:cs="Arial"/>
                <w:color w:val="000000"/>
                <w:sz w:val="18"/>
                <w:szCs w:val="20"/>
                <w:lang w:eastAsia="en-GB" w:bidi="ar-SA"/>
              </w:rPr>
            </w:pPr>
            <w:r w:rsidRPr="00B83846">
              <w:rPr>
                <w:rFonts w:cs="Arial"/>
                <w:color w:val="000000"/>
                <w:sz w:val="18"/>
                <w:szCs w:val="20"/>
              </w:rPr>
              <w:t>9</w:t>
            </w:r>
            <w:r w:rsidRPr="00832A75">
              <w:rPr>
                <w:rFonts w:cs="Arial"/>
                <w:color w:val="000000"/>
                <w:sz w:val="18"/>
                <w:szCs w:val="20"/>
              </w:rPr>
              <w:t>52</w:t>
            </w:r>
          </w:p>
        </w:tc>
      </w:tr>
      <w:tr w:rsidR="00E907D7" w:rsidRPr="00B83846" w14:paraId="09C9FE9B" w14:textId="77777777" w:rsidTr="003B0C9C">
        <w:trPr>
          <w:cantSplit/>
        </w:trPr>
        <w:tc>
          <w:tcPr>
            <w:tcW w:w="0" w:type="auto"/>
            <w:tcBorders>
              <w:top w:val="nil"/>
              <w:left w:val="single" w:sz="4" w:space="0" w:color="auto"/>
              <w:right w:val="single" w:sz="4" w:space="0" w:color="auto"/>
            </w:tcBorders>
            <w:shd w:val="clear" w:color="auto" w:fill="auto"/>
            <w:vAlign w:val="center"/>
          </w:tcPr>
          <w:p w14:paraId="65F78696"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tcPr>
          <w:p w14:paraId="63F32505"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01E02CAD"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2 years and above</w:t>
            </w:r>
          </w:p>
        </w:tc>
        <w:tc>
          <w:tcPr>
            <w:tcW w:w="0" w:type="auto"/>
            <w:tcBorders>
              <w:top w:val="nil"/>
              <w:left w:val="nil"/>
              <w:bottom w:val="single" w:sz="4" w:space="0" w:color="auto"/>
              <w:right w:val="single" w:sz="4" w:space="0" w:color="auto"/>
            </w:tcBorders>
            <w:shd w:val="clear" w:color="auto" w:fill="auto"/>
            <w:noWrap/>
            <w:vAlign w:val="center"/>
          </w:tcPr>
          <w:p w14:paraId="101EA5FE"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rPr>
              <w:t>7,735</w:t>
            </w:r>
          </w:p>
        </w:tc>
        <w:tc>
          <w:tcPr>
            <w:tcW w:w="0" w:type="auto"/>
            <w:tcBorders>
              <w:top w:val="nil"/>
              <w:left w:val="nil"/>
              <w:bottom w:val="single" w:sz="4" w:space="0" w:color="auto"/>
              <w:right w:val="single" w:sz="4" w:space="0" w:color="auto"/>
            </w:tcBorders>
            <w:shd w:val="clear" w:color="auto" w:fill="auto"/>
            <w:noWrap/>
            <w:vAlign w:val="center"/>
          </w:tcPr>
          <w:p w14:paraId="02D2BD26" w14:textId="77777777" w:rsidR="00E907D7" w:rsidRPr="00B83846" w:rsidRDefault="00E907D7" w:rsidP="00D61A42">
            <w:pPr>
              <w:tabs>
                <w:tab w:val="decimal" w:pos="524"/>
              </w:tabs>
              <w:rPr>
                <w:rFonts w:cs="Arial"/>
                <w:color w:val="000000"/>
                <w:sz w:val="18"/>
                <w:szCs w:val="18"/>
                <w:lang w:eastAsia="en-GB" w:bidi="ar-SA"/>
              </w:rPr>
            </w:pPr>
            <w:r w:rsidRPr="00832A75">
              <w:rPr>
                <w:rFonts w:cs="Arial"/>
                <w:color w:val="000000"/>
                <w:sz w:val="18"/>
                <w:szCs w:val="22"/>
              </w:rPr>
              <w:t>66</w:t>
            </w:r>
          </w:p>
        </w:tc>
        <w:tc>
          <w:tcPr>
            <w:tcW w:w="0" w:type="auto"/>
            <w:tcBorders>
              <w:top w:val="single" w:sz="4" w:space="0" w:color="auto"/>
              <w:left w:val="nil"/>
              <w:bottom w:val="single" w:sz="4" w:space="0" w:color="auto"/>
              <w:right w:val="single" w:sz="4" w:space="0" w:color="auto"/>
            </w:tcBorders>
            <w:vAlign w:val="center"/>
          </w:tcPr>
          <w:p w14:paraId="69AF03F0" w14:textId="77777777" w:rsidR="00E907D7" w:rsidRPr="00B83846" w:rsidRDefault="00E907D7" w:rsidP="00D61A42">
            <w:pPr>
              <w:tabs>
                <w:tab w:val="decimal" w:pos="653"/>
              </w:tabs>
              <w:rPr>
                <w:rFonts w:cs="Arial"/>
                <w:color w:val="000000"/>
                <w:sz w:val="18"/>
                <w:szCs w:val="22"/>
              </w:rPr>
            </w:pPr>
            <w:r w:rsidRPr="00832A75">
              <w:rPr>
                <w:rFonts w:cs="Arial"/>
                <w:color w:val="000000"/>
                <w:sz w:val="18"/>
                <w:szCs w:val="22"/>
              </w:rPr>
              <w:t>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A3703AD" w14:textId="77777777" w:rsidR="00E907D7" w:rsidRPr="00B83846" w:rsidRDefault="00E907D7" w:rsidP="00E907D7">
            <w:pPr>
              <w:tabs>
                <w:tab w:val="decimal" w:pos="794"/>
              </w:tabs>
              <w:rPr>
                <w:rFonts w:cs="Arial"/>
                <w:color w:val="000000"/>
                <w:sz w:val="18"/>
                <w:szCs w:val="18"/>
                <w:lang w:eastAsia="en-GB" w:bidi="ar-SA"/>
              </w:rPr>
            </w:pPr>
            <w:r w:rsidRPr="00B83846">
              <w:rPr>
                <w:rFonts w:cs="Arial"/>
                <w:color w:val="000000"/>
                <w:sz w:val="18"/>
                <w:szCs w:val="22"/>
              </w:rPr>
              <w:t>4</w:t>
            </w:r>
            <w:r w:rsidRPr="00832A75">
              <w:rPr>
                <w:rFonts w:cs="Arial"/>
                <w:color w:val="000000"/>
                <w:sz w:val="18"/>
                <w:szCs w:val="22"/>
              </w:rPr>
              <w:t>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94ED80" w14:textId="77777777" w:rsidR="00E907D7" w:rsidRPr="00B83846" w:rsidRDefault="00E907D7" w:rsidP="00D61A42">
            <w:pPr>
              <w:tabs>
                <w:tab w:val="decimal" w:pos="610"/>
              </w:tabs>
              <w:rPr>
                <w:rFonts w:cs="Arial"/>
                <w:color w:val="000000"/>
                <w:sz w:val="18"/>
                <w:szCs w:val="18"/>
                <w:lang w:eastAsia="en-GB" w:bidi="ar-SA"/>
              </w:rPr>
            </w:pPr>
            <w:r w:rsidRPr="00832A75">
              <w:rPr>
                <w:rFonts w:cs="Arial"/>
                <w:color w:val="000000"/>
                <w:sz w:val="18"/>
                <w:szCs w:val="22"/>
              </w:rPr>
              <w:t>131</w:t>
            </w:r>
          </w:p>
        </w:tc>
        <w:tc>
          <w:tcPr>
            <w:tcW w:w="0" w:type="auto"/>
            <w:tcBorders>
              <w:top w:val="single" w:sz="4" w:space="0" w:color="auto"/>
              <w:left w:val="single" w:sz="4" w:space="0" w:color="auto"/>
              <w:bottom w:val="single" w:sz="4" w:space="0" w:color="auto"/>
              <w:right w:val="single" w:sz="4" w:space="0" w:color="auto"/>
            </w:tcBorders>
            <w:vAlign w:val="center"/>
          </w:tcPr>
          <w:p w14:paraId="0B67FF7A" w14:textId="77777777" w:rsidR="00E907D7" w:rsidRPr="00B83846" w:rsidRDefault="00E907D7" w:rsidP="00D61A42">
            <w:pPr>
              <w:tabs>
                <w:tab w:val="decimal" w:pos="642"/>
              </w:tabs>
              <w:rPr>
                <w:rFonts w:cs="Arial"/>
                <w:color w:val="000000"/>
                <w:sz w:val="18"/>
                <w:szCs w:val="22"/>
              </w:rPr>
            </w:pPr>
            <w:r w:rsidRPr="00832A75">
              <w:rPr>
                <w:rFonts w:cs="Arial"/>
                <w:color w:val="000000"/>
                <w:sz w:val="18"/>
                <w:szCs w:val="22"/>
              </w:rPr>
              <w:t>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FC092BC" w14:textId="77777777" w:rsidR="00E907D7" w:rsidRPr="00B83846" w:rsidRDefault="00E907D7" w:rsidP="00E907D7">
            <w:pPr>
              <w:tabs>
                <w:tab w:val="decimal" w:pos="794"/>
              </w:tabs>
              <w:rPr>
                <w:rFonts w:cs="Arial"/>
                <w:color w:val="000000"/>
                <w:sz w:val="18"/>
                <w:szCs w:val="18"/>
                <w:lang w:eastAsia="en-GB" w:bidi="ar-SA"/>
              </w:rPr>
            </w:pPr>
            <w:r w:rsidRPr="00B83846">
              <w:rPr>
                <w:rFonts w:cs="Arial"/>
                <w:color w:val="000000"/>
                <w:sz w:val="18"/>
                <w:szCs w:val="22"/>
              </w:rPr>
              <w:t>8</w:t>
            </w:r>
            <w:r w:rsidRPr="00832A75">
              <w:rPr>
                <w:rFonts w:cs="Arial"/>
                <w:color w:val="000000"/>
                <w:sz w:val="18"/>
                <w:szCs w:val="22"/>
              </w:rPr>
              <w:t>97</w:t>
            </w:r>
          </w:p>
        </w:tc>
      </w:tr>
      <w:tr w:rsidR="00E907D7" w:rsidRPr="00B83846" w14:paraId="164F948A" w14:textId="77777777" w:rsidTr="003B0C9C">
        <w:trPr>
          <w:cantSplit/>
        </w:trPr>
        <w:tc>
          <w:tcPr>
            <w:tcW w:w="0" w:type="auto"/>
            <w:tcBorders>
              <w:top w:val="nil"/>
              <w:left w:val="single" w:sz="4" w:space="0" w:color="auto"/>
              <w:right w:val="single" w:sz="4" w:space="0" w:color="auto"/>
            </w:tcBorders>
            <w:shd w:val="clear" w:color="auto" w:fill="auto"/>
            <w:vAlign w:val="center"/>
          </w:tcPr>
          <w:p w14:paraId="25393EA7"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202544F1"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Elderly</w:t>
            </w:r>
          </w:p>
        </w:tc>
        <w:tc>
          <w:tcPr>
            <w:tcW w:w="0" w:type="auto"/>
            <w:tcBorders>
              <w:top w:val="nil"/>
              <w:left w:val="nil"/>
              <w:bottom w:val="single" w:sz="4" w:space="0" w:color="auto"/>
              <w:right w:val="single" w:sz="4" w:space="0" w:color="auto"/>
            </w:tcBorders>
            <w:shd w:val="clear" w:color="auto" w:fill="auto"/>
            <w:vAlign w:val="center"/>
            <w:hideMark/>
          </w:tcPr>
          <w:p w14:paraId="50D294D6"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71 years and above</w:t>
            </w:r>
          </w:p>
        </w:tc>
        <w:tc>
          <w:tcPr>
            <w:tcW w:w="0" w:type="auto"/>
            <w:tcBorders>
              <w:top w:val="nil"/>
              <w:left w:val="nil"/>
              <w:bottom w:val="single" w:sz="4" w:space="0" w:color="auto"/>
              <w:right w:val="single" w:sz="4" w:space="0" w:color="auto"/>
            </w:tcBorders>
            <w:shd w:val="clear" w:color="auto" w:fill="auto"/>
            <w:noWrap/>
            <w:vAlign w:val="center"/>
          </w:tcPr>
          <w:p w14:paraId="39A4B3EE"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rPr>
              <w:t>652</w:t>
            </w:r>
          </w:p>
        </w:tc>
        <w:tc>
          <w:tcPr>
            <w:tcW w:w="0" w:type="auto"/>
            <w:tcBorders>
              <w:top w:val="nil"/>
              <w:left w:val="nil"/>
              <w:bottom w:val="single" w:sz="4" w:space="0" w:color="auto"/>
              <w:right w:val="single" w:sz="4" w:space="0" w:color="auto"/>
            </w:tcBorders>
            <w:shd w:val="clear" w:color="auto" w:fill="auto"/>
            <w:noWrap/>
            <w:vAlign w:val="center"/>
          </w:tcPr>
          <w:p w14:paraId="7E97714C" w14:textId="77777777" w:rsidR="00E907D7" w:rsidRPr="00B83846" w:rsidRDefault="00E907D7" w:rsidP="00D61A42">
            <w:pPr>
              <w:tabs>
                <w:tab w:val="decimal" w:pos="524"/>
              </w:tabs>
              <w:rPr>
                <w:rFonts w:cs="Arial"/>
                <w:color w:val="000000"/>
                <w:sz w:val="18"/>
                <w:szCs w:val="18"/>
                <w:lang w:eastAsia="en-GB" w:bidi="ar-SA"/>
              </w:rPr>
            </w:pPr>
            <w:r w:rsidRPr="00832A75">
              <w:rPr>
                <w:rFonts w:cs="Arial"/>
                <w:color w:val="000000"/>
                <w:sz w:val="18"/>
                <w:szCs w:val="18"/>
              </w:rPr>
              <w:t>61</w:t>
            </w:r>
          </w:p>
        </w:tc>
        <w:tc>
          <w:tcPr>
            <w:tcW w:w="0" w:type="auto"/>
            <w:tcBorders>
              <w:top w:val="single" w:sz="4" w:space="0" w:color="auto"/>
              <w:left w:val="nil"/>
              <w:bottom w:val="single" w:sz="4" w:space="0" w:color="auto"/>
              <w:right w:val="single" w:sz="4" w:space="0" w:color="auto"/>
            </w:tcBorders>
            <w:vAlign w:val="center"/>
          </w:tcPr>
          <w:p w14:paraId="12E26786" w14:textId="77777777" w:rsidR="00E907D7" w:rsidRPr="00B83846" w:rsidRDefault="00E907D7" w:rsidP="00D61A42">
            <w:pPr>
              <w:tabs>
                <w:tab w:val="decimal" w:pos="653"/>
              </w:tabs>
              <w:rPr>
                <w:rFonts w:cs="Arial"/>
                <w:color w:val="000000"/>
                <w:sz w:val="18"/>
                <w:szCs w:val="18"/>
              </w:rPr>
            </w:pPr>
            <w:r w:rsidRPr="00832A75">
              <w:rPr>
                <w:rFonts w:cs="Arial"/>
                <w:color w:val="000000"/>
                <w:sz w:val="18"/>
                <w:szCs w:val="18"/>
              </w:rPr>
              <w:t>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2AA3D59" w14:textId="77777777" w:rsidR="00E907D7" w:rsidRPr="00B83846" w:rsidRDefault="00E907D7" w:rsidP="00E907D7">
            <w:pPr>
              <w:tabs>
                <w:tab w:val="decimal" w:pos="794"/>
              </w:tabs>
              <w:rPr>
                <w:rFonts w:cs="Arial"/>
                <w:color w:val="000000"/>
                <w:sz w:val="18"/>
                <w:szCs w:val="18"/>
                <w:lang w:eastAsia="en-GB" w:bidi="ar-SA"/>
              </w:rPr>
            </w:pPr>
            <w:r w:rsidRPr="00832A75">
              <w:rPr>
                <w:rFonts w:cs="Arial"/>
                <w:color w:val="000000"/>
                <w:sz w:val="18"/>
                <w:szCs w:val="18"/>
              </w:rPr>
              <w:t>304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800459E" w14:textId="77777777" w:rsidR="00E907D7" w:rsidRPr="00B83846" w:rsidRDefault="00E907D7" w:rsidP="00D61A42">
            <w:pPr>
              <w:tabs>
                <w:tab w:val="decimal" w:pos="610"/>
              </w:tabs>
              <w:rPr>
                <w:rFonts w:cs="Arial"/>
                <w:color w:val="000000"/>
                <w:sz w:val="18"/>
                <w:szCs w:val="18"/>
                <w:lang w:eastAsia="en-GB" w:bidi="ar-SA"/>
              </w:rPr>
            </w:pPr>
            <w:r w:rsidRPr="00832A75">
              <w:rPr>
                <w:rFonts w:cs="Arial"/>
                <w:color w:val="000000"/>
                <w:sz w:val="18"/>
                <w:szCs w:val="18"/>
              </w:rPr>
              <w:t>115</w:t>
            </w:r>
          </w:p>
        </w:tc>
        <w:tc>
          <w:tcPr>
            <w:tcW w:w="0" w:type="auto"/>
            <w:tcBorders>
              <w:top w:val="single" w:sz="4" w:space="0" w:color="auto"/>
              <w:left w:val="single" w:sz="4" w:space="0" w:color="auto"/>
              <w:bottom w:val="single" w:sz="4" w:space="0" w:color="auto"/>
              <w:right w:val="single" w:sz="4" w:space="0" w:color="auto"/>
            </w:tcBorders>
            <w:vAlign w:val="center"/>
          </w:tcPr>
          <w:p w14:paraId="2D7B8069" w14:textId="77777777" w:rsidR="00E907D7" w:rsidRPr="00B83846" w:rsidRDefault="00E907D7" w:rsidP="00D61A42">
            <w:pPr>
              <w:tabs>
                <w:tab w:val="decimal" w:pos="642"/>
              </w:tabs>
              <w:rPr>
                <w:rFonts w:cs="Arial"/>
                <w:color w:val="000000"/>
                <w:sz w:val="18"/>
                <w:szCs w:val="18"/>
              </w:rPr>
            </w:pPr>
            <w:r w:rsidRPr="00832A75">
              <w:rPr>
                <w:rFonts w:cs="Arial"/>
                <w:color w:val="000000"/>
                <w:sz w:val="18"/>
                <w:szCs w:val="18"/>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FA16F4" w14:textId="77777777" w:rsidR="00E907D7" w:rsidRPr="00B83846" w:rsidRDefault="00E907D7" w:rsidP="00E907D7">
            <w:pPr>
              <w:tabs>
                <w:tab w:val="decimal" w:pos="794"/>
              </w:tabs>
              <w:rPr>
                <w:rFonts w:cs="Arial"/>
                <w:color w:val="000000"/>
                <w:sz w:val="18"/>
                <w:szCs w:val="18"/>
                <w:lang w:eastAsia="en-GB" w:bidi="ar-SA"/>
              </w:rPr>
            </w:pPr>
            <w:r w:rsidRPr="00832A75">
              <w:rPr>
                <w:rFonts w:cs="Arial"/>
                <w:color w:val="000000"/>
                <w:sz w:val="18"/>
                <w:szCs w:val="18"/>
              </w:rPr>
              <w:t>603</w:t>
            </w:r>
          </w:p>
        </w:tc>
      </w:tr>
      <w:tr w:rsidR="00E907D7" w:rsidRPr="00B83846" w14:paraId="4643F5FC" w14:textId="77777777" w:rsidTr="003B0C9C">
        <w:trPr>
          <w:cantSplit/>
        </w:trPr>
        <w:tc>
          <w:tcPr>
            <w:tcW w:w="0" w:type="auto"/>
            <w:tcBorders>
              <w:top w:val="nil"/>
              <w:left w:val="single" w:sz="4" w:space="0" w:color="auto"/>
              <w:right w:val="single" w:sz="4" w:space="0" w:color="auto"/>
            </w:tcBorders>
            <w:shd w:val="clear" w:color="auto" w:fill="auto"/>
            <w:vAlign w:val="center"/>
          </w:tcPr>
          <w:p w14:paraId="06023C64"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1ED37C08"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People who consume sports foods/beverages</w:t>
            </w:r>
          </w:p>
        </w:tc>
        <w:tc>
          <w:tcPr>
            <w:tcW w:w="0" w:type="auto"/>
            <w:tcBorders>
              <w:top w:val="nil"/>
              <w:left w:val="nil"/>
              <w:bottom w:val="single" w:sz="4" w:space="0" w:color="auto"/>
              <w:right w:val="single" w:sz="4" w:space="0" w:color="auto"/>
            </w:tcBorders>
            <w:shd w:val="clear" w:color="auto" w:fill="auto"/>
            <w:vAlign w:val="center"/>
            <w:hideMark/>
          </w:tcPr>
          <w:p w14:paraId="3249FF1F"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2 years and above</w:t>
            </w:r>
          </w:p>
        </w:tc>
        <w:tc>
          <w:tcPr>
            <w:tcW w:w="0" w:type="auto"/>
            <w:tcBorders>
              <w:top w:val="nil"/>
              <w:left w:val="nil"/>
              <w:bottom w:val="single" w:sz="4" w:space="0" w:color="auto"/>
              <w:right w:val="single" w:sz="4" w:space="0" w:color="auto"/>
            </w:tcBorders>
            <w:shd w:val="clear" w:color="auto" w:fill="auto"/>
            <w:noWrap/>
            <w:vAlign w:val="center"/>
          </w:tcPr>
          <w:p w14:paraId="5BCD1549"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rPr>
              <w:t>419</w:t>
            </w:r>
          </w:p>
        </w:tc>
        <w:tc>
          <w:tcPr>
            <w:tcW w:w="0" w:type="auto"/>
            <w:tcBorders>
              <w:top w:val="nil"/>
              <w:left w:val="nil"/>
              <w:bottom w:val="single" w:sz="4" w:space="0" w:color="auto"/>
              <w:right w:val="single" w:sz="4" w:space="0" w:color="auto"/>
            </w:tcBorders>
            <w:shd w:val="clear" w:color="auto" w:fill="auto"/>
            <w:noWrap/>
            <w:vAlign w:val="center"/>
          </w:tcPr>
          <w:p w14:paraId="65B6873B" w14:textId="77777777" w:rsidR="00E907D7" w:rsidRPr="00B83846" w:rsidRDefault="00E907D7" w:rsidP="00D61A42">
            <w:pPr>
              <w:tabs>
                <w:tab w:val="decimal" w:pos="524"/>
              </w:tabs>
              <w:rPr>
                <w:rFonts w:cs="Arial"/>
                <w:color w:val="000000"/>
                <w:sz w:val="18"/>
                <w:szCs w:val="18"/>
                <w:lang w:eastAsia="en-GB" w:bidi="ar-SA"/>
              </w:rPr>
            </w:pPr>
            <w:r w:rsidRPr="00832A75">
              <w:rPr>
                <w:rFonts w:cs="Arial"/>
                <w:color w:val="000000"/>
                <w:sz w:val="18"/>
                <w:szCs w:val="18"/>
              </w:rPr>
              <w:t>137</w:t>
            </w:r>
          </w:p>
        </w:tc>
        <w:tc>
          <w:tcPr>
            <w:tcW w:w="0" w:type="auto"/>
            <w:tcBorders>
              <w:top w:val="single" w:sz="4" w:space="0" w:color="auto"/>
              <w:left w:val="nil"/>
              <w:bottom w:val="single" w:sz="4" w:space="0" w:color="auto"/>
              <w:right w:val="single" w:sz="4" w:space="0" w:color="auto"/>
            </w:tcBorders>
            <w:vAlign w:val="center"/>
          </w:tcPr>
          <w:p w14:paraId="266EC9FD" w14:textId="77777777" w:rsidR="00E907D7" w:rsidRPr="00B83846" w:rsidRDefault="00E907D7" w:rsidP="00D61A42">
            <w:pPr>
              <w:tabs>
                <w:tab w:val="decimal" w:pos="653"/>
              </w:tabs>
              <w:rPr>
                <w:rFonts w:cs="Arial"/>
                <w:color w:val="000000"/>
                <w:sz w:val="18"/>
                <w:szCs w:val="18"/>
              </w:rPr>
            </w:pPr>
            <w:r w:rsidRPr="00832A75">
              <w:rPr>
                <w:rFonts w:cs="Arial"/>
                <w:color w:val="000000"/>
                <w:sz w:val="18"/>
                <w:szCs w:val="18"/>
              </w:rPr>
              <w:t>378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347A370" w14:textId="77777777" w:rsidR="00E907D7" w:rsidRPr="00B83846" w:rsidRDefault="00E907D7" w:rsidP="00E907D7">
            <w:pPr>
              <w:tabs>
                <w:tab w:val="decimal" w:pos="794"/>
              </w:tabs>
              <w:rPr>
                <w:rFonts w:cs="Arial"/>
                <w:color w:val="000000"/>
                <w:sz w:val="18"/>
                <w:szCs w:val="18"/>
                <w:lang w:eastAsia="en-GB" w:bidi="ar-SA"/>
              </w:rPr>
            </w:pPr>
            <w:r w:rsidRPr="00832A75">
              <w:rPr>
                <w:rFonts w:cs="Arial"/>
                <w:color w:val="000000"/>
                <w:sz w:val="18"/>
                <w:szCs w:val="18"/>
              </w:rPr>
              <w:t>806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E55BFD3" w14:textId="77777777" w:rsidR="00E907D7" w:rsidRPr="00B83846" w:rsidRDefault="00E907D7" w:rsidP="00D61A42">
            <w:pPr>
              <w:tabs>
                <w:tab w:val="decimal" w:pos="610"/>
              </w:tabs>
              <w:rPr>
                <w:rFonts w:cs="Arial"/>
                <w:color w:val="000000"/>
                <w:sz w:val="18"/>
                <w:szCs w:val="18"/>
                <w:lang w:eastAsia="en-GB" w:bidi="ar-SA"/>
              </w:rPr>
            </w:pPr>
            <w:r w:rsidRPr="00832A75">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vAlign w:val="center"/>
          </w:tcPr>
          <w:p w14:paraId="6AACEE13" w14:textId="77777777" w:rsidR="00E907D7" w:rsidRPr="00B83846" w:rsidRDefault="00E907D7" w:rsidP="00D61A42">
            <w:pPr>
              <w:tabs>
                <w:tab w:val="decimal" w:pos="642"/>
              </w:tabs>
              <w:rPr>
                <w:rFonts w:cs="Arial"/>
                <w:color w:val="000000"/>
                <w:sz w:val="18"/>
                <w:szCs w:val="18"/>
              </w:rPr>
            </w:pPr>
            <w:r w:rsidRPr="00832A75">
              <w:rPr>
                <w:rFonts w:cs="Arial"/>
                <w:color w:val="000000"/>
                <w:sz w:val="18"/>
                <w:szCs w:val="18"/>
              </w:rPr>
              <w:t>801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7363961" w14:textId="77777777" w:rsidR="00E907D7" w:rsidRPr="00B83846" w:rsidRDefault="00E907D7" w:rsidP="00E907D7">
            <w:pPr>
              <w:tabs>
                <w:tab w:val="decimal" w:pos="794"/>
              </w:tabs>
              <w:rPr>
                <w:rFonts w:cs="Arial"/>
                <w:color w:val="000000"/>
                <w:sz w:val="18"/>
                <w:szCs w:val="18"/>
                <w:lang w:eastAsia="en-GB" w:bidi="ar-SA"/>
              </w:rPr>
            </w:pPr>
            <w:r w:rsidRPr="00832A75">
              <w:rPr>
                <w:rFonts w:cs="Arial"/>
                <w:color w:val="000000"/>
                <w:sz w:val="18"/>
                <w:szCs w:val="18"/>
              </w:rPr>
              <w:t>1,567</w:t>
            </w:r>
          </w:p>
        </w:tc>
      </w:tr>
      <w:tr w:rsidR="00E907D7" w:rsidRPr="00B83846" w14:paraId="1BB542E3" w14:textId="77777777" w:rsidTr="003B0C9C">
        <w:trPr>
          <w:cantSplit/>
        </w:trPr>
        <w:tc>
          <w:tcPr>
            <w:tcW w:w="0" w:type="auto"/>
            <w:tcBorders>
              <w:top w:val="nil"/>
              <w:left w:val="single" w:sz="4" w:space="0" w:color="auto"/>
              <w:bottom w:val="nil"/>
              <w:right w:val="single" w:sz="4" w:space="0" w:color="auto"/>
            </w:tcBorders>
            <w:shd w:val="clear" w:color="auto" w:fill="auto"/>
            <w:vAlign w:val="center"/>
          </w:tcPr>
          <w:p w14:paraId="3840A3C8"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nil"/>
              <w:right w:val="single" w:sz="4" w:space="0" w:color="auto"/>
            </w:tcBorders>
            <w:shd w:val="clear" w:color="auto" w:fill="auto"/>
            <w:vAlign w:val="center"/>
            <w:hideMark/>
          </w:tcPr>
          <w:p w14:paraId="22D80454"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People who consume weight management or meal replacement products</w:t>
            </w:r>
          </w:p>
        </w:tc>
        <w:tc>
          <w:tcPr>
            <w:tcW w:w="0" w:type="auto"/>
            <w:tcBorders>
              <w:top w:val="nil"/>
              <w:left w:val="nil"/>
              <w:bottom w:val="nil"/>
              <w:right w:val="single" w:sz="4" w:space="0" w:color="auto"/>
            </w:tcBorders>
            <w:shd w:val="clear" w:color="auto" w:fill="auto"/>
            <w:vAlign w:val="center"/>
            <w:hideMark/>
          </w:tcPr>
          <w:p w14:paraId="542AC7BB"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2 years and above</w:t>
            </w:r>
          </w:p>
        </w:tc>
        <w:tc>
          <w:tcPr>
            <w:tcW w:w="0" w:type="auto"/>
            <w:tcBorders>
              <w:top w:val="nil"/>
              <w:left w:val="nil"/>
              <w:bottom w:val="single" w:sz="4" w:space="0" w:color="auto"/>
              <w:right w:val="single" w:sz="4" w:space="0" w:color="auto"/>
            </w:tcBorders>
            <w:shd w:val="clear" w:color="auto" w:fill="auto"/>
            <w:noWrap/>
            <w:vAlign w:val="center"/>
          </w:tcPr>
          <w:p w14:paraId="083D3A23"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rPr>
              <w:t>240</w:t>
            </w:r>
          </w:p>
        </w:tc>
        <w:tc>
          <w:tcPr>
            <w:tcW w:w="0" w:type="auto"/>
            <w:tcBorders>
              <w:top w:val="nil"/>
              <w:left w:val="nil"/>
              <w:bottom w:val="single" w:sz="4" w:space="0" w:color="auto"/>
              <w:right w:val="single" w:sz="4" w:space="0" w:color="auto"/>
            </w:tcBorders>
            <w:shd w:val="clear" w:color="auto" w:fill="auto"/>
            <w:noWrap/>
            <w:vAlign w:val="center"/>
          </w:tcPr>
          <w:p w14:paraId="2FEC0517" w14:textId="77777777" w:rsidR="00E907D7" w:rsidRPr="00B83846" w:rsidRDefault="00E907D7" w:rsidP="00D61A42">
            <w:pPr>
              <w:tabs>
                <w:tab w:val="decimal" w:pos="524"/>
              </w:tabs>
              <w:rPr>
                <w:rFonts w:cs="Arial"/>
                <w:color w:val="000000"/>
                <w:sz w:val="18"/>
                <w:szCs w:val="18"/>
                <w:lang w:eastAsia="en-GB" w:bidi="ar-SA"/>
              </w:rPr>
            </w:pPr>
            <w:r w:rsidRPr="00832A75">
              <w:rPr>
                <w:rFonts w:cs="Arial"/>
                <w:color w:val="000000"/>
                <w:sz w:val="18"/>
                <w:szCs w:val="18"/>
              </w:rPr>
              <w:t>104</w:t>
            </w:r>
          </w:p>
        </w:tc>
        <w:tc>
          <w:tcPr>
            <w:tcW w:w="0" w:type="auto"/>
            <w:tcBorders>
              <w:top w:val="single" w:sz="4" w:space="0" w:color="auto"/>
              <w:left w:val="nil"/>
              <w:bottom w:val="single" w:sz="4" w:space="0" w:color="auto"/>
              <w:right w:val="single" w:sz="4" w:space="0" w:color="auto"/>
            </w:tcBorders>
            <w:vAlign w:val="center"/>
          </w:tcPr>
          <w:p w14:paraId="0C8C1BED" w14:textId="77777777" w:rsidR="00E907D7" w:rsidRPr="00B83846" w:rsidRDefault="00E907D7" w:rsidP="00D61A42">
            <w:pPr>
              <w:tabs>
                <w:tab w:val="decimal" w:pos="653"/>
              </w:tabs>
              <w:rPr>
                <w:rFonts w:cs="Arial"/>
                <w:color w:val="000000"/>
                <w:sz w:val="18"/>
                <w:szCs w:val="18"/>
              </w:rPr>
            </w:pPr>
            <w:r w:rsidRPr="00832A75">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617FB08" w14:textId="77777777" w:rsidR="00E907D7" w:rsidRPr="00B83846" w:rsidRDefault="00E907D7" w:rsidP="00E907D7">
            <w:pPr>
              <w:tabs>
                <w:tab w:val="decimal" w:pos="794"/>
              </w:tabs>
              <w:rPr>
                <w:rFonts w:cs="Arial"/>
                <w:color w:val="000000"/>
                <w:sz w:val="18"/>
                <w:szCs w:val="18"/>
                <w:lang w:eastAsia="en-GB" w:bidi="ar-SA"/>
              </w:rPr>
            </w:pPr>
            <w:r w:rsidRPr="00832A75">
              <w:rPr>
                <w:rFonts w:cs="Arial"/>
                <w:color w:val="000000"/>
                <w:sz w:val="18"/>
                <w:szCs w:val="18"/>
              </w:rPr>
              <w:t>597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1065AFE" w14:textId="77777777" w:rsidR="00E907D7" w:rsidRPr="00B83846" w:rsidRDefault="00E907D7" w:rsidP="00D61A42">
            <w:pPr>
              <w:tabs>
                <w:tab w:val="decimal" w:pos="610"/>
              </w:tabs>
              <w:rPr>
                <w:rFonts w:cs="Arial"/>
                <w:color w:val="000000"/>
                <w:sz w:val="18"/>
                <w:szCs w:val="18"/>
                <w:lang w:eastAsia="en-GB" w:bidi="ar-SA"/>
              </w:rPr>
            </w:pPr>
            <w:r w:rsidRPr="00832A75">
              <w:rPr>
                <w:rFonts w:cs="Arial"/>
                <w:color w:val="000000"/>
                <w:sz w:val="18"/>
                <w:szCs w:val="18"/>
              </w:rPr>
              <w:t>217</w:t>
            </w:r>
          </w:p>
        </w:tc>
        <w:tc>
          <w:tcPr>
            <w:tcW w:w="0" w:type="auto"/>
            <w:tcBorders>
              <w:top w:val="single" w:sz="4" w:space="0" w:color="auto"/>
              <w:left w:val="single" w:sz="4" w:space="0" w:color="auto"/>
              <w:bottom w:val="single" w:sz="4" w:space="0" w:color="auto"/>
              <w:right w:val="single" w:sz="4" w:space="0" w:color="auto"/>
            </w:tcBorders>
            <w:vAlign w:val="center"/>
          </w:tcPr>
          <w:p w14:paraId="3BDD8A21" w14:textId="77777777" w:rsidR="00E907D7" w:rsidRPr="00B83846" w:rsidRDefault="00E907D7" w:rsidP="00D61A42">
            <w:pPr>
              <w:tabs>
                <w:tab w:val="decimal" w:pos="642"/>
              </w:tabs>
              <w:rPr>
                <w:rFonts w:cs="Arial"/>
                <w:color w:val="000000"/>
                <w:sz w:val="18"/>
                <w:szCs w:val="18"/>
              </w:rPr>
            </w:pPr>
            <w:r w:rsidRPr="00832A75">
              <w:rPr>
                <w:rFonts w:cs="Arial"/>
                <w:color w:val="000000"/>
                <w:sz w:val="18"/>
                <w:szCs w:val="18"/>
              </w:rPr>
              <w:t>761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08F53F" w14:textId="77777777" w:rsidR="00E907D7" w:rsidRPr="00B83846" w:rsidRDefault="00E907D7" w:rsidP="00E907D7">
            <w:pPr>
              <w:tabs>
                <w:tab w:val="decimal" w:pos="794"/>
              </w:tabs>
              <w:rPr>
                <w:rFonts w:cs="Arial"/>
                <w:color w:val="000000"/>
                <w:sz w:val="18"/>
                <w:szCs w:val="18"/>
                <w:lang w:eastAsia="en-GB" w:bidi="ar-SA"/>
              </w:rPr>
            </w:pPr>
            <w:r w:rsidRPr="00832A75">
              <w:rPr>
                <w:rFonts w:cs="Arial"/>
                <w:color w:val="000000"/>
                <w:sz w:val="18"/>
                <w:szCs w:val="18"/>
              </w:rPr>
              <w:t>1,227</w:t>
            </w:r>
          </w:p>
        </w:tc>
      </w:tr>
      <w:tr w:rsidR="00E907D7" w:rsidRPr="00B83846" w14:paraId="5AD6CB99" w14:textId="77777777" w:rsidTr="003B0C9C">
        <w:trPr>
          <w:cantSplit/>
        </w:trPr>
        <w:tc>
          <w:tcPr>
            <w:tcW w:w="0" w:type="auto"/>
            <w:tcBorders>
              <w:left w:val="single" w:sz="4" w:space="0" w:color="auto"/>
              <w:bottom w:val="single" w:sz="4" w:space="0" w:color="auto"/>
              <w:right w:val="single" w:sz="4" w:space="0" w:color="auto"/>
            </w:tcBorders>
            <w:shd w:val="clear" w:color="auto" w:fill="auto"/>
            <w:vAlign w:val="center"/>
          </w:tcPr>
          <w:p w14:paraId="13D3BF81"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6684D1"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People who don't eat meat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020E4F"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2 years and above</w:t>
            </w:r>
          </w:p>
        </w:tc>
        <w:tc>
          <w:tcPr>
            <w:tcW w:w="0" w:type="auto"/>
            <w:tcBorders>
              <w:top w:val="nil"/>
              <w:left w:val="nil"/>
              <w:bottom w:val="single" w:sz="4" w:space="0" w:color="auto"/>
              <w:right w:val="single" w:sz="4" w:space="0" w:color="auto"/>
            </w:tcBorders>
            <w:shd w:val="clear" w:color="auto" w:fill="auto"/>
            <w:noWrap/>
            <w:vAlign w:val="center"/>
          </w:tcPr>
          <w:p w14:paraId="66EBB201"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rPr>
              <w:t>163</w:t>
            </w:r>
          </w:p>
        </w:tc>
        <w:tc>
          <w:tcPr>
            <w:tcW w:w="0" w:type="auto"/>
            <w:tcBorders>
              <w:top w:val="nil"/>
              <w:left w:val="nil"/>
              <w:bottom w:val="single" w:sz="4" w:space="0" w:color="auto"/>
              <w:right w:val="single" w:sz="4" w:space="0" w:color="auto"/>
            </w:tcBorders>
            <w:shd w:val="clear" w:color="auto" w:fill="auto"/>
            <w:noWrap/>
            <w:vAlign w:val="center"/>
          </w:tcPr>
          <w:p w14:paraId="7B18D13D" w14:textId="77777777" w:rsidR="00E907D7" w:rsidRPr="00B83846" w:rsidRDefault="00E907D7" w:rsidP="00D61A42">
            <w:pPr>
              <w:tabs>
                <w:tab w:val="decimal" w:pos="524"/>
              </w:tabs>
              <w:rPr>
                <w:rFonts w:cs="Arial"/>
                <w:color w:val="000000"/>
                <w:sz w:val="18"/>
                <w:szCs w:val="18"/>
                <w:lang w:eastAsia="en-GB" w:bidi="ar-SA"/>
              </w:rPr>
            </w:pPr>
            <w:r w:rsidRPr="00832A75">
              <w:rPr>
                <w:rFonts w:cs="Arial"/>
                <w:color w:val="000000"/>
                <w:sz w:val="18"/>
                <w:szCs w:val="18"/>
              </w:rPr>
              <w:t>28</w:t>
            </w:r>
          </w:p>
        </w:tc>
        <w:tc>
          <w:tcPr>
            <w:tcW w:w="0" w:type="auto"/>
            <w:tcBorders>
              <w:top w:val="single" w:sz="4" w:space="0" w:color="auto"/>
              <w:left w:val="nil"/>
              <w:bottom w:val="single" w:sz="4" w:space="0" w:color="auto"/>
              <w:right w:val="single" w:sz="4" w:space="0" w:color="auto"/>
            </w:tcBorders>
            <w:shd w:val="clear" w:color="auto" w:fill="auto"/>
            <w:vAlign w:val="center"/>
          </w:tcPr>
          <w:p w14:paraId="021FFB30" w14:textId="77777777" w:rsidR="00E907D7" w:rsidRPr="00B83846" w:rsidRDefault="00E907D7" w:rsidP="00D61A42">
            <w:pPr>
              <w:tabs>
                <w:tab w:val="decimal" w:pos="653"/>
              </w:tabs>
              <w:rPr>
                <w:rFonts w:cs="Arial"/>
                <w:color w:val="000000"/>
                <w:sz w:val="18"/>
                <w:szCs w:val="18"/>
              </w:rPr>
            </w:pPr>
            <w:r w:rsidRPr="00832A75">
              <w:rPr>
                <w:rFonts w:cs="Arial"/>
                <w:color w:val="000000"/>
                <w:sz w:val="18"/>
                <w:szCs w:val="18"/>
              </w:rPr>
              <w:t>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FF414D1" w14:textId="77777777" w:rsidR="00E907D7" w:rsidRPr="00B83846" w:rsidRDefault="00E907D7" w:rsidP="00E907D7">
            <w:pPr>
              <w:tabs>
                <w:tab w:val="decimal" w:pos="794"/>
              </w:tabs>
              <w:rPr>
                <w:rFonts w:cs="Arial"/>
                <w:color w:val="000000"/>
                <w:sz w:val="18"/>
                <w:szCs w:val="18"/>
                <w:lang w:eastAsia="en-GB" w:bidi="ar-SA"/>
              </w:rPr>
            </w:pPr>
            <w:r w:rsidRPr="00832A75">
              <w:rPr>
                <w:rFonts w:cs="Arial"/>
                <w:color w:val="000000"/>
                <w:sz w:val="18"/>
                <w:szCs w:val="18"/>
              </w:rPr>
              <w:t>381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CF4821" w14:textId="77777777" w:rsidR="00E907D7" w:rsidRPr="00B83846" w:rsidRDefault="00E907D7" w:rsidP="00D61A42">
            <w:pPr>
              <w:tabs>
                <w:tab w:val="decimal" w:pos="610"/>
              </w:tabs>
              <w:rPr>
                <w:rFonts w:cs="Arial"/>
                <w:color w:val="000000"/>
                <w:sz w:val="18"/>
                <w:szCs w:val="18"/>
                <w:lang w:eastAsia="en-GB" w:bidi="ar-SA"/>
              </w:rPr>
            </w:pPr>
            <w:r w:rsidRPr="00832A75">
              <w:rPr>
                <w:rFonts w:cs="Arial"/>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0EFF4B" w14:textId="77777777" w:rsidR="00E907D7" w:rsidRPr="00B83846" w:rsidRDefault="00E907D7" w:rsidP="00D61A42">
            <w:pPr>
              <w:tabs>
                <w:tab w:val="decimal" w:pos="642"/>
              </w:tabs>
              <w:rPr>
                <w:rFonts w:cs="Arial"/>
                <w:color w:val="000000"/>
                <w:sz w:val="18"/>
                <w:szCs w:val="18"/>
              </w:rPr>
            </w:pPr>
            <w:r w:rsidRPr="00832A75">
              <w:rPr>
                <w:rFonts w:cs="Arial"/>
                <w:color w:val="000000"/>
                <w:sz w:val="18"/>
                <w:szCs w:val="18"/>
              </w:rPr>
              <w:t>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264A9E7" w14:textId="77777777" w:rsidR="00E907D7" w:rsidRPr="00B83846" w:rsidRDefault="00E907D7" w:rsidP="00E907D7">
            <w:pPr>
              <w:tabs>
                <w:tab w:val="decimal" w:pos="794"/>
              </w:tabs>
              <w:rPr>
                <w:rFonts w:cs="Arial"/>
                <w:color w:val="000000"/>
                <w:sz w:val="18"/>
                <w:szCs w:val="18"/>
                <w:lang w:eastAsia="en-GB" w:bidi="ar-SA"/>
              </w:rPr>
            </w:pPr>
            <w:r w:rsidRPr="00832A75">
              <w:rPr>
                <w:rFonts w:cs="Arial"/>
                <w:color w:val="000000"/>
                <w:sz w:val="18"/>
                <w:szCs w:val="18"/>
              </w:rPr>
              <w:t>828</w:t>
            </w:r>
          </w:p>
        </w:tc>
      </w:tr>
      <w:tr w:rsidR="00E907D7" w:rsidRPr="00B83846" w14:paraId="263646A5" w14:textId="77777777" w:rsidTr="003B0C9C">
        <w:trPr>
          <w:cantSplit/>
        </w:trPr>
        <w:tc>
          <w:tcPr>
            <w:tcW w:w="0" w:type="auto"/>
            <w:tcBorders>
              <w:top w:val="single" w:sz="4" w:space="0" w:color="auto"/>
              <w:left w:val="single" w:sz="4" w:space="0" w:color="auto"/>
              <w:right w:val="single" w:sz="4" w:space="0" w:color="auto"/>
            </w:tcBorders>
            <w:shd w:val="clear" w:color="auto" w:fill="auto"/>
            <w:vAlign w:val="center"/>
            <w:hideMark/>
          </w:tcPr>
          <w:p w14:paraId="7D4D8DC3" w14:textId="77777777" w:rsidR="00E907D7" w:rsidRPr="00B83846" w:rsidRDefault="00E907D7" w:rsidP="00E907D7">
            <w:pPr>
              <w:keepNext/>
              <w:keepLines/>
              <w:widowControl/>
              <w:spacing w:before="40" w:after="40"/>
              <w:rPr>
                <w:rFonts w:cs="Arial"/>
                <w:color w:val="000000"/>
                <w:sz w:val="18"/>
                <w:szCs w:val="18"/>
                <w:lang w:eastAsia="en-GB" w:bidi="ar-SA"/>
              </w:rPr>
            </w:pPr>
            <w:r w:rsidRPr="00B83846">
              <w:rPr>
                <w:rFonts w:cs="Arial"/>
                <w:color w:val="000000"/>
                <w:sz w:val="18"/>
                <w:szCs w:val="18"/>
                <w:lang w:eastAsia="en-GB" w:bidi="ar-SA"/>
              </w:rPr>
              <w:lastRenderedPageBreak/>
              <w:t>Australia</w:t>
            </w:r>
            <w:r w:rsidRPr="00B83846">
              <w:rPr>
                <w:rFonts w:cs="Arial"/>
                <w:sz w:val="18"/>
                <w:szCs w:val="18"/>
                <w:vertAlign w:val="superscript"/>
              </w:rPr>
              <w:sym w:font="Wingdings 3" w:char="F073"/>
            </w:r>
          </w:p>
        </w:tc>
        <w:tc>
          <w:tcPr>
            <w:tcW w:w="0" w:type="auto"/>
            <w:tcBorders>
              <w:top w:val="single" w:sz="4" w:space="0" w:color="auto"/>
              <w:left w:val="nil"/>
              <w:right w:val="single" w:sz="4" w:space="0" w:color="auto"/>
            </w:tcBorders>
            <w:shd w:val="clear" w:color="auto" w:fill="auto"/>
            <w:vAlign w:val="center"/>
            <w:hideMark/>
          </w:tcPr>
          <w:p w14:paraId="2344623C" w14:textId="77777777" w:rsidR="00E907D7" w:rsidRPr="00B83846" w:rsidRDefault="00E907D7" w:rsidP="00E907D7">
            <w:pPr>
              <w:keepNext/>
              <w:keepLines/>
              <w:widowControl/>
              <w:spacing w:before="40" w:after="40"/>
              <w:rPr>
                <w:rFonts w:cs="Arial"/>
                <w:color w:val="000000"/>
                <w:sz w:val="18"/>
                <w:szCs w:val="18"/>
                <w:lang w:eastAsia="en-GB" w:bidi="ar-SA"/>
              </w:rPr>
            </w:pPr>
            <w:r w:rsidRPr="00B83846">
              <w:rPr>
                <w:rFonts w:cs="Arial"/>
                <w:color w:val="000000"/>
                <w:sz w:val="18"/>
                <w:szCs w:val="18"/>
                <w:lang w:eastAsia="en-GB" w:bidi="ar-SA"/>
              </w:rPr>
              <w:t>General</w:t>
            </w:r>
          </w:p>
        </w:tc>
        <w:tc>
          <w:tcPr>
            <w:tcW w:w="0" w:type="auto"/>
            <w:tcBorders>
              <w:top w:val="nil"/>
              <w:left w:val="nil"/>
              <w:bottom w:val="single" w:sz="4" w:space="0" w:color="auto"/>
              <w:right w:val="single" w:sz="4" w:space="0" w:color="auto"/>
            </w:tcBorders>
            <w:shd w:val="clear" w:color="auto" w:fill="auto"/>
            <w:vAlign w:val="center"/>
            <w:hideMark/>
          </w:tcPr>
          <w:p w14:paraId="11795CF5" w14:textId="77777777" w:rsidR="00E907D7" w:rsidRPr="00B83846" w:rsidRDefault="00E907D7" w:rsidP="00E907D7">
            <w:pPr>
              <w:keepNext/>
              <w:keepLines/>
              <w:widowControl/>
              <w:spacing w:before="40" w:after="40"/>
              <w:rPr>
                <w:rFonts w:cs="Arial"/>
                <w:color w:val="000000"/>
                <w:sz w:val="18"/>
                <w:szCs w:val="18"/>
                <w:lang w:eastAsia="en-GB" w:bidi="ar-SA"/>
              </w:rPr>
            </w:pPr>
            <w:r w:rsidRPr="00B83846">
              <w:rPr>
                <w:rFonts w:cs="Arial"/>
                <w:color w:val="000000"/>
                <w:sz w:val="18"/>
                <w:szCs w:val="18"/>
                <w:lang w:eastAsia="en-GB" w:bidi="ar-SA"/>
              </w:rPr>
              <w:t>2-6 years</w:t>
            </w:r>
          </w:p>
        </w:tc>
        <w:tc>
          <w:tcPr>
            <w:tcW w:w="0" w:type="auto"/>
            <w:tcBorders>
              <w:top w:val="nil"/>
              <w:left w:val="nil"/>
              <w:bottom w:val="single" w:sz="4" w:space="0" w:color="auto"/>
              <w:right w:val="single" w:sz="4" w:space="0" w:color="auto"/>
            </w:tcBorders>
            <w:shd w:val="clear" w:color="auto" w:fill="auto"/>
            <w:noWrap/>
            <w:vAlign w:val="center"/>
          </w:tcPr>
          <w:p w14:paraId="77EFEF94" w14:textId="77777777" w:rsidR="00E907D7" w:rsidRPr="00B83846" w:rsidRDefault="00E907D7" w:rsidP="00E907D7">
            <w:pPr>
              <w:keepNext/>
              <w:keepLines/>
              <w:widowControl/>
              <w:tabs>
                <w:tab w:val="decimal" w:pos="977"/>
              </w:tabs>
              <w:spacing w:before="40" w:after="40"/>
              <w:rPr>
                <w:rFonts w:cs="Arial"/>
                <w:color w:val="000000"/>
                <w:sz w:val="18"/>
                <w:szCs w:val="18"/>
                <w:lang w:eastAsia="en-GB" w:bidi="ar-SA"/>
              </w:rPr>
            </w:pPr>
            <w:r w:rsidRPr="00B83846">
              <w:rPr>
                <w:rFonts w:cs="Arial"/>
                <w:color w:val="000000"/>
                <w:sz w:val="18"/>
                <w:szCs w:val="18"/>
              </w:rPr>
              <w:t>779</w:t>
            </w:r>
          </w:p>
        </w:tc>
        <w:tc>
          <w:tcPr>
            <w:tcW w:w="0" w:type="auto"/>
            <w:tcBorders>
              <w:top w:val="nil"/>
              <w:left w:val="nil"/>
              <w:bottom w:val="single" w:sz="4" w:space="0" w:color="auto"/>
              <w:right w:val="single" w:sz="4" w:space="0" w:color="auto"/>
            </w:tcBorders>
            <w:shd w:val="clear" w:color="auto" w:fill="auto"/>
            <w:noWrap/>
            <w:vAlign w:val="center"/>
          </w:tcPr>
          <w:p w14:paraId="4AC6F308" w14:textId="77777777" w:rsidR="00E907D7" w:rsidRPr="00B83846" w:rsidRDefault="00E907D7" w:rsidP="00D61A42">
            <w:pPr>
              <w:keepNext/>
              <w:keepLines/>
              <w:widowControl/>
              <w:tabs>
                <w:tab w:val="decimal" w:pos="524"/>
              </w:tabs>
              <w:spacing w:before="40" w:after="40"/>
              <w:rPr>
                <w:rFonts w:cs="Arial"/>
                <w:color w:val="000000"/>
                <w:sz w:val="18"/>
                <w:szCs w:val="18"/>
                <w:lang w:eastAsia="en-GB" w:bidi="ar-SA"/>
              </w:rPr>
            </w:pPr>
            <w:r w:rsidRPr="00832A75">
              <w:rPr>
                <w:rFonts w:cs="Arial"/>
                <w:color w:val="000000"/>
                <w:sz w:val="18"/>
                <w:szCs w:val="18"/>
              </w:rPr>
              <w:t>38</w:t>
            </w:r>
          </w:p>
        </w:tc>
        <w:tc>
          <w:tcPr>
            <w:tcW w:w="0" w:type="auto"/>
            <w:tcBorders>
              <w:top w:val="single" w:sz="4" w:space="0" w:color="auto"/>
              <w:left w:val="nil"/>
              <w:bottom w:val="single" w:sz="4" w:space="0" w:color="auto"/>
              <w:right w:val="single" w:sz="4" w:space="0" w:color="auto"/>
            </w:tcBorders>
            <w:vAlign w:val="center"/>
          </w:tcPr>
          <w:p w14:paraId="4D6653E5" w14:textId="77777777" w:rsidR="00E907D7" w:rsidRPr="00B83846" w:rsidRDefault="00E907D7" w:rsidP="00D61A42">
            <w:pPr>
              <w:keepNext/>
              <w:keepLines/>
              <w:widowControl/>
              <w:tabs>
                <w:tab w:val="decimal" w:pos="653"/>
              </w:tabs>
              <w:spacing w:before="40" w:after="40"/>
              <w:rPr>
                <w:rFonts w:cs="Arial"/>
                <w:color w:val="000000"/>
                <w:sz w:val="18"/>
                <w:szCs w:val="18"/>
              </w:rPr>
            </w:pPr>
            <w:r w:rsidRPr="00832A75">
              <w:rPr>
                <w:rFonts w:cs="Arial"/>
                <w:color w:val="000000"/>
                <w:sz w:val="18"/>
                <w:szCs w:val="18"/>
              </w:rPr>
              <w:t>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AD57CC" w14:textId="77777777" w:rsidR="00E907D7" w:rsidRPr="00B83846" w:rsidRDefault="00E907D7" w:rsidP="00E907D7">
            <w:pPr>
              <w:keepNext/>
              <w:keepLines/>
              <w:widowControl/>
              <w:tabs>
                <w:tab w:val="decimal" w:pos="794"/>
              </w:tabs>
              <w:spacing w:before="40" w:after="40"/>
              <w:rPr>
                <w:rFonts w:cs="Arial"/>
                <w:color w:val="000000"/>
                <w:sz w:val="18"/>
                <w:szCs w:val="18"/>
                <w:lang w:eastAsia="en-GB" w:bidi="ar-SA"/>
              </w:rPr>
            </w:pPr>
            <w:r w:rsidRPr="00832A75">
              <w:rPr>
                <w:rFonts w:cs="Arial"/>
                <w:color w:val="000000"/>
                <w:sz w:val="18"/>
                <w:szCs w:val="18"/>
              </w:rPr>
              <w:t>295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A0E249F" w14:textId="77777777" w:rsidR="00E907D7" w:rsidRPr="00B83846" w:rsidRDefault="00E907D7" w:rsidP="00D61A42">
            <w:pPr>
              <w:keepNext/>
              <w:keepLines/>
              <w:widowControl/>
              <w:tabs>
                <w:tab w:val="decimal" w:pos="610"/>
              </w:tabs>
              <w:spacing w:before="40" w:after="40"/>
              <w:rPr>
                <w:rFonts w:cs="Arial"/>
                <w:color w:val="000000"/>
                <w:sz w:val="18"/>
                <w:szCs w:val="18"/>
                <w:lang w:eastAsia="en-GB" w:bidi="ar-SA"/>
              </w:rPr>
            </w:pPr>
            <w:r w:rsidRPr="00832A75">
              <w:rPr>
                <w:rFonts w:cs="Arial"/>
                <w:color w:val="000000"/>
                <w:sz w:val="18"/>
                <w:szCs w:val="18"/>
              </w:rPr>
              <w:t>80</w:t>
            </w:r>
          </w:p>
        </w:tc>
        <w:tc>
          <w:tcPr>
            <w:tcW w:w="0" w:type="auto"/>
            <w:tcBorders>
              <w:top w:val="single" w:sz="4" w:space="0" w:color="auto"/>
              <w:left w:val="single" w:sz="4" w:space="0" w:color="auto"/>
              <w:bottom w:val="single" w:sz="4" w:space="0" w:color="auto"/>
              <w:right w:val="single" w:sz="4" w:space="0" w:color="auto"/>
            </w:tcBorders>
            <w:vAlign w:val="center"/>
          </w:tcPr>
          <w:p w14:paraId="4B9FB6BC" w14:textId="77777777" w:rsidR="00E907D7" w:rsidRPr="00B83846" w:rsidRDefault="00E907D7" w:rsidP="00D61A42">
            <w:pPr>
              <w:keepNext/>
              <w:keepLines/>
              <w:widowControl/>
              <w:tabs>
                <w:tab w:val="decimal" w:pos="642"/>
              </w:tabs>
              <w:spacing w:before="40" w:after="40"/>
              <w:rPr>
                <w:rFonts w:cs="Arial"/>
                <w:color w:val="000000"/>
                <w:sz w:val="18"/>
                <w:szCs w:val="18"/>
              </w:rPr>
            </w:pPr>
            <w:r w:rsidRPr="00832A75">
              <w:rPr>
                <w:rFonts w:cs="Arial"/>
                <w:color w:val="000000"/>
                <w:sz w:val="18"/>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932355F" w14:textId="77777777" w:rsidR="00E907D7" w:rsidRPr="00B83846" w:rsidRDefault="00E907D7" w:rsidP="00E907D7">
            <w:pPr>
              <w:keepNext/>
              <w:keepLines/>
              <w:widowControl/>
              <w:tabs>
                <w:tab w:val="decimal" w:pos="794"/>
              </w:tabs>
              <w:spacing w:before="40" w:after="40"/>
              <w:rPr>
                <w:rFonts w:cs="Arial"/>
                <w:color w:val="000000"/>
                <w:sz w:val="18"/>
                <w:szCs w:val="18"/>
                <w:lang w:eastAsia="en-GB" w:bidi="ar-SA"/>
              </w:rPr>
            </w:pPr>
            <w:r w:rsidRPr="00832A75">
              <w:rPr>
                <w:rFonts w:cs="Arial"/>
                <w:color w:val="000000"/>
                <w:sz w:val="18"/>
                <w:szCs w:val="18"/>
              </w:rPr>
              <w:t>601</w:t>
            </w:r>
          </w:p>
        </w:tc>
      </w:tr>
      <w:tr w:rsidR="00E907D7" w:rsidRPr="00B83846" w14:paraId="193338D0" w14:textId="77777777" w:rsidTr="003B0C9C">
        <w:trPr>
          <w:cantSplit/>
        </w:trPr>
        <w:tc>
          <w:tcPr>
            <w:tcW w:w="0" w:type="auto"/>
            <w:tcBorders>
              <w:top w:val="nil"/>
              <w:left w:val="single" w:sz="4" w:space="0" w:color="auto"/>
              <w:right w:val="single" w:sz="4" w:space="0" w:color="auto"/>
            </w:tcBorders>
            <w:shd w:val="clear" w:color="auto" w:fill="auto"/>
            <w:vAlign w:val="center"/>
          </w:tcPr>
          <w:p w14:paraId="0B40E636" w14:textId="08DEDA01" w:rsidR="00E907D7" w:rsidRPr="00B83846" w:rsidRDefault="00ED504E" w:rsidP="00E907D7">
            <w:pPr>
              <w:keepNext/>
              <w:keepLines/>
              <w:widowControl/>
              <w:spacing w:before="40" w:after="40"/>
              <w:rPr>
                <w:rFonts w:cs="Arial"/>
                <w:color w:val="000000"/>
                <w:sz w:val="18"/>
                <w:szCs w:val="18"/>
                <w:lang w:eastAsia="en-GB" w:bidi="ar-SA"/>
              </w:rPr>
            </w:pPr>
            <w:r>
              <w:rPr>
                <w:sz w:val="16"/>
                <w:szCs w:val="16"/>
              </w:rPr>
              <w:t>consumption data from</w:t>
            </w:r>
            <w:r w:rsidRPr="00B83846">
              <w:rPr>
                <w:sz w:val="16"/>
                <w:szCs w:val="16"/>
              </w:rPr>
              <w:t xml:space="preserve"> on Day 1 respondents only</w:t>
            </w:r>
          </w:p>
        </w:tc>
        <w:tc>
          <w:tcPr>
            <w:tcW w:w="0" w:type="auto"/>
            <w:tcBorders>
              <w:top w:val="nil"/>
              <w:left w:val="nil"/>
              <w:right w:val="single" w:sz="4" w:space="0" w:color="auto"/>
            </w:tcBorders>
            <w:shd w:val="clear" w:color="auto" w:fill="auto"/>
            <w:vAlign w:val="center"/>
          </w:tcPr>
          <w:p w14:paraId="53CC56EB" w14:textId="77777777" w:rsidR="00E907D7" w:rsidRPr="00B83846" w:rsidRDefault="00E907D7" w:rsidP="00E907D7">
            <w:pPr>
              <w:keepNext/>
              <w:keepLines/>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612F6324" w14:textId="77777777" w:rsidR="00E907D7" w:rsidRPr="00B83846" w:rsidRDefault="00E907D7" w:rsidP="00E907D7">
            <w:pPr>
              <w:keepNext/>
              <w:keepLines/>
              <w:widowControl/>
              <w:spacing w:before="40" w:after="40"/>
              <w:rPr>
                <w:rFonts w:cs="Arial"/>
                <w:color w:val="000000"/>
                <w:sz w:val="18"/>
                <w:szCs w:val="18"/>
                <w:lang w:eastAsia="en-GB" w:bidi="ar-SA"/>
              </w:rPr>
            </w:pPr>
            <w:r w:rsidRPr="00B83846">
              <w:rPr>
                <w:rFonts w:cs="Arial"/>
                <w:color w:val="000000"/>
                <w:sz w:val="18"/>
                <w:szCs w:val="18"/>
                <w:lang w:eastAsia="en-GB" w:bidi="ar-SA"/>
              </w:rPr>
              <w:t>7-17 years</w:t>
            </w:r>
          </w:p>
        </w:tc>
        <w:tc>
          <w:tcPr>
            <w:tcW w:w="0" w:type="auto"/>
            <w:tcBorders>
              <w:top w:val="nil"/>
              <w:left w:val="nil"/>
              <w:bottom w:val="single" w:sz="4" w:space="0" w:color="auto"/>
              <w:right w:val="single" w:sz="4" w:space="0" w:color="auto"/>
            </w:tcBorders>
            <w:shd w:val="clear" w:color="auto" w:fill="auto"/>
            <w:noWrap/>
            <w:vAlign w:val="center"/>
          </w:tcPr>
          <w:p w14:paraId="71FB39E3" w14:textId="77777777" w:rsidR="00E907D7" w:rsidRPr="00B83846" w:rsidRDefault="00E907D7" w:rsidP="00E907D7">
            <w:pPr>
              <w:keepNext/>
              <w:keepLines/>
              <w:widowControl/>
              <w:tabs>
                <w:tab w:val="decimal" w:pos="977"/>
              </w:tabs>
              <w:spacing w:before="40" w:after="40"/>
              <w:rPr>
                <w:rFonts w:cs="Arial"/>
                <w:color w:val="000000"/>
                <w:sz w:val="18"/>
                <w:szCs w:val="18"/>
                <w:lang w:eastAsia="en-GB" w:bidi="ar-SA"/>
              </w:rPr>
            </w:pPr>
            <w:r w:rsidRPr="00B83846">
              <w:rPr>
                <w:rFonts w:cs="Arial"/>
                <w:color w:val="000000"/>
                <w:sz w:val="18"/>
                <w:szCs w:val="18"/>
              </w:rPr>
              <w:t>1,753</w:t>
            </w:r>
          </w:p>
        </w:tc>
        <w:tc>
          <w:tcPr>
            <w:tcW w:w="0" w:type="auto"/>
            <w:tcBorders>
              <w:top w:val="nil"/>
              <w:left w:val="nil"/>
              <w:bottom w:val="single" w:sz="4" w:space="0" w:color="auto"/>
              <w:right w:val="single" w:sz="4" w:space="0" w:color="auto"/>
            </w:tcBorders>
            <w:shd w:val="clear" w:color="auto" w:fill="auto"/>
            <w:noWrap/>
            <w:vAlign w:val="center"/>
          </w:tcPr>
          <w:p w14:paraId="4DE8A330" w14:textId="77777777" w:rsidR="00E907D7" w:rsidRPr="00B83846" w:rsidRDefault="00E907D7" w:rsidP="00D61A42">
            <w:pPr>
              <w:keepNext/>
              <w:keepLines/>
              <w:widowControl/>
              <w:tabs>
                <w:tab w:val="decimal" w:pos="524"/>
              </w:tabs>
              <w:spacing w:before="40" w:after="40"/>
              <w:rPr>
                <w:rFonts w:cs="Arial"/>
                <w:color w:val="000000"/>
                <w:sz w:val="18"/>
                <w:szCs w:val="18"/>
                <w:lang w:eastAsia="en-GB" w:bidi="ar-SA"/>
              </w:rPr>
            </w:pPr>
            <w:r w:rsidRPr="00832A75">
              <w:rPr>
                <w:rFonts w:cs="Arial"/>
                <w:color w:val="000000"/>
                <w:sz w:val="18"/>
                <w:szCs w:val="18"/>
              </w:rPr>
              <w:t>60</w:t>
            </w:r>
          </w:p>
        </w:tc>
        <w:tc>
          <w:tcPr>
            <w:tcW w:w="0" w:type="auto"/>
            <w:tcBorders>
              <w:top w:val="single" w:sz="4" w:space="0" w:color="auto"/>
              <w:left w:val="nil"/>
              <w:bottom w:val="single" w:sz="4" w:space="0" w:color="auto"/>
              <w:right w:val="single" w:sz="4" w:space="0" w:color="auto"/>
            </w:tcBorders>
            <w:vAlign w:val="center"/>
          </w:tcPr>
          <w:p w14:paraId="70C94DAA" w14:textId="77777777" w:rsidR="00E907D7" w:rsidRPr="00B83846" w:rsidRDefault="00E907D7" w:rsidP="00D61A42">
            <w:pPr>
              <w:keepNext/>
              <w:keepLines/>
              <w:widowControl/>
              <w:tabs>
                <w:tab w:val="decimal" w:pos="653"/>
              </w:tabs>
              <w:spacing w:before="40" w:after="40"/>
              <w:rPr>
                <w:rFonts w:cs="Arial"/>
                <w:color w:val="000000"/>
                <w:sz w:val="18"/>
                <w:szCs w:val="18"/>
              </w:rPr>
            </w:pPr>
            <w:r w:rsidRPr="00832A75">
              <w:rPr>
                <w:rFonts w:cs="Arial"/>
                <w:color w:val="000000"/>
                <w:sz w:val="18"/>
                <w:szCs w:val="18"/>
              </w:rPr>
              <w:t>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B55BCE" w14:textId="77777777" w:rsidR="00E907D7" w:rsidRPr="00B83846" w:rsidRDefault="00E907D7" w:rsidP="00E907D7">
            <w:pPr>
              <w:keepNext/>
              <w:keepLines/>
              <w:widowControl/>
              <w:tabs>
                <w:tab w:val="decimal" w:pos="794"/>
              </w:tabs>
              <w:spacing w:before="40" w:after="40"/>
              <w:rPr>
                <w:rFonts w:cs="Arial"/>
                <w:color w:val="000000"/>
                <w:sz w:val="18"/>
                <w:szCs w:val="18"/>
                <w:lang w:eastAsia="en-GB" w:bidi="ar-SA"/>
              </w:rPr>
            </w:pPr>
            <w:r w:rsidRPr="00832A75">
              <w:rPr>
                <w:rFonts w:cs="Arial"/>
                <w:color w:val="000000"/>
                <w:sz w:val="18"/>
                <w:szCs w:val="18"/>
              </w:rPr>
              <w:t>458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98FE126" w14:textId="77777777" w:rsidR="00E907D7" w:rsidRPr="00B83846" w:rsidRDefault="00E907D7" w:rsidP="00D61A42">
            <w:pPr>
              <w:keepNext/>
              <w:keepLines/>
              <w:widowControl/>
              <w:tabs>
                <w:tab w:val="decimal" w:pos="610"/>
              </w:tabs>
              <w:spacing w:before="40" w:after="40"/>
              <w:rPr>
                <w:rFonts w:cs="Arial"/>
                <w:color w:val="000000"/>
                <w:sz w:val="18"/>
                <w:szCs w:val="18"/>
                <w:lang w:eastAsia="en-GB" w:bidi="ar-SA"/>
              </w:rPr>
            </w:pPr>
            <w:r w:rsidRPr="00832A75">
              <w:rPr>
                <w:rFonts w:cs="Arial"/>
                <w:color w:val="000000"/>
                <w:sz w:val="18"/>
                <w:szCs w:val="18"/>
              </w:rPr>
              <w:t>136</w:t>
            </w:r>
          </w:p>
        </w:tc>
        <w:tc>
          <w:tcPr>
            <w:tcW w:w="0" w:type="auto"/>
            <w:tcBorders>
              <w:top w:val="single" w:sz="4" w:space="0" w:color="auto"/>
              <w:left w:val="single" w:sz="4" w:space="0" w:color="auto"/>
              <w:bottom w:val="single" w:sz="4" w:space="0" w:color="auto"/>
              <w:right w:val="single" w:sz="4" w:space="0" w:color="auto"/>
            </w:tcBorders>
            <w:vAlign w:val="center"/>
          </w:tcPr>
          <w:p w14:paraId="2FBD5DA0" w14:textId="77777777" w:rsidR="00E907D7" w:rsidRPr="00B83846" w:rsidRDefault="00E907D7" w:rsidP="00D61A42">
            <w:pPr>
              <w:keepNext/>
              <w:keepLines/>
              <w:widowControl/>
              <w:tabs>
                <w:tab w:val="decimal" w:pos="642"/>
              </w:tabs>
              <w:spacing w:before="40" w:after="40"/>
              <w:rPr>
                <w:rFonts w:cs="Arial"/>
                <w:color w:val="000000"/>
                <w:sz w:val="18"/>
                <w:szCs w:val="18"/>
              </w:rPr>
            </w:pPr>
            <w:r w:rsidRPr="00832A75">
              <w:rPr>
                <w:rFonts w:cs="Arial"/>
                <w:color w:val="000000"/>
                <w:sz w:val="18"/>
                <w:szCs w:val="18"/>
              </w:rPr>
              <w:t>137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BD8F68" w14:textId="77777777" w:rsidR="00E907D7" w:rsidRPr="00B83846" w:rsidRDefault="00E907D7" w:rsidP="00E907D7">
            <w:pPr>
              <w:keepNext/>
              <w:keepLines/>
              <w:widowControl/>
              <w:tabs>
                <w:tab w:val="decimal" w:pos="794"/>
              </w:tabs>
              <w:spacing w:before="40" w:after="40"/>
              <w:rPr>
                <w:rFonts w:cs="Arial"/>
                <w:color w:val="000000"/>
                <w:sz w:val="18"/>
                <w:szCs w:val="18"/>
                <w:lang w:eastAsia="en-GB" w:bidi="ar-SA"/>
              </w:rPr>
            </w:pPr>
            <w:r w:rsidRPr="00832A75">
              <w:rPr>
                <w:rFonts w:cs="Arial"/>
                <w:color w:val="000000"/>
                <w:sz w:val="18"/>
                <w:szCs w:val="18"/>
              </w:rPr>
              <w:t>954</w:t>
            </w:r>
          </w:p>
        </w:tc>
      </w:tr>
      <w:tr w:rsidR="00E907D7" w:rsidRPr="00B83846" w14:paraId="2DF19C30" w14:textId="77777777" w:rsidTr="003B0C9C">
        <w:trPr>
          <w:cantSplit/>
        </w:trPr>
        <w:tc>
          <w:tcPr>
            <w:tcW w:w="0" w:type="auto"/>
            <w:tcBorders>
              <w:top w:val="nil"/>
              <w:left w:val="single" w:sz="4" w:space="0" w:color="auto"/>
              <w:right w:val="single" w:sz="4" w:space="0" w:color="auto"/>
            </w:tcBorders>
            <w:shd w:val="clear" w:color="auto" w:fill="auto"/>
            <w:vAlign w:val="center"/>
          </w:tcPr>
          <w:p w14:paraId="5D174799" w14:textId="77777777" w:rsidR="00E907D7" w:rsidRPr="00B83846" w:rsidRDefault="00E907D7" w:rsidP="00E907D7">
            <w:pPr>
              <w:keepNext/>
              <w:keepLines/>
              <w:widowControl/>
              <w:spacing w:before="40" w:after="40"/>
              <w:rPr>
                <w:rFonts w:cs="Arial"/>
                <w:color w:val="000000"/>
                <w:sz w:val="18"/>
                <w:szCs w:val="18"/>
                <w:lang w:eastAsia="en-GB" w:bidi="ar-SA"/>
              </w:rPr>
            </w:pPr>
          </w:p>
        </w:tc>
        <w:tc>
          <w:tcPr>
            <w:tcW w:w="0" w:type="auto"/>
            <w:tcBorders>
              <w:top w:val="nil"/>
              <w:left w:val="nil"/>
              <w:right w:val="single" w:sz="4" w:space="0" w:color="auto"/>
            </w:tcBorders>
            <w:shd w:val="clear" w:color="auto" w:fill="auto"/>
            <w:vAlign w:val="center"/>
          </w:tcPr>
          <w:p w14:paraId="61228FB9" w14:textId="77777777" w:rsidR="00E907D7" w:rsidRPr="00B83846" w:rsidRDefault="00E907D7" w:rsidP="00E907D7">
            <w:pPr>
              <w:keepNext/>
              <w:keepLines/>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05F08F91" w14:textId="77777777" w:rsidR="00E907D7" w:rsidRPr="00B83846" w:rsidRDefault="00E907D7" w:rsidP="00E907D7">
            <w:pPr>
              <w:keepNext/>
              <w:keepLines/>
              <w:widowControl/>
              <w:spacing w:before="40" w:after="40"/>
              <w:rPr>
                <w:rFonts w:cs="Arial"/>
                <w:color w:val="000000"/>
                <w:sz w:val="18"/>
                <w:szCs w:val="18"/>
                <w:lang w:eastAsia="en-GB" w:bidi="ar-SA"/>
              </w:rPr>
            </w:pPr>
            <w:r w:rsidRPr="00B83846">
              <w:rPr>
                <w:rFonts w:cs="Arial"/>
                <w:color w:val="000000"/>
                <w:sz w:val="18"/>
                <w:szCs w:val="18"/>
                <w:lang w:eastAsia="en-GB" w:bidi="ar-SA"/>
              </w:rPr>
              <w:t>18-70 years</w:t>
            </w:r>
          </w:p>
        </w:tc>
        <w:tc>
          <w:tcPr>
            <w:tcW w:w="0" w:type="auto"/>
            <w:tcBorders>
              <w:top w:val="nil"/>
              <w:left w:val="nil"/>
              <w:bottom w:val="single" w:sz="4" w:space="0" w:color="auto"/>
              <w:right w:val="single" w:sz="4" w:space="0" w:color="auto"/>
            </w:tcBorders>
            <w:shd w:val="clear" w:color="auto" w:fill="auto"/>
            <w:noWrap/>
            <w:vAlign w:val="center"/>
          </w:tcPr>
          <w:p w14:paraId="78C05B9B" w14:textId="77777777" w:rsidR="00E907D7" w:rsidRPr="00B83846" w:rsidRDefault="00E907D7" w:rsidP="00E907D7">
            <w:pPr>
              <w:keepNext/>
              <w:keepLines/>
              <w:widowControl/>
              <w:tabs>
                <w:tab w:val="decimal" w:pos="977"/>
              </w:tabs>
              <w:spacing w:before="40" w:after="40"/>
              <w:rPr>
                <w:rFonts w:cs="Arial"/>
                <w:color w:val="000000"/>
                <w:sz w:val="18"/>
                <w:szCs w:val="18"/>
                <w:lang w:eastAsia="en-GB" w:bidi="ar-SA"/>
              </w:rPr>
            </w:pPr>
            <w:r w:rsidRPr="00B83846">
              <w:rPr>
                <w:rFonts w:cs="Arial"/>
                <w:color w:val="000000"/>
                <w:sz w:val="18"/>
                <w:szCs w:val="18"/>
              </w:rPr>
              <w:t>8,595</w:t>
            </w:r>
          </w:p>
        </w:tc>
        <w:tc>
          <w:tcPr>
            <w:tcW w:w="0" w:type="auto"/>
            <w:tcBorders>
              <w:top w:val="nil"/>
              <w:left w:val="nil"/>
              <w:bottom w:val="single" w:sz="4" w:space="0" w:color="auto"/>
              <w:right w:val="single" w:sz="4" w:space="0" w:color="auto"/>
            </w:tcBorders>
            <w:shd w:val="clear" w:color="auto" w:fill="auto"/>
            <w:noWrap/>
            <w:vAlign w:val="center"/>
          </w:tcPr>
          <w:p w14:paraId="0687306A" w14:textId="77777777" w:rsidR="00E907D7" w:rsidRPr="00B83846" w:rsidRDefault="00E907D7" w:rsidP="00D61A42">
            <w:pPr>
              <w:keepNext/>
              <w:keepLines/>
              <w:widowControl/>
              <w:tabs>
                <w:tab w:val="decimal" w:pos="524"/>
              </w:tabs>
              <w:spacing w:before="40" w:after="40"/>
              <w:rPr>
                <w:rFonts w:cs="Arial"/>
                <w:color w:val="000000"/>
                <w:sz w:val="18"/>
                <w:szCs w:val="18"/>
                <w:lang w:eastAsia="en-GB" w:bidi="ar-SA"/>
              </w:rPr>
            </w:pPr>
            <w:r w:rsidRPr="00832A75">
              <w:rPr>
                <w:rFonts w:cs="Arial"/>
                <w:color w:val="000000"/>
                <w:sz w:val="18"/>
                <w:szCs w:val="18"/>
              </w:rPr>
              <w:t>72</w:t>
            </w:r>
          </w:p>
        </w:tc>
        <w:tc>
          <w:tcPr>
            <w:tcW w:w="0" w:type="auto"/>
            <w:tcBorders>
              <w:top w:val="single" w:sz="4" w:space="0" w:color="auto"/>
              <w:left w:val="nil"/>
              <w:bottom w:val="single" w:sz="4" w:space="0" w:color="auto"/>
              <w:right w:val="single" w:sz="4" w:space="0" w:color="auto"/>
            </w:tcBorders>
            <w:vAlign w:val="center"/>
          </w:tcPr>
          <w:p w14:paraId="0B590397" w14:textId="77777777" w:rsidR="00E907D7" w:rsidRPr="00B83846" w:rsidRDefault="00E907D7" w:rsidP="00D61A42">
            <w:pPr>
              <w:keepNext/>
              <w:keepLines/>
              <w:widowControl/>
              <w:tabs>
                <w:tab w:val="decimal" w:pos="653"/>
              </w:tabs>
              <w:spacing w:before="40" w:after="40"/>
              <w:rPr>
                <w:rFonts w:cs="Arial"/>
                <w:color w:val="000000"/>
                <w:sz w:val="18"/>
                <w:szCs w:val="18"/>
              </w:rPr>
            </w:pPr>
            <w:r w:rsidRPr="00832A75">
              <w:rPr>
                <w:rFonts w:cs="Arial"/>
                <w:color w:val="000000"/>
                <w:sz w:val="18"/>
                <w:szCs w:val="18"/>
              </w:rPr>
              <w:t>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0EB6A5B" w14:textId="77777777" w:rsidR="00E907D7" w:rsidRPr="00B83846" w:rsidRDefault="00E907D7" w:rsidP="00E907D7">
            <w:pPr>
              <w:keepNext/>
              <w:keepLines/>
              <w:widowControl/>
              <w:tabs>
                <w:tab w:val="decimal" w:pos="794"/>
              </w:tabs>
              <w:spacing w:before="40" w:after="40"/>
              <w:rPr>
                <w:rFonts w:cs="Arial"/>
                <w:color w:val="000000"/>
                <w:sz w:val="18"/>
                <w:szCs w:val="18"/>
                <w:lang w:eastAsia="en-GB" w:bidi="ar-SA"/>
              </w:rPr>
            </w:pPr>
            <w:r w:rsidRPr="00832A75">
              <w:rPr>
                <w:rFonts w:cs="Arial"/>
                <w:color w:val="000000"/>
                <w:sz w:val="18"/>
                <w:szCs w:val="18"/>
              </w:rPr>
              <w:t>470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25C0F3C" w14:textId="77777777" w:rsidR="00E907D7" w:rsidRPr="00B83846" w:rsidRDefault="00E907D7" w:rsidP="00D61A42">
            <w:pPr>
              <w:keepNext/>
              <w:keepLines/>
              <w:widowControl/>
              <w:tabs>
                <w:tab w:val="decimal" w:pos="610"/>
              </w:tabs>
              <w:spacing w:before="40" w:after="40"/>
              <w:rPr>
                <w:rFonts w:cs="Arial"/>
                <w:color w:val="000000"/>
                <w:sz w:val="18"/>
                <w:szCs w:val="18"/>
                <w:lang w:eastAsia="en-GB" w:bidi="ar-SA"/>
              </w:rPr>
            </w:pPr>
            <w:r w:rsidRPr="00832A75">
              <w:rPr>
                <w:rFonts w:cs="Arial"/>
                <w:color w:val="000000"/>
                <w:sz w:val="18"/>
                <w:szCs w:val="18"/>
              </w:rPr>
              <w:t>161</w:t>
            </w:r>
          </w:p>
        </w:tc>
        <w:tc>
          <w:tcPr>
            <w:tcW w:w="0" w:type="auto"/>
            <w:tcBorders>
              <w:top w:val="single" w:sz="4" w:space="0" w:color="auto"/>
              <w:left w:val="single" w:sz="4" w:space="0" w:color="auto"/>
              <w:bottom w:val="single" w:sz="4" w:space="0" w:color="auto"/>
              <w:right w:val="single" w:sz="4" w:space="0" w:color="auto"/>
            </w:tcBorders>
            <w:vAlign w:val="center"/>
          </w:tcPr>
          <w:p w14:paraId="70C1331B" w14:textId="77777777" w:rsidR="00E907D7" w:rsidRPr="00B83846" w:rsidRDefault="00E907D7" w:rsidP="00D61A42">
            <w:pPr>
              <w:keepNext/>
              <w:keepLines/>
              <w:widowControl/>
              <w:tabs>
                <w:tab w:val="decimal" w:pos="642"/>
              </w:tabs>
              <w:spacing w:before="40" w:after="40"/>
              <w:rPr>
                <w:rFonts w:cs="Arial"/>
                <w:color w:val="000000"/>
                <w:sz w:val="18"/>
                <w:szCs w:val="18"/>
              </w:rPr>
            </w:pPr>
            <w:r w:rsidRPr="00832A75">
              <w:rPr>
                <w:rFonts w:cs="Arial"/>
                <w:color w:val="000000"/>
                <w:sz w:val="18"/>
                <w:szCs w:val="18"/>
              </w:rPr>
              <w:t>175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D2897F" w14:textId="77777777" w:rsidR="00E907D7" w:rsidRPr="00B83846" w:rsidRDefault="00E907D7" w:rsidP="00E907D7">
            <w:pPr>
              <w:keepNext/>
              <w:keepLines/>
              <w:widowControl/>
              <w:tabs>
                <w:tab w:val="decimal" w:pos="794"/>
              </w:tabs>
              <w:spacing w:before="40" w:after="40"/>
              <w:rPr>
                <w:rFonts w:cs="Arial"/>
                <w:color w:val="000000"/>
                <w:sz w:val="18"/>
                <w:szCs w:val="18"/>
                <w:lang w:eastAsia="en-GB" w:bidi="ar-SA"/>
              </w:rPr>
            </w:pPr>
            <w:r w:rsidRPr="00832A75">
              <w:rPr>
                <w:rFonts w:cs="Arial"/>
                <w:color w:val="000000"/>
                <w:sz w:val="18"/>
                <w:szCs w:val="18"/>
              </w:rPr>
              <w:t>1,111</w:t>
            </w:r>
          </w:p>
        </w:tc>
      </w:tr>
      <w:tr w:rsidR="00E907D7" w:rsidRPr="00B83846" w14:paraId="70A2157F" w14:textId="77777777" w:rsidTr="003B0C9C">
        <w:trPr>
          <w:cantSplit/>
        </w:trPr>
        <w:tc>
          <w:tcPr>
            <w:tcW w:w="0" w:type="auto"/>
            <w:tcBorders>
              <w:top w:val="nil"/>
              <w:left w:val="single" w:sz="4" w:space="0" w:color="auto"/>
              <w:right w:val="single" w:sz="4" w:space="0" w:color="auto"/>
            </w:tcBorders>
            <w:shd w:val="clear" w:color="auto" w:fill="auto"/>
            <w:vAlign w:val="center"/>
          </w:tcPr>
          <w:p w14:paraId="2901A91E" w14:textId="77777777" w:rsidR="00E907D7" w:rsidRPr="00B83846" w:rsidRDefault="00E907D7" w:rsidP="00E907D7">
            <w:pPr>
              <w:keepNext/>
              <w:keepLines/>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tcPr>
          <w:p w14:paraId="3FC1A8E8" w14:textId="77777777" w:rsidR="00E907D7" w:rsidRPr="00B83846" w:rsidRDefault="00E907D7" w:rsidP="00E907D7">
            <w:pPr>
              <w:keepNext/>
              <w:keepLines/>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0379B14A" w14:textId="77777777" w:rsidR="00E907D7" w:rsidRPr="00B83846" w:rsidRDefault="00E907D7" w:rsidP="00E907D7">
            <w:pPr>
              <w:keepNext/>
              <w:keepLines/>
              <w:widowControl/>
              <w:spacing w:before="40" w:after="40"/>
              <w:rPr>
                <w:rFonts w:cs="Arial"/>
                <w:color w:val="000000"/>
                <w:sz w:val="18"/>
                <w:szCs w:val="18"/>
                <w:lang w:eastAsia="en-GB" w:bidi="ar-SA"/>
              </w:rPr>
            </w:pPr>
            <w:r w:rsidRPr="00B83846">
              <w:rPr>
                <w:rFonts w:cs="Arial"/>
                <w:color w:val="000000"/>
                <w:sz w:val="18"/>
                <w:szCs w:val="18"/>
                <w:lang w:eastAsia="en-GB" w:bidi="ar-SA"/>
              </w:rPr>
              <w:t>2 years and above</w:t>
            </w:r>
          </w:p>
        </w:tc>
        <w:tc>
          <w:tcPr>
            <w:tcW w:w="0" w:type="auto"/>
            <w:tcBorders>
              <w:top w:val="nil"/>
              <w:left w:val="nil"/>
              <w:bottom w:val="single" w:sz="4" w:space="0" w:color="auto"/>
              <w:right w:val="single" w:sz="4" w:space="0" w:color="auto"/>
            </w:tcBorders>
            <w:shd w:val="clear" w:color="auto" w:fill="auto"/>
            <w:noWrap/>
            <w:vAlign w:val="center"/>
          </w:tcPr>
          <w:p w14:paraId="6E9311A9" w14:textId="77777777" w:rsidR="00E907D7" w:rsidRPr="00B83846" w:rsidRDefault="00E907D7" w:rsidP="00E907D7">
            <w:pPr>
              <w:keepNext/>
              <w:keepLines/>
              <w:widowControl/>
              <w:tabs>
                <w:tab w:val="decimal" w:pos="977"/>
              </w:tabs>
              <w:spacing w:before="40" w:after="40"/>
              <w:rPr>
                <w:rFonts w:cs="Arial"/>
                <w:color w:val="000000"/>
                <w:sz w:val="18"/>
                <w:szCs w:val="18"/>
                <w:lang w:eastAsia="en-GB" w:bidi="ar-SA"/>
              </w:rPr>
            </w:pPr>
            <w:r w:rsidRPr="00B83846">
              <w:rPr>
                <w:rFonts w:cs="Arial"/>
                <w:color w:val="000000"/>
                <w:sz w:val="18"/>
                <w:szCs w:val="18"/>
              </w:rPr>
              <w:t>12,149</w:t>
            </w:r>
          </w:p>
        </w:tc>
        <w:tc>
          <w:tcPr>
            <w:tcW w:w="0" w:type="auto"/>
            <w:tcBorders>
              <w:top w:val="nil"/>
              <w:left w:val="nil"/>
              <w:bottom w:val="single" w:sz="4" w:space="0" w:color="auto"/>
              <w:right w:val="single" w:sz="4" w:space="0" w:color="auto"/>
            </w:tcBorders>
            <w:shd w:val="clear" w:color="auto" w:fill="auto"/>
            <w:noWrap/>
            <w:vAlign w:val="center"/>
          </w:tcPr>
          <w:p w14:paraId="1B197FED" w14:textId="77777777" w:rsidR="00E907D7" w:rsidRPr="00B83846" w:rsidRDefault="00E907D7" w:rsidP="00D61A42">
            <w:pPr>
              <w:keepNext/>
              <w:keepLines/>
              <w:tabs>
                <w:tab w:val="decimal" w:pos="524"/>
              </w:tabs>
              <w:rPr>
                <w:rFonts w:cs="Arial"/>
                <w:color w:val="000000"/>
                <w:sz w:val="18"/>
                <w:szCs w:val="18"/>
              </w:rPr>
            </w:pPr>
            <w:r w:rsidRPr="00832A75">
              <w:rPr>
                <w:rFonts w:cs="Arial"/>
                <w:color w:val="000000"/>
                <w:sz w:val="18"/>
                <w:szCs w:val="18"/>
              </w:rPr>
              <w:t>67</w:t>
            </w:r>
          </w:p>
        </w:tc>
        <w:tc>
          <w:tcPr>
            <w:tcW w:w="0" w:type="auto"/>
            <w:tcBorders>
              <w:top w:val="single" w:sz="4" w:space="0" w:color="auto"/>
              <w:left w:val="nil"/>
              <w:bottom w:val="single" w:sz="4" w:space="0" w:color="auto"/>
              <w:right w:val="single" w:sz="4" w:space="0" w:color="auto"/>
            </w:tcBorders>
            <w:vAlign w:val="center"/>
          </w:tcPr>
          <w:p w14:paraId="3C4D6091" w14:textId="77777777" w:rsidR="00E907D7" w:rsidRPr="00B83846" w:rsidRDefault="00E907D7" w:rsidP="00D61A42">
            <w:pPr>
              <w:keepNext/>
              <w:keepLines/>
              <w:tabs>
                <w:tab w:val="decimal" w:pos="653"/>
              </w:tabs>
              <w:rPr>
                <w:rFonts w:cs="Arial"/>
                <w:color w:val="000000"/>
                <w:sz w:val="18"/>
                <w:szCs w:val="18"/>
              </w:rPr>
            </w:pPr>
            <w:r w:rsidRPr="00832A75">
              <w:rPr>
                <w:rFonts w:cs="Arial"/>
                <w:color w:val="000000"/>
                <w:sz w:val="18"/>
                <w:szCs w:val="18"/>
              </w:rPr>
              <w:t>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7E80B9" w14:textId="77777777" w:rsidR="00E907D7" w:rsidRPr="00B83846" w:rsidRDefault="00E907D7" w:rsidP="00E907D7">
            <w:pPr>
              <w:keepNext/>
              <w:keepLines/>
              <w:tabs>
                <w:tab w:val="decimal" w:pos="794"/>
              </w:tabs>
              <w:rPr>
                <w:rFonts w:cs="Arial"/>
                <w:color w:val="000000"/>
                <w:sz w:val="18"/>
                <w:szCs w:val="18"/>
                <w:lang w:eastAsia="en-GB" w:bidi="ar-SA"/>
              </w:rPr>
            </w:pPr>
            <w:r w:rsidRPr="00832A75">
              <w:rPr>
                <w:rFonts w:cs="Arial"/>
                <w:color w:val="000000"/>
                <w:sz w:val="18"/>
                <w:szCs w:val="18"/>
              </w:rPr>
              <w:t>442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31D488C" w14:textId="77777777" w:rsidR="00E907D7" w:rsidRPr="00B83846" w:rsidRDefault="00E907D7" w:rsidP="00D61A42">
            <w:pPr>
              <w:keepNext/>
              <w:keepLines/>
              <w:tabs>
                <w:tab w:val="decimal" w:pos="610"/>
              </w:tabs>
              <w:rPr>
                <w:rFonts w:cs="Arial"/>
                <w:color w:val="000000"/>
                <w:sz w:val="18"/>
                <w:szCs w:val="18"/>
                <w:lang w:eastAsia="en-GB" w:bidi="ar-SA"/>
              </w:rPr>
            </w:pPr>
            <w:r w:rsidRPr="00832A75">
              <w:rPr>
                <w:rFonts w:cs="Arial"/>
                <w:color w:val="000000"/>
                <w:sz w:val="18"/>
                <w:szCs w:val="18"/>
              </w:rPr>
              <w:t>152</w:t>
            </w:r>
          </w:p>
        </w:tc>
        <w:tc>
          <w:tcPr>
            <w:tcW w:w="0" w:type="auto"/>
            <w:tcBorders>
              <w:top w:val="single" w:sz="4" w:space="0" w:color="auto"/>
              <w:left w:val="single" w:sz="4" w:space="0" w:color="auto"/>
              <w:bottom w:val="single" w:sz="4" w:space="0" w:color="auto"/>
              <w:right w:val="single" w:sz="4" w:space="0" w:color="auto"/>
            </w:tcBorders>
            <w:vAlign w:val="center"/>
          </w:tcPr>
          <w:p w14:paraId="0574E8C5" w14:textId="77777777" w:rsidR="00E907D7" w:rsidRPr="00B83846" w:rsidRDefault="00E907D7" w:rsidP="00D61A42">
            <w:pPr>
              <w:keepNext/>
              <w:keepLines/>
              <w:tabs>
                <w:tab w:val="decimal" w:pos="642"/>
              </w:tabs>
              <w:rPr>
                <w:rFonts w:cs="Arial"/>
                <w:color w:val="000000"/>
                <w:sz w:val="18"/>
                <w:szCs w:val="18"/>
                <w:lang w:eastAsia="en-GB" w:bidi="ar-SA"/>
              </w:rPr>
            </w:pPr>
            <w:r w:rsidRPr="00832A75">
              <w:rPr>
                <w:rFonts w:cs="Arial"/>
                <w:color w:val="000000"/>
                <w:sz w:val="18"/>
                <w:szCs w:val="18"/>
              </w:rPr>
              <w:t>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129319" w14:textId="77777777" w:rsidR="00E907D7" w:rsidRPr="00B83846" w:rsidRDefault="00E907D7" w:rsidP="00E907D7">
            <w:pPr>
              <w:keepNext/>
              <w:keepLines/>
              <w:tabs>
                <w:tab w:val="decimal" w:pos="794"/>
              </w:tabs>
              <w:rPr>
                <w:rFonts w:cs="Arial"/>
                <w:color w:val="000000"/>
                <w:sz w:val="18"/>
                <w:szCs w:val="18"/>
                <w:lang w:eastAsia="en-GB" w:bidi="ar-SA"/>
              </w:rPr>
            </w:pPr>
            <w:r w:rsidRPr="00832A75">
              <w:rPr>
                <w:rFonts w:cs="Arial"/>
                <w:color w:val="000000"/>
                <w:sz w:val="18"/>
                <w:szCs w:val="18"/>
                <w:lang w:eastAsia="en-GB" w:bidi="ar-SA"/>
              </w:rPr>
              <w:t>1,015</w:t>
            </w:r>
          </w:p>
        </w:tc>
      </w:tr>
      <w:tr w:rsidR="00E907D7" w:rsidRPr="00B83846" w14:paraId="0B5BB6BD" w14:textId="77777777" w:rsidTr="003B0C9C">
        <w:trPr>
          <w:cantSplit/>
        </w:trPr>
        <w:tc>
          <w:tcPr>
            <w:tcW w:w="0" w:type="auto"/>
            <w:tcBorders>
              <w:left w:val="single" w:sz="4" w:space="0" w:color="auto"/>
              <w:right w:val="single" w:sz="4" w:space="0" w:color="auto"/>
            </w:tcBorders>
            <w:shd w:val="clear" w:color="auto" w:fill="auto"/>
            <w:vAlign w:val="center"/>
          </w:tcPr>
          <w:p w14:paraId="151FAD3D" w14:textId="77777777" w:rsidR="00E907D7" w:rsidRPr="00B83846" w:rsidRDefault="00E907D7" w:rsidP="00E907D7">
            <w:pPr>
              <w:keepNext/>
              <w:keepLines/>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7B45B9A0" w14:textId="77777777" w:rsidR="00E907D7" w:rsidRPr="00B83846" w:rsidRDefault="00E907D7" w:rsidP="00E907D7">
            <w:pPr>
              <w:keepNext/>
              <w:keepLines/>
              <w:spacing w:before="40" w:after="40"/>
              <w:rPr>
                <w:rFonts w:cs="Arial"/>
                <w:color w:val="000000"/>
                <w:sz w:val="18"/>
                <w:szCs w:val="18"/>
                <w:lang w:eastAsia="en-GB" w:bidi="ar-SA"/>
              </w:rPr>
            </w:pPr>
            <w:r w:rsidRPr="00B83846">
              <w:rPr>
                <w:rFonts w:cs="Arial"/>
                <w:color w:val="000000"/>
                <w:sz w:val="18"/>
                <w:szCs w:val="18"/>
                <w:lang w:eastAsia="en-GB" w:bidi="ar-SA"/>
              </w:rPr>
              <w:t>Elderly</w:t>
            </w:r>
          </w:p>
        </w:tc>
        <w:tc>
          <w:tcPr>
            <w:tcW w:w="0" w:type="auto"/>
            <w:tcBorders>
              <w:top w:val="nil"/>
              <w:left w:val="nil"/>
              <w:bottom w:val="single" w:sz="4" w:space="0" w:color="auto"/>
              <w:right w:val="single" w:sz="4" w:space="0" w:color="auto"/>
            </w:tcBorders>
            <w:shd w:val="clear" w:color="auto" w:fill="auto"/>
            <w:vAlign w:val="center"/>
            <w:hideMark/>
          </w:tcPr>
          <w:p w14:paraId="3CEF1F5E" w14:textId="77777777" w:rsidR="00E907D7" w:rsidRPr="00B83846" w:rsidRDefault="00E907D7" w:rsidP="00E907D7">
            <w:pPr>
              <w:keepNext/>
              <w:keepLines/>
              <w:spacing w:before="40" w:after="40"/>
              <w:rPr>
                <w:rFonts w:cs="Arial"/>
                <w:color w:val="000000"/>
                <w:sz w:val="18"/>
                <w:szCs w:val="18"/>
                <w:lang w:eastAsia="en-GB" w:bidi="ar-SA"/>
              </w:rPr>
            </w:pPr>
            <w:r w:rsidRPr="00B83846">
              <w:rPr>
                <w:rFonts w:cs="Arial"/>
                <w:color w:val="000000"/>
                <w:sz w:val="18"/>
                <w:szCs w:val="18"/>
                <w:lang w:eastAsia="en-GB" w:bidi="ar-SA"/>
              </w:rPr>
              <w:t>71 years and above</w:t>
            </w:r>
          </w:p>
        </w:tc>
        <w:tc>
          <w:tcPr>
            <w:tcW w:w="0" w:type="auto"/>
            <w:tcBorders>
              <w:top w:val="nil"/>
              <w:left w:val="nil"/>
              <w:bottom w:val="single" w:sz="4" w:space="0" w:color="auto"/>
              <w:right w:val="single" w:sz="4" w:space="0" w:color="auto"/>
            </w:tcBorders>
            <w:shd w:val="clear" w:color="auto" w:fill="auto"/>
            <w:noWrap/>
            <w:vAlign w:val="center"/>
          </w:tcPr>
          <w:p w14:paraId="3C9336E2" w14:textId="77777777" w:rsidR="00E907D7" w:rsidRPr="00B83846" w:rsidRDefault="00E907D7" w:rsidP="00E907D7">
            <w:pPr>
              <w:keepNext/>
              <w:keepLines/>
              <w:tabs>
                <w:tab w:val="decimal" w:pos="977"/>
              </w:tabs>
              <w:spacing w:before="40" w:after="40"/>
              <w:rPr>
                <w:rFonts w:cs="Arial"/>
                <w:color w:val="000000"/>
                <w:sz w:val="18"/>
                <w:szCs w:val="18"/>
                <w:lang w:eastAsia="en-GB" w:bidi="ar-SA"/>
              </w:rPr>
            </w:pPr>
            <w:r w:rsidRPr="00B83846">
              <w:rPr>
                <w:rFonts w:cs="Arial"/>
                <w:color w:val="000000"/>
                <w:sz w:val="18"/>
                <w:szCs w:val="18"/>
              </w:rPr>
              <w:t>1,023</w:t>
            </w:r>
          </w:p>
        </w:tc>
        <w:tc>
          <w:tcPr>
            <w:tcW w:w="0" w:type="auto"/>
            <w:tcBorders>
              <w:top w:val="nil"/>
              <w:left w:val="nil"/>
              <w:bottom w:val="single" w:sz="4" w:space="0" w:color="auto"/>
              <w:right w:val="single" w:sz="4" w:space="0" w:color="auto"/>
            </w:tcBorders>
            <w:shd w:val="clear" w:color="auto" w:fill="auto"/>
            <w:noWrap/>
            <w:vAlign w:val="center"/>
          </w:tcPr>
          <w:p w14:paraId="76AD5EDB" w14:textId="77777777" w:rsidR="00E907D7" w:rsidRPr="00B83846" w:rsidRDefault="00E907D7" w:rsidP="00D61A42">
            <w:pPr>
              <w:keepNext/>
              <w:keepLines/>
              <w:tabs>
                <w:tab w:val="decimal" w:pos="524"/>
              </w:tabs>
              <w:rPr>
                <w:rFonts w:cs="Arial"/>
                <w:color w:val="000000"/>
                <w:sz w:val="18"/>
                <w:szCs w:val="18"/>
                <w:lang w:eastAsia="en-GB" w:bidi="ar-SA"/>
              </w:rPr>
            </w:pPr>
            <w:r w:rsidRPr="00832A75">
              <w:rPr>
                <w:rFonts w:cs="Arial"/>
                <w:color w:val="000000"/>
                <w:sz w:val="18"/>
                <w:szCs w:val="18"/>
              </w:rPr>
              <w:t>57</w:t>
            </w:r>
          </w:p>
        </w:tc>
        <w:tc>
          <w:tcPr>
            <w:tcW w:w="0" w:type="auto"/>
            <w:tcBorders>
              <w:top w:val="single" w:sz="4" w:space="0" w:color="auto"/>
              <w:left w:val="nil"/>
              <w:bottom w:val="single" w:sz="4" w:space="0" w:color="auto"/>
              <w:right w:val="single" w:sz="4" w:space="0" w:color="auto"/>
            </w:tcBorders>
            <w:vAlign w:val="center"/>
          </w:tcPr>
          <w:p w14:paraId="741CE0D4" w14:textId="77777777" w:rsidR="00E907D7" w:rsidRPr="00B83846" w:rsidRDefault="00E907D7" w:rsidP="00D61A42">
            <w:pPr>
              <w:keepNext/>
              <w:keepLines/>
              <w:tabs>
                <w:tab w:val="decimal" w:pos="653"/>
              </w:tabs>
              <w:rPr>
                <w:rFonts w:cs="Arial"/>
                <w:color w:val="000000"/>
                <w:sz w:val="18"/>
                <w:szCs w:val="18"/>
              </w:rPr>
            </w:pPr>
            <w:r w:rsidRPr="00832A75">
              <w:rPr>
                <w:rFonts w:cs="Arial"/>
                <w:color w:val="000000"/>
                <w:sz w:val="18"/>
                <w:szCs w:val="18"/>
              </w:rPr>
              <w:t>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2EA2D2A" w14:textId="77777777" w:rsidR="00E907D7" w:rsidRPr="00B83846" w:rsidRDefault="00E907D7" w:rsidP="00E907D7">
            <w:pPr>
              <w:keepNext/>
              <w:keepLines/>
              <w:tabs>
                <w:tab w:val="decimal" w:pos="794"/>
              </w:tabs>
              <w:rPr>
                <w:rFonts w:cs="Arial"/>
                <w:color w:val="000000"/>
                <w:sz w:val="18"/>
                <w:szCs w:val="18"/>
                <w:lang w:eastAsia="en-GB" w:bidi="ar-SA"/>
              </w:rPr>
            </w:pPr>
            <w:r w:rsidRPr="00832A75">
              <w:rPr>
                <w:rFonts w:cs="Arial"/>
                <w:color w:val="000000"/>
                <w:sz w:val="18"/>
                <w:szCs w:val="18"/>
              </w:rPr>
              <w:t>285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D35962" w14:textId="77777777" w:rsidR="00E907D7" w:rsidRPr="00B83846" w:rsidRDefault="00E907D7" w:rsidP="00D61A42">
            <w:pPr>
              <w:keepNext/>
              <w:keepLines/>
              <w:tabs>
                <w:tab w:val="decimal" w:pos="610"/>
              </w:tabs>
              <w:rPr>
                <w:rFonts w:cs="Arial"/>
                <w:color w:val="000000"/>
                <w:sz w:val="18"/>
                <w:szCs w:val="18"/>
                <w:lang w:eastAsia="en-GB" w:bidi="ar-SA"/>
              </w:rPr>
            </w:pPr>
            <w:r w:rsidRPr="00832A75">
              <w:rPr>
                <w:rFonts w:cs="Arial"/>
                <w:color w:val="000000"/>
                <w:sz w:val="18"/>
                <w:szCs w:val="18"/>
              </w:rPr>
              <w:t>133</w:t>
            </w:r>
          </w:p>
        </w:tc>
        <w:tc>
          <w:tcPr>
            <w:tcW w:w="0" w:type="auto"/>
            <w:tcBorders>
              <w:top w:val="single" w:sz="4" w:space="0" w:color="auto"/>
              <w:left w:val="single" w:sz="4" w:space="0" w:color="auto"/>
              <w:bottom w:val="single" w:sz="4" w:space="0" w:color="auto"/>
              <w:right w:val="single" w:sz="4" w:space="0" w:color="auto"/>
            </w:tcBorders>
            <w:vAlign w:val="center"/>
          </w:tcPr>
          <w:p w14:paraId="1318D620" w14:textId="77777777" w:rsidR="00E907D7" w:rsidRPr="00B83846" w:rsidRDefault="00E907D7" w:rsidP="00D61A42">
            <w:pPr>
              <w:keepNext/>
              <w:keepLines/>
              <w:tabs>
                <w:tab w:val="decimal" w:pos="642"/>
              </w:tabs>
              <w:rPr>
                <w:rFonts w:cs="Arial"/>
                <w:color w:val="000000"/>
                <w:sz w:val="18"/>
                <w:szCs w:val="18"/>
              </w:rPr>
            </w:pPr>
            <w:r w:rsidRPr="00832A75">
              <w:rPr>
                <w:rFonts w:cs="Arial"/>
                <w:color w:val="000000"/>
                <w:sz w:val="18"/>
                <w:szCs w:val="18"/>
              </w:rPr>
              <w:t>133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ADB5514" w14:textId="77777777" w:rsidR="00E907D7" w:rsidRPr="00B83846" w:rsidRDefault="00E907D7" w:rsidP="00E907D7">
            <w:pPr>
              <w:keepNext/>
              <w:keepLines/>
              <w:tabs>
                <w:tab w:val="decimal" w:pos="794"/>
              </w:tabs>
              <w:rPr>
                <w:rFonts w:cs="Arial"/>
                <w:color w:val="000000"/>
                <w:sz w:val="18"/>
                <w:szCs w:val="18"/>
                <w:lang w:eastAsia="en-GB" w:bidi="ar-SA"/>
              </w:rPr>
            </w:pPr>
            <w:r w:rsidRPr="00832A75">
              <w:rPr>
                <w:rFonts w:cs="Arial"/>
                <w:color w:val="000000"/>
                <w:sz w:val="18"/>
                <w:szCs w:val="18"/>
              </w:rPr>
              <w:t>665</w:t>
            </w:r>
          </w:p>
        </w:tc>
      </w:tr>
      <w:tr w:rsidR="00E907D7" w:rsidRPr="00B83846" w14:paraId="689AB1B6" w14:textId="77777777" w:rsidTr="003B0C9C">
        <w:trPr>
          <w:cantSplit/>
        </w:trPr>
        <w:tc>
          <w:tcPr>
            <w:tcW w:w="0" w:type="auto"/>
            <w:tcBorders>
              <w:top w:val="nil"/>
              <w:left w:val="single" w:sz="4" w:space="0" w:color="auto"/>
              <w:right w:val="single" w:sz="4" w:space="0" w:color="auto"/>
            </w:tcBorders>
            <w:shd w:val="clear" w:color="auto" w:fill="auto"/>
            <w:vAlign w:val="center"/>
          </w:tcPr>
          <w:p w14:paraId="587E154D" w14:textId="77777777" w:rsidR="00E907D7" w:rsidRPr="00B83846" w:rsidRDefault="00E907D7" w:rsidP="00E907D7">
            <w:pPr>
              <w:keepNext/>
              <w:keepLines/>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7803FDFD" w14:textId="77777777" w:rsidR="00E907D7" w:rsidRPr="00B83846" w:rsidRDefault="00E907D7" w:rsidP="00E907D7">
            <w:pPr>
              <w:keepNext/>
              <w:keepLines/>
              <w:spacing w:before="40" w:after="40"/>
              <w:rPr>
                <w:rFonts w:cs="Arial"/>
                <w:color w:val="000000"/>
                <w:sz w:val="18"/>
                <w:szCs w:val="18"/>
                <w:lang w:eastAsia="en-GB" w:bidi="ar-SA"/>
              </w:rPr>
            </w:pPr>
            <w:r w:rsidRPr="00B83846">
              <w:rPr>
                <w:rFonts w:cs="Arial"/>
                <w:color w:val="000000"/>
                <w:sz w:val="18"/>
                <w:szCs w:val="18"/>
                <w:lang w:eastAsia="en-GB" w:bidi="ar-SA"/>
              </w:rPr>
              <w:t>People who consume sports foods/beverages</w:t>
            </w:r>
          </w:p>
        </w:tc>
        <w:tc>
          <w:tcPr>
            <w:tcW w:w="0" w:type="auto"/>
            <w:tcBorders>
              <w:top w:val="nil"/>
              <w:left w:val="nil"/>
              <w:bottom w:val="single" w:sz="4" w:space="0" w:color="auto"/>
              <w:right w:val="single" w:sz="4" w:space="0" w:color="auto"/>
            </w:tcBorders>
            <w:shd w:val="clear" w:color="auto" w:fill="auto"/>
            <w:vAlign w:val="center"/>
            <w:hideMark/>
          </w:tcPr>
          <w:p w14:paraId="4C33DD01" w14:textId="77777777" w:rsidR="00E907D7" w:rsidRPr="00B83846" w:rsidRDefault="00E907D7" w:rsidP="00E907D7">
            <w:pPr>
              <w:keepNext/>
              <w:keepLines/>
              <w:spacing w:before="40" w:after="40"/>
              <w:rPr>
                <w:rFonts w:cs="Arial"/>
                <w:color w:val="000000"/>
                <w:sz w:val="18"/>
                <w:szCs w:val="18"/>
                <w:lang w:eastAsia="en-GB" w:bidi="ar-SA"/>
              </w:rPr>
            </w:pPr>
            <w:r w:rsidRPr="00B83846">
              <w:rPr>
                <w:rFonts w:cs="Arial"/>
                <w:color w:val="000000"/>
                <w:sz w:val="18"/>
                <w:szCs w:val="18"/>
                <w:lang w:eastAsia="en-GB" w:bidi="ar-SA"/>
              </w:rPr>
              <w:t>2 years and above</w:t>
            </w:r>
          </w:p>
        </w:tc>
        <w:tc>
          <w:tcPr>
            <w:tcW w:w="0" w:type="auto"/>
            <w:tcBorders>
              <w:top w:val="nil"/>
              <w:left w:val="nil"/>
              <w:bottom w:val="single" w:sz="4" w:space="0" w:color="auto"/>
              <w:right w:val="single" w:sz="4" w:space="0" w:color="auto"/>
            </w:tcBorders>
            <w:shd w:val="clear" w:color="auto" w:fill="auto"/>
            <w:noWrap/>
            <w:vAlign w:val="center"/>
          </w:tcPr>
          <w:p w14:paraId="7CB24035" w14:textId="77777777" w:rsidR="00E907D7" w:rsidRPr="00B83846" w:rsidRDefault="00E907D7" w:rsidP="00E907D7">
            <w:pPr>
              <w:keepNext/>
              <w:keepLines/>
              <w:tabs>
                <w:tab w:val="decimal" w:pos="977"/>
              </w:tabs>
              <w:spacing w:before="40" w:after="40"/>
              <w:rPr>
                <w:rFonts w:cs="Arial"/>
                <w:color w:val="000000"/>
                <w:sz w:val="18"/>
                <w:szCs w:val="18"/>
                <w:lang w:eastAsia="en-GB" w:bidi="ar-SA"/>
              </w:rPr>
            </w:pPr>
            <w:r w:rsidRPr="00832A75">
              <w:rPr>
                <w:rFonts w:cs="Arial"/>
                <w:color w:val="000000"/>
                <w:sz w:val="18"/>
                <w:szCs w:val="18"/>
              </w:rPr>
              <w:t>463</w:t>
            </w:r>
          </w:p>
        </w:tc>
        <w:tc>
          <w:tcPr>
            <w:tcW w:w="0" w:type="auto"/>
            <w:tcBorders>
              <w:top w:val="nil"/>
              <w:left w:val="nil"/>
              <w:bottom w:val="single" w:sz="4" w:space="0" w:color="auto"/>
              <w:right w:val="single" w:sz="4" w:space="0" w:color="auto"/>
            </w:tcBorders>
            <w:shd w:val="clear" w:color="auto" w:fill="auto"/>
            <w:noWrap/>
            <w:vAlign w:val="center"/>
          </w:tcPr>
          <w:p w14:paraId="5D563115" w14:textId="77777777" w:rsidR="00E907D7" w:rsidRPr="00B83846" w:rsidRDefault="00E907D7" w:rsidP="00D61A42">
            <w:pPr>
              <w:keepNext/>
              <w:keepLines/>
              <w:tabs>
                <w:tab w:val="decimal" w:pos="524"/>
              </w:tabs>
              <w:rPr>
                <w:rFonts w:cs="Arial"/>
                <w:color w:val="000000"/>
                <w:sz w:val="18"/>
                <w:szCs w:val="18"/>
                <w:lang w:eastAsia="en-GB" w:bidi="ar-SA"/>
              </w:rPr>
            </w:pPr>
            <w:r w:rsidRPr="00832A75">
              <w:rPr>
                <w:rFonts w:cs="Arial"/>
                <w:color w:val="000000"/>
                <w:sz w:val="18"/>
                <w:szCs w:val="18"/>
              </w:rPr>
              <w:t>187</w:t>
            </w:r>
          </w:p>
        </w:tc>
        <w:tc>
          <w:tcPr>
            <w:tcW w:w="0" w:type="auto"/>
            <w:tcBorders>
              <w:top w:val="single" w:sz="4" w:space="0" w:color="auto"/>
              <w:left w:val="nil"/>
              <w:bottom w:val="single" w:sz="4" w:space="0" w:color="auto"/>
              <w:right w:val="single" w:sz="4" w:space="0" w:color="auto"/>
            </w:tcBorders>
            <w:shd w:val="clear" w:color="auto" w:fill="auto"/>
            <w:vAlign w:val="center"/>
          </w:tcPr>
          <w:p w14:paraId="4EA5C7F9" w14:textId="77777777" w:rsidR="00E907D7" w:rsidRPr="00B83846" w:rsidRDefault="00E907D7" w:rsidP="00D61A42">
            <w:pPr>
              <w:keepNext/>
              <w:keepLines/>
              <w:tabs>
                <w:tab w:val="decimal" w:pos="653"/>
              </w:tabs>
              <w:rPr>
                <w:rFonts w:cs="Arial"/>
                <w:color w:val="000000"/>
                <w:sz w:val="18"/>
                <w:szCs w:val="18"/>
              </w:rPr>
            </w:pPr>
            <w:r w:rsidRPr="00832A75">
              <w:rPr>
                <w:rFonts w:cs="Arial"/>
                <w:color w:val="000000"/>
                <w:sz w:val="18"/>
                <w:szCs w:val="18"/>
              </w:rPr>
              <w:t>609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8F57106" w14:textId="77777777" w:rsidR="00E907D7" w:rsidRPr="00832A75" w:rsidRDefault="00E907D7" w:rsidP="00E907D7">
            <w:pPr>
              <w:keepNext/>
              <w:keepLines/>
              <w:tabs>
                <w:tab w:val="decimal" w:pos="794"/>
              </w:tabs>
              <w:rPr>
                <w:rFonts w:cs="Arial"/>
                <w:color w:val="000000"/>
                <w:sz w:val="18"/>
                <w:szCs w:val="18"/>
                <w:lang w:eastAsia="en-GB" w:bidi="ar-SA"/>
              </w:rPr>
            </w:pPr>
            <w:r w:rsidRPr="00832A75">
              <w:rPr>
                <w:rFonts w:cs="Arial"/>
                <w:color w:val="000000"/>
                <w:sz w:val="18"/>
                <w:szCs w:val="18"/>
              </w:rPr>
              <w:t>1,054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FDDDA8" w14:textId="77777777" w:rsidR="00E907D7" w:rsidRPr="00832A75" w:rsidRDefault="00E907D7" w:rsidP="00D61A42">
            <w:pPr>
              <w:keepNext/>
              <w:keepLines/>
              <w:tabs>
                <w:tab w:val="decimal" w:pos="610"/>
              </w:tabs>
              <w:rPr>
                <w:rFonts w:cs="Arial"/>
                <w:color w:val="000000"/>
                <w:sz w:val="18"/>
                <w:szCs w:val="18"/>
                <w:lang w:eastAsia="en-GB" w:bidi="ar-SA"/>
              </w:rPr>
            </w:pPr>
            <w:r w:rsidRPr="00832A75">
              <w:rPr>
                <w:rFonts w:cs="Arial"/>
                <w:color w:val="000000"/>
                <w:sz w:val="18"/>
                <w:szCs w:val="18"/>
              </w:rPr>
              <w:t>386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2D2DC7" w14:textId="77777777" w:rsidR="00E907D7" w:rsidRPr="00B83846" w:rsidRDefault="00E907D7" w:rsidP="00D61A42">
            <w:pPr>
              <w:keepNext/>
              <w:keepLines/>
              <w:tabs>
                <w:tab w:val="decimal" w:pos="642"/>
              </w:tabs>
              <w:rPr>
                <w:rFonts w:cs="Arial"/>
                <w:color w:val="000000"/>
                <w:sz w:val="18"/>
                <w:szCs w:val="18"/>
              </w:rPr>
            </w:pPr>
            <w:r w:rsidRPr="00832A75">
              <w:rPr>
                <w:rFonts w:cs="Arial"/>
                <w:color w:val="000000"/>
                <w:sz w:val="18"/>
                <w:szCs w:val="18"/>
              </w:rPr>
              <w:t>1,253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8420A88" w14:textId="77777777" w:rsidR="00E907D7" w:rsidRPr="00832A75" w:rsidRDefault="00E907D7" w:rsidP="00E907D7">
            <w:pPr>
              <w:keepNext/>
              <w:keepLines/>
              <w:tabs>
                <w:tab w:val="decimal" w:pos="794"/>
              </w:tabs>
              <w:rPr>
                <w:rFonts w:cs="Arial"/>
                <w:color w:val="000000"/>
                <w:sz w:val="18"/>
                <w:szCs w:val="18"/>
                <w:lang w:eastAsia="en-GB" w:bidi="ar-SA"/>
              </w:rPr>
            </w:pPr>
            <w:r w:rsidRPr="00832A75">
              <w:rPr>
                <w:rFonts w:cs="Arial"/>
                <w:color w:val="000000"/>
                <w:sz w:val="18"/>
                <w:szCs w:val="18"/>
              </w:rPr>
              <w:t>2,048</w:t>
            </w:r>
          </w:p>
        </w:tc>
      </w:tr>
      <w:tr w:rsidR="00E907D7" w:rsidRPr="00B83846" w14:paraId="6A6ED765" w14:textId="77777777" w:rsidTr="003B0C9C">
        <w:trPr>
          <w:cantSplit/>
        </w:trPr>
        <w:tc>
          <w:tcPr>
            <w:tcW w:w="0" w:type="auto"/>
            <w:tcBorders>
              <w:top w:val="nil"/>
              <w:left w:val="single" w:sz="4" w:space="0" w:color="auto"/>
              <w:bottom w:val="nil"/>
              <w:right w:val="single" w:sz="4" w:space="0" w:color="auto"/>
            </w:tcBorders>
            <w:shd w:val="clear" w:color="auto" w:fill="auto"/>
            <w:vAlign w:val="center"/>
          </w:tcPr>
          <w:p w14:paraId="11A076B3" w14:textId="77777777" w:rsidR="00E907D7" w:rsidRPr="00B83846" w:rsidRDefault="00E907D7" w:rsidP="00E907D7">
            <w:pPr>
              <w:keepNext/>
              <w:keepLines/>
              <w:spacing w:before="40" w:after="40"/>
              <w:rPr>
                <w:rFonts w:cs="Arial"/>
                <w:color w:val="000000"/>
                <w:sz w:val="18"/>
                <w:szCs w:val="18"/>
                <w:lang w:eastAsia="en-GB" w:bidi="ar-SA"/>
              </w:rPr>
            </w:pPr>
          </w:p>
        </w:tc>
        <w:tc>
          <w:tcPr>
            <w:tcW w:w="0" w:type="auto"/>
            <w:tcBorders>
              <w:top w:val="nil"/>
              <w:left w:val="nil"/>
              <w:bottom w:val="nil"/>
              <w:right w:val="single" w:sz="4" w:space="0" w:color="auto"/>
            </w:tcBorders>
            <w:shd w:val="clear" w:color="auto" w:fill="auto"/>
            <w:vAlign w:val="center"/>
            <w:hideMark/>
          </w:tcPr>
          <w:p w14:paraId="53F673DD" w14:textId="77777777" w:rsidR="00E907D7" w:rsidRPr="00B83846" w:rsidRDefault="00E907D7" w:rsidP="00E907D7">
            <w:pPr>
              <w:keepNext/>
              <w:keepLines/>
              <w:spacing w:before="40" w:after="40"/>
              <w:rPr>
                <w:rFonts w:cs="Arial"/>
                <w:color w:val="000000"/>
                <w:sz w:val="18"/>
                <w:szCs w:val="18"/>
                <w:lang w:eastAsia="en-GB" w:bidi="ar-SA"/>
              </w:rPr>
            </w:pPr>
            <w:r w:rsidRPr="00B83846">
              <w:rPr>
                <w:rFonts w:cs="Arial"/>
                <w:color w:val="000000"/>
                <w:sz w:val="18"/>
                <w:szCs w:val="18"/>
                <w:lang w:eastAsia="en-GB" w:bidi="ar-SA"/>
              </w:rPr>
              <w:t>People who consume weight management or meal replacement products</w:t>
            </w:r>
          </w:p>
        </w:tc>
        <w:tc>
          <w:tcPr>
            <w:tcW w:w="0" w:type="auto"/>
            <w:tcBorders>
              <w:top w:val="nil"/>
              <w:left w:val="nil"/>
              <w:bottom w:val="nil"/>
              <w:right w:val="single" w:sz="4" w:space="0" w:color="auto"/>
            </w:tcBorders>
            <w:shd w:val="clear" w:color="auto" w:fill="auto"/>
            <w:vAlign w:val="center"/>
            <w:hideMark/>
          </w:tcPr>
          <w:p w14:paraId="30C7C006" w14:textId="77777777" w:rsidR="00E907D7" w:rsidRPr="00B83846" w:rsidRDefault="00E907D7" w:rsidP="00E907D7">
            <w:pPr>
              <w:keepNext/>
              <w:keepLines/>
              <w:spacing w:before="40" w:after="40"/>
              <w:rPr>
                <w:rFonts w:cs="Arial"/>
                <w:color w:val="000000"/>
                <w:sz w:val="18"/>
                <w:szCs w:val="18"/>
                <w:lang w:eastAsia="en-GB" w:bidi="ar-SA"/>
              </w:rPr>
            </w:pPr>
            <w:r w:rsidRPr="00B83846">
              <w:rPr>
                <w:rFonts w:cs="Arial"/>
                <w:color w:val="000000"/>
                <w:sz w:val="18"/>
                <w:szCs w:val="18"/>
                <w:lang w:eastAsia="en-GB" w:bidi="ar-SA"/>
              </w:rPr>
              <w:t>2 years and above</w:t>
            </w:r>
          </w:p>
        </w:tc>
        <w:tc>
          <w:tcPr>
            <w:tcW w:w="0" w:type="auto"/>
            <w:tcBorders>
              <w:top w:val="nil"/>
              <w:left w:val="nil"/>
              <w:bottom w:val="single" w:sz="4" w:space="0" w:color="auto"/>
              <w:right w:val="single" w:sz="4" w:space="0" w:color="auto"/>
            </w:tcBorders>
            <w:shd w:val="clear" w:color="auto" w:fill="auto"/>
            <w:noWrap/>
            <w:vAlign w:val="center"/>
          </w:tcPr>
          <w:p w14:paraId="7A1E7EBE" w14:textId="77777777" w:rsidR="00E907D7" w:rsidRPr="00B83846" w:rsidRDefault="00E907D7" w:rsidP="00E907D7">
            <w:pPr>
              <w:keepNext/>
              <w:keepLines/>
              <w:tabs>
                <w:tab w:val="decimal" w:pos="977"/>
              </w:tabs>
              <w:spacing w:before="40" w:after="40"/>
              <w:rPr>
                <w:rFonts w:cs="Arial"/>
                <w:color w:val="000000"/>
                <w:sz w:val="18"/>
                <w:szCs w:val="18"/>
                <w:lang w:eastAsia="en-GB" w:bidi="ar-SA"/>
              </w:rPr>
            </w:pPr>
            <w:r w:rsidRPr="00832A75">
              <w:rPr>
                <w:rFonts w:cs="Arial"/>
                <w:color w:val="000000"/>
                <w:sz w:val="18"/>
                <w:szCs w:val="18"/>
              </w:rPr>
              <w:t>254</w:t>
            </w:r>
          </w:p>
        </w:tc>
        <w:tc>
          <w:tcPr>
            <w:tcW w:w="0" w:type="auto"/>
            <w:tcBorders>
              <w:top w:val="nil"/>
              <w:left w:val="nil"/>
              <w:bottom w:val="single" w:sz="4" w:space="0" w:color="auto"/>
              <w:right w:val="single" w:sz="4" w:space="0" w:color="auto"/>
            </w:tcBorders>
            <w:shd w:val="clear" w:color="auto" w:fill="auto"/>
            <w:noWrap/>
            <w:vAlign w:val="center"/>
          </w:tcPr>
          <w:p w14:paraId="7EF133AF" w14:textId="77777777" w:rsidR="00E907D7" w:rsidRPr="00B83846" w:rsidRDefault="00E907D7" w:rsidP="00D61A42">
            <w:pPr>
              <w:keepNext/>
              <w:keepLines/>
              <w:tabs>
                <w:tab w:val="decimal" w:pos="524"/>
              </w:tabs>
              <w:rPr>
                <w:rFonts w:cs="Arial"/>
                <w:color w:val="000000"/>
                <w:sz w:val="18"/>
                <w:szCs w:val="18"/>
                <w:lang w:eastAsia="en-GB" w:bidi="ar-SA"/>
              </w:rPr>
            </w:pPr>
            <w:r w:rsidRPr="00832A75">
              <w:rPr>
                <w:rFonts w:cs="Arial"/>
                <w:color w:val="000000"/>
                <w:sz w:val="18"/>
                <w:szCs w:val="18"/>
              </w:rPr>
              <w:t>127</w:t>
            </w:r>
          </w:p>
        </w:tc>
        <w:tc>
          <w:tcPr>
            <w:tcW w:w="0" w:type="auto"/>
            <w:tcBorders>
              <w:top w:val="single" w:sz="4" w:space="0" w:color="auto"/>
              <w:left w:val="nil"/>
              <w:bottom w:val="single" w:sz="4" w:space="0" w:color="auto"/>
              <w:right w:val="single" w:sz="4" w:space="0" w:color="auto"/>
            </w:tcBorders>
            <w:vAlign w:val="center"/>
          </w:tcPr>
          <w:p w14:paraId="0658B9BD" w14:textId="77777777" w:rsidR="00E907D7" w:rsidRPr="00B83846" w:rsidRDefault="00E907D7" w:rsidP="00D61A42">
            <w:pPr>
              <w:keepNext/>
              <w:keepLines/>
              <w:tabs>
                <w:tab w:val="decimal" w:pos="653"/>
              </w:tabs>
              <w:rPr>
                <w:rFonts w:cs="Arial"/>
                <w:color w:val="000000"/>
                <w:sz w:val="18"/>
                <w:szCs w:val="18"/>
              </w:rPr>
            </w:pPr>
            <w:r w:rsidRPr="00832A75">
              <w:rPr>
                <w:rFonts w:cs="Arial"/>
                <w:color w:val="000000"/>
                <w:sz w:val="18"/>
                <w:szCs w:val="18"/>
              </w:rPr>
              <w:t>365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4DA3033" w14:textId="77777777" w:rsidR="00E907D7" w:rsidRPr="00832A75" w:rsidRDefault="00E907D7" w:rsidP="00E907D7">
            <w:pPr>
              <w:keepNext/>
              <w:keepLines/>
              <w:tabs>
                <w:tab w:val="decimal" w:pos="794"/>
              </w:tabs>
              <w:rPr>
                <w:rFonts w:cs="Arial"/>
                <w:color w:val="000000"/>
                <w:sz w:val="18"/>
                <w:szCs w:val="18"/>
                <w:lang w:eastAsia="en-GB" w:bidi="ar-SA"/>
              </w:rPr>
            </w:pPr>
            <w:r w:rsidRPr="00832A75">
              <w:rPr>
                <w:rFonts w:cs="Arial"/>
                <w:color w:val="000000"/>
                <w:sz w:val="18"/>
                <w:szCs w:val="18"/>
              </w:rPr>
              <w:t>752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177D245" w14:textId="77777777" w:rsidR="00E907D7" w:rsidRPr="00832A75" w:rsidRDefault="00E907D7" w:rsidP="00D61A42">
            <w:pPr>
              <w:keepNext/>
              <w:keepLines/>
              <w:tabs>
                <w:tab w:val="decimal" w:pos="610"/>
              </w:tabs>
              <w:rPr>
                <w:rFonts w:cs="Arial"/>
                <w:color w:val="000000"/>
                <w:sz w:val="18"/>
                <w:szCs w:val="18"/>
                <w:lang w:eastAsia="en-GB" w:bidi="ar-SA"/>
              </w:rPr>
            </w:pPr>
            <w:r w:rsidRPr="00832A75">
              <w:rPr>
                <w:rFonts w:cs="Arial"/>
                <w:color w:val="000000"/>
                <w:sz w:val="18"/>
                <w:szCs w:val="18"/>
              </w:rPr>
              <w:t>264</w:t>
            </w:r>
          </w:p>
        </w:tc>
        <w:tc>
          <w:tcPr>
            <w:tcW w:w="0" w:type="auto"/>
            <w:tcBorders>
              <w:top w:val="single" w:sz="4" w:space="0" w:color="auto"/>
              <w:left w:val="single" w:sz="4" w:space="0" w:color="auto"/>
              <w:bottom w:val="single" w:sz="4" w:space="0" w:color="auto"/>
              <w:right w:val="single" w:sz="4" w:space="0" w:color="auto"/>
            </w:tcBorders>
            <w:vAlign w:val="center"/>
          </w:tcPr>
          <w:p w14:paraId="3CCA6E51" w14:textId="77777777" w:rsidR="00E907D7" w:rsidRPr="00B83846" w:rsidRDefault="00E907D7" w:rsidP="00D61A42">
            <w:pPr>
              <w:keepNext/>
              <w:keepLines/>
              <w:tabs>
                <w:tab w:val="decimal" w:pos="642"/>
              </w:tabs>
              <w:rPr>
                <w:rFonts w:cs="Arial"/>
                <w:color w:val="000000"/>
                <w:sz w:val="18"/>
                <w:szCs w:val="18"/>
              </w:rPr>
            </w:pPr>
            <w:r w:rsidRPr="00832A75">
              <w:rPr>
                <w:rFonts w:cs="Arial"/>
                <w:color w:val="000000"/>
                <w:sz w:val="18"/>
                <w:szCs w:val="18"/>
              </w:rPr>
              <w:t>1,034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F6FDAE" w14:textId="77777777" w:rsidR="00E907D7" w:rsidRPr="00832A75" w:rsidRDefault="00E907D7" w:rsidP="00E907D7">
            <w:pPr>
              <w:keepNext/>
              <w:keepLines/>
              <w:tabs>
                <w:tab w:val="decimal" w:pos="794"/>
              </w:tabs>
              <w:rPr>
                <w:rFonts w:cs="Arial"/>
                <w:color w:val="000000"/>
                <w:sz w:val="18"/>
                <w:szCs w:val="18"/>
                <w:lang w:eastAsia="en-GB" w:bidi="ar-SA"/>
              </w:rPr>
            </w:pPr>
            <w:r w:rsidRPr="00832A75">
              <w:rPr>
                <w:rFonts w:cs="Arial"/>
                <w:color w:val="000000"/>
                <w:sz w:val="18"/>
                <w:szCs w:val="18"/>
              </w:rPr>
              <w:t>1,578</w:t>
            </w:r>
          </w:p>
        </w:tc>
      </w:tr>
      <w:tr w:rsidR="00E907D7" w:rsidRPr="00B83846" w14:paraId="4EBF7BC9" w14:textId="77777777" w:rsidTr="003B0C9C">
        <w:trPr>
          <w:cantSplit/>
        </w:trPr>
        <w:tc>
          <w:tcPr>
            <w:tcW w:w="0" w:type="auto"/>
            <w:tcBorders>
              <w:left w:val="single" w:sz="4" w:space="0" w:color="auto"/>
              <w:bottom w:val="single" w:sz="4" w:space="0" w:color="auto"/>
              <w:right w:val="single" w:sz="4" w:space="0" w:color="auto"/>
            </w:tcBorders>
            <w:shd w:val="clear" w:color="auto" w:fill="auto"/>
            <w:vAlign w:val="center"/>
          </w:tcPr>
          <w:p w14:paraId="394A4011" w14:textId="77777777" w:rsidR="00E907D7" w:rsidRPr="00B83846" w:rsidRDefault="00E907D7" w:rsidP="00E907D7">
            <w:pPr>
              <w:keepNext/>
              <w:keepLines/>
              <w:spacing w:before="40" w:after="40"/>
              <w:rPr>
                <w:rFonts w:cs="Arial"/>
                <w:color w:val="000000"/>
                <w:sz w:val="18"/>
                <w:szCs w:val="18"/>
                <w:lang w:eastAsia="en-GB" w:bidi="ar-SA"/>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88A81C" w14:textId="77777777" w:rsidR="00E907D7" w:rsidRPr="00B83846" w:rsidRDefault="00E907D7" w:rsidP="00E907D7">
            <w:pPr>
              <w:keepNext/>
              <w:keepLines/>
              <w:spacing w:before="40" w:after="40"/>
              <w:rPr>
                <w:rFonts w:cs="Arial"/>
                <w:color w:val="000000"/>
                <w:sz w:val="18"/>
                <w:szCs w:val="18"/>
                <w:lang w:eastAsia="en-GB" w:bidi="ar-SA"/>
              </w:rPr>
            </w:pPr>
            <w:r w:rsidRPr="00B83846">
              <w:rPr>
                <w:rFonts w:cs="Arial"/>
                <w:color w:val="000000"/>
                <w:sz w:val="18"/>
                <w:szCs w:val="18"/>
                <w:lang w:eastAsia="en-GB" w:bidi="ar-SA"/>
              </w:rPr>
              <w:t>People who don't eat meat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A63581" w14:textId="77777777" w:rsidR="00E907D7" w:rsidRPr="00B83846" w:rsidRDefault="00E907D7" w:rsidP="00E907D7">
            <w:pPr>
              <w:keepNext/>
              <w:keepLines/>
              <w:spacing w:before="40" w:after="40"/>
              <w:rPr>
                <w:rFonts w:cs="Arial"/>
                <w:color w:val="000000"/>
                <w:sz w:val="18"/>
                <w:szCs w:val="18"/>
                <w:lang w:eastAsia="en-GB" w:bidi="ar-SA"/>
              </w:rPr>
            </w:pPr>
            <w:r w:rsidRPr="00B83846">
              <w:rPr>
                <w:rFonts w:cs="Arial"/>
                <w:color w:val="000000"/>
                <w:sz w:val="18"/>
                <w:szCs w:val="18"/>
                <w:lang w:eastAsia="en-GB" w:bidi="ar-SA"/>
              </w:rPr>
              <w:t>2 years and above</w:t>
            </w:r>
          </w:p>
        </w:tc>
        <w:tc>
          <w:tcPr>
            <w:tcW w:w="0" w:type="auto"/>
            <w:tcBorders>
              <w:top w:val="nil"/>
              <w:left w:val="nil"/>
              <w:bottom w:val="single" w:sz="4" w:space="0" w:color="auto"/>
              <w:right w:val="single" w:sz="4" w:space="0" w:color="auto"/>
            </w:tcBorders>
            <w:shd w:val="clear" w:color="auto" w:fill="auto"/>
            <w:noWrap/>
            <w:vAlign w:val="center"/>
          </w:tcPr>
          <w:p w14:paraId="145F6F1B" w14:textId="77777777" w:rsidR="00E907D7" w:rsidRPr="00787063" w:rsidRDefault="00E907D7" w:rsidP="00E907D7">
            <w:pPr>
              <w:keepNext/>
              <w:keepLines/>
              <w:tabs>
                <w:tab w:val="decimal" w:pos="977"/>
              </w:tabs>
              <w:spacing w:before="40" w:after="40"/>
              <w:rPr>
                <w:rFonts w:cs="Arial"/>
                <w:color w:val="000000"/>
                <w:sz w:val="18"/>
                <w:szCs w:val="18"/>
                <w:highlight w:val="yellow"/>
                <w:lang w:eastAsia="en-GB" w:bidi="ar-SA"/>
              </w:rPr>
            </w:pPr>
            <w:r w:rsidRPr="00787063">
              <w:rPr>
                <w:rFonts w:cs="Arial"/>
                <w:color w:val="000000"/>
                <w:sz w:val="18"/>
                <w:szCs w:val="18"/>
              </w:rPr>
              <w:t>2</w:t>
            </w:r>
            <w:r>
              <w:rPr>
                <w:rFonts w:cs="Arial"/>
                <w:color w:val="000000"/>
                <w:sz w:val="18"/>
                <w:szCs w:val="18"/>
              </w:rPr>
              <w:t>88</w:t>
            </w:r>
          </w:p>
        </w:tc>
        <w:tc>
          <w:tcPr>
            <w:tcW w:w="0" w:type="auto"/>
            <w:tcBorders>
              <w:top w:val="nil"/>
              <w:left w:val="nil"/>
              <w:bottom w:val="single" w:sz="4" w:space="0" w:color="auto"/>
              <w:right w:val="single" w:sz="4" w:space="0" w:color="auto"/>
            </w:tcBorders>
            <w:shd w:val="clear" w:color="auto" w:fill="auto"/>
            <w:noWrap/>
            <w:vAlign w:val="center"/>
          </w:tcPr>
          <w:p w14:paraId="2C361F19" w14:textId="77777777" w:rsidR="00E907D7" w:rsidRPr="00787063" w:rsidRDefault="00E907D7" w:rsidP="00D61A42">
            <w:pPr>
              <w:keepNext/>
              <w:keepLines/>
              <w:tabs>
                <w:tab w:val="decimal" w:pos="524"/>
              </w:tabs>
              <w:rPr>
                <w:rFonts w:cs="Arial"/>
                <w:color w:val="000000"/>
                <w:sz w:val="18"/>
                <w:szCs w:val="18"/>
                <w:highlight w:val="yellow"/>
                <w:lang w:eastAsia="en-GB" w:bidi="ar-SA"/>
              </w:rPr>
            </w:pPr>
            <w:r w:rsidRPr="00787063">
              <w:rPr>
                <w:rFonts w:cs="Arial"/>
                <w:color w:val="000000"/>
                <w:sz w:val="18"/>
                <w:szCs w:val="18"/>
              </w:rPr>
              <w:t>15</w:t>
            </w:r>
          </w:p>
        </w:tc>
        <w:tc>
          <w:tcPr>
            <w:tcW w:w="0" w:type="auto"/>
            <w:tcBorders>
              <w:top w:val="single" w:sz="4" w:space="0" w:color="auto"/>
              <w:left w:val="nil"/>
              <w:bottom w:val="single" w:sz="4" w:space="0" w:color="auto"/>
              <w:right w:val="single" w:sz="4" w:space="0" w:color="auto"/>
            </w:tcBorders>
            <w:vAlign w:val="center"/>
          </w:tcPr>
          <w:p w14:paraId="3353D614" w14:textId="77777777" w:rsidR="00E907D7" w:rsidRPr="00787063" w:rsidRDefault="00E907D7" w:rsidP="00D61A42">
            <w:pPr>
              <w:keepNext/>
              <w:keepLines/>
              <w:tabs>
                <w:tab w:val="decimal" w:pos="653"/>
              </w:tabs>
              <w:rPr>
                <w:rFonts w:cs="Arial"/>
                <w:color w:val="000000"/>
                <w:sz w:val="18"/>
                <w:szCs w:val="18"/>
                <w:highlight w:val="yellow"/>
              </w:rPr>
            </w:pPr>
            <w:r w:rsidRPr="00787063">
              <w:rPr>
                <w:rFonts w:cs="Arial"/>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248887F" w14:textId="77777777" w:rsidR="00E907D7" w:rsidRPr="00787063" w:rsidRDefault="00E907D7" w:rsidP="00E907D7">
            <w:pPr>
              <w:keepNext/>
              <w:keepLines/>
              <w:tabs>
                <w:tab w:val="decimal" w:pos="794"/>
              </w:tabs>
              <w:rPr>
                <w:rFonts w:cs="Arial"/>
                <w:color w:val="000000"/>
                <w:sz w:val="18"/>
                <w:szCs w:val="18"/>
                <w:lang w:eastAsia="en-GB" w:bidi="ar-SA"/>
              </w:rPr>
            </w:pPr>
            <w:r w:rsidRPr="00787063">
              <w:rPr>
                <w:rFonts w:cs="Arial"/>
                <w:sz w:val="18"/>
                <w:szCs w:val="18"/>
              </w:rPr>
              <w:t>370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3A931B3" w14:textId="77777777" w:rsidR="00E907D7" w:rsidRPr="00787063" w:rsidRDefault="00E907D7" w:rsidP="00D61A42">
            <w:pPr>
              <w:keepNext/>
              <w:keepLines/>
              <w:tabs>
                <w:tab w:val="decimal" w:pos="610"/>
              </w:tabs>
              <w:rPr>
                <w:rFonts w:cs="Arial"/>
                <w:color w:val="000000"/>
                <w:sz w:val="18"/>
                <w:szCs w:val="18"/>
                <w:lang w:eastAsia="en-GB" w:bidi="ar-SA"/>
              </w:rPr>
            </w:pPr>
            <w:r w:rsidRPr="00787063">
              <w:rPr>
                <w:rFonts w:cs="Arial"/>
                <w:color w:val="000000"/>
                <w:sz w:val="18"/>
                <w:szCs w:val="18"/>
              </w:rPr>
              <w:t>31</w:t>
            </w:r>
          </w:p>
        </w:tc>
        <w:tc>
          <w:tcPr>
            <w:tcW w:w="0" w:type="auto"/>
            <w:tcBorders>
              <w:top w:val="single" w:sz="4" w:space="0" w:color="auto"/>
              <w:left w:val="single" w:sz="4" w:space="0" w:color="auto"/>
              <w:bottom w:val="single" w:sz="4" w:space="0" w:color="auto"/>
              <w:right w:val="single" w:sz="4" w:space="0" w:color="auto"/>
            </w:tcBorders>
            <w:vAlign w:val="center"/>
          </w:tcPr>
          <w:p w14:paraId="2CE47765" w14:textId="77777777" w:rsidR="00E907D7" w:rsidRPr="00787063" w:rsidRDefault="00E907D7" w:rsidP="00D61A42">
            <w:pPr>
              <w:keepNext/>
              <w:keepLines/>
              <w:tabs>
                <w:tab w:val="decimal" w:pos="642"/>
              </w:tabs>
              <w:rPr>
                <w:rFonts w:cs="Arial"/>
                <w:color w:val="000000"/>
                <w:sz w:val="18"/>
                <w:szCs w:val="18"/>
              </w:rPr>
            </w:pPr>
            <w:r w:rsidRPr="00787063">
              <w:rPr>
                <w:rFonts w:cs="Arial"/>
                <w:color w:val="000000"/>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3C52F96" w14:textId="77777777" w:rsidR="00E907D7" w:rsidRPr="00787063" w:rsidRDefault="00E907D7" w:rsidP="00E907D7">
            <w:pPr>
              <w:keepNext/>
              <w:keepLines/>
              <w:tabs>
                <w:tab w:val="decimal" w:pos="794"/>
              </w:tabs>
              <w:rPr>
                <w:rFonts w:cs="Arial"/>
                <w:color w:val="000000"/>
                <w:sz w:val="18"/>
                <w:szCs w:val="18"/>
                <w:lang w:eastAsia="en-GB" w:bidi="ar-SA"/>
              </w:rPr>
            </w:pPr>
            <w:r w:rsidRPr="00787063">
              <w:rPr>
                <w:rFonts w:cs="Arial"/>
                <w:color w:val="000000"/>
                <w:sz w:val="18"/>
                <w:szCs w:val="18"/>
              </w:rPr>
              <w:t>974</w:t>
            </w:r>
          </w:p>
        </w:tc>
      </w:tr>
      <w:tr w:rsidR="00E907D7" w:rsidRPr="00B83846" w14:paraId="5EBCB940" w14:textId="77777777" w:rsidTr="003B0C9C">
        <w:trPr>
          <w:cantSplit/>
        </w:trPr>
        <w:tc>
          <w:tcPr>
            <w:tcW w:w="0" w:type="auto"/>
            <w:tcBorders>
              <w:top w:val="single" w:sz="4" w:space="0" w:color="auto"/>
              <w:left w:val="single" w:sz="4" w:space="0" w:color="auto"/>
              <w:right w:val="single" w:sz="4" w:space="0" w:color="auto"/>
            </w:tcBorders>
            <w:shd w:val="clear" w:color="auto" w:fill="auto"/>
            <w:vAlign w:val="center"/>
            <w:hideMark/>
          </w:tcPr>
          <w:p w14:paraId="22FCB63F" w14:textId="77777777" w:rsidR="00E907D7" w:rsidRPr="00B83846" w:rsidRDefault="00E907D7" w:rsidP="00E907D7">
            <w:pPr>
              <w:pageBreakBefore/>
              <w:spacing w:before="40" w:after="40"/>
              <w:rPr>
                <w:rFonts w:cs="Arial"/>
                <w:color w:val="000000"/>
                <w:sz w:val="18"/>
                <w:szCs w:val="18"/>
                <w:lang w:eastAsia="en-GB" w:bidi="ar-SA"/>
              </w:rPr>
            </w:pPr>
            <w:r w:rsidRPr="00B83846">
              <w:rPr>
                <w:rFonts w:cs="Arial"/>
                <w:color w:val="000000"/>
                <w:sz w:val="18"/>
                <w:szCs w:val="18"/>
                <w:lang w:eastAsia="en-GB" w:bidi="ar-SA"/>
              </w:rPr>
              <w:lastRenderedPageBreak/>
              <w:t>New Zealand</w:t>
            </w:r>
            <w:r w:rsidRPr="00B83846">
              <w:rPr>
                <w:rFonts w:cs="Arial"/>
                <w:sz w:val="18"/>
                <w:szCs w:val="18"/>
                <w:vertAlign w:val="superscript"/>
              </w:rPr>
              <w:sym w:font="Wingdings 3" w:char="F073"/>
            </w:r>
          </w:p>
        </w:tc>
        <w:tc>
          <w:tcPr>
            <w:tcW w:w="0" w:type="auto"/>
            <w:tcBorders>
              <w:top w:val="single" w:sz="4" w:space="0" w:color="auto"/>
              <w:left w:val="nil"/>
              <w:right w:val="single" w:sz="4" w:space="0" w:color="auto"/>
            </w:tcBorders>
            <w:shd w:val="clear" w:color="auto" w:fill="auto"/>
            <w:vAlign w:val="center"/>
            <w:hideMark/>
          </w:tcPr>
          <w:p w14:paraId="53E85BC3"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General</w:t>
            </w:r>
          </w:p>
        </w:tc>
        <w:tc>
          <w:tcPr>
            <w:tcW w:w="0" w:type="auto"/>
            <w:tcBorders>
              <w:top w:val="nil"/>
              <w:left w:val="nil"/>
              <w:bottom w:val="single" w:sz="4" w:space="0" w:color="auto"/>
              <w:right w:val="single" w:sz="4" w:space="0" w:color="auto"/>
            </w:tcBorders>
            <w:shd w:val="clear" w:color="auto" w:fill="auto"/>
            <w:vAlign w:val="center"/>
            <w:hideMark/>
          </w:tcPr>
          <w:p w14:paraId="14152F9E"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5-14 years</w:t>
            </w:r>
          </w:p>
        </w:tc>
        <w:tc>
          <w:tcPr>
            <w:tcW w:w="0" w:type="auto"/>
            <w:tcBorders>
              <w:top w:val="nil"/>
              <w:left w:val="nil"/>
              <w:bottom w:val="single" w:sz="4" w:space="0" w:color="auto"/>
              <w:right w:val="single" w:sz="4" w:space="0" w:color="auto"/>
            </w:tcBorders>
            <w:shd w:val="clear" w:color="auto" w:fill="auto"/>
            <w:noWrap/>
            <w:vAlign w:val="center"/>
            <w:hideMark/>
          </w:tcPr>
          <w:p w14:paraId="0BD089D5"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lang w:eastAsia="en-GB" w:bidi="ar-SA"/>
              </w:rPr>
              <w:t>3,275</w:t>
            </w:r>
          </w:p>
        </w:tc>
        <w:tc>
          <w:tcPr>
            <w:tcW w:w="0" w:type="auto"/>
            <w:tcBorders>
              <w:top w:val="nil"/>
              <w:left w:val="nil"/>
              <w:bottom w:val="single" w:sz="4" w:space="0" w:color="auto"/>
              <w:right w:val="single" w:sz="4" w:space="0" w:color="auto"/>
            </w:tcBorders>
            <w:shd w:val="clear" w:color="auto" w:fill="auto"/>
            <w:noWrap/>
            <w:vAlign w:val="center"/>
            <w:hideMark/>
          </w:tcPr>
          <w:p w14:paraId="5A446427" w14:textId="77777777" w:rsidR="00E907D7" w:rsidRPr="00B83846" w:rsidRDefault="00E907D7" w:rsidP="00D61A42">
            <w:pPr>
              <w:widowControl/>
              <w:tabs>
                <w:tab w:val="decimal" w:pos="524"/>
              </w:tabs>
              <w:spacing w:before="40" w:after="40"/>
              <w:rPr>
                <w:rFonts w:cs="Arial"/>
                <w:sz w:val="18"/>
                <w:szCs w:val="18"/>
                <w:lang w:eastAsia="en-GB" w:bidi="ar-SA"/>
              </w:rPr>
            </w:pPr>
            <w:r w:rsidRPr="00832A75">
              <w:rPr>
                <w:rFonts w:cs="Arial"/>
                <w:sz w:val="18"/>
                <w:szCs w:val="18"/>
              </w:rPr>
              <w:t>60</w:t>
            </w:r>
          </w:p>
        </w:tc>
        <w:tc>
          <w:tcPr>
            <w:tcW w:w="0" w:type="auto"/>
            <w:tcBorders>
              <w:top w:val="single" w:sz="4" w:space="0" w:color="auto"/>
              <w:left w:val="nil"/>
              <w:bottom w:val="single" w:sz="4" w:space="0" w:color="auto"/>
              <w:right w:val="single" w:sz="4" w:space="0" w:color="auto"/>
            </w:tcBorders>
            <w:vAlign w:val="center"/>
          </w:tcPr>
          <w:p w14:paraId="0CC319B7" w14:textId="77777777" w:rsidR="00E907D7" w:rsidRPr="00B83846" w:rsidRDefault="00E907D7" w:rsidP="00E907D7">
            <w:pPr>
              <w:widowControl/>
              <w:tabs>
                <w:tab w:val="decimal" w:pos="794"/>
              </w:tabs>
              <w:spacing w:before="40" w:after="40"/>
              <w:rPr>
                <w:rFonts w:cs="Arial"/>
                <w:sz w:val="18"/>
                <w:szCs w:val="18"/>
              </w:rPr>
            </w:pPr>
            <w:r w:rsidRPr="00832A75">
              <w:rPr>
                <w:rFonts w:cs="Arial"/>
                <w:sz w:val="18"/>
                <w:szCs w:val="18"/>
              </w:rPr>
              <w:t>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E4A63" w14:textId="77777777" w:rsidR="00E907D7" w:rsidRPr="00832A75" w:rsidRDefault="00E907D7" w:rsidP="00E907D7">
            <w:pPr>
              <w:widowControl/>
              <w:tabs>
                <w:tab w:val="decimal" w:pos="794"/>
              </w:tabs>
              <w:spacing w:before="40" w:after="40"/>
              <w:rPr>
                <w:rFonts w:cs="Arial"/>
                <w:sz w:val="18"/>
                <w:szCs w:val="18"/>
                <w:lang w:eastAsia="en-GB" w:bidi="ar-SA"/>
              </w:rPr>
            </w:pPr>
            <w:r w:rsidRPr="00832A75">
              <w:rPr>
                <w:rFonts w:cs="Arial"/>
                <w:sz w:val="18"/>
                <w:szCs w:val="18"/>
              </w:rPr>
              <w:t>456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887B1" w14:textId="77777777" w:rsidR="00E907D7" w:rsidRPr="00B83846" w:rsidRDefault="00E907D7" w:rsidP="00D61A42">
            <w:pPr>
              <w:widowControl/>
              <w:tabs>
                <w:tab w:val="decimal" w:pos="610"/>
              </w:tabs>
              <w:spacing w:before="40" w:after="40"/>
              <w:rPr>
                <w:rFonts w:cs="Arial"/>
                <w:sz w:val="18"/>
                <w:szCs w:val="18"/>
                <w:lang w:eastAsia="en-GB" w:bidi="ar-SA"/>
              </w:rPr>
            </w:pPr>
            <w:r w:rsidRPr="00832A75">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vAlign w:val="center"/>
          </w:tcPr>
          <w:p w14:paraId="61BA4EF7" w14:textId="77777777" w:rsidR="00E907D7" w:rsidRPr="00B83846" w:rsidRDefault="00E907D7" w:rsidP="00D61A42">
            <w:pPr>
              <w:widowControl/>
              <w:tabs>
                <w:tab w:val="decimal" w:pos="642"/>
              </w:tabs>
              <w:spacing w:before="40" w:after="40"/>
              <w:rPr>
                <w:rFonts w:cs="Arial"/>
                <w:sz w:val="18"/>
                <w:szCs w:val="18"/>
              </w:rPr>
            </w:pPr>
            <w:r w:rsidRPr="00832A75">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44660" w14:textId="77777777" w:rsidR="00E907D7" w:rsidRPr="00832A75" w:rsidRDefault="00E907D7" w:rsidP="00E907D7">
            <w:pPr>
              <w:widowControl/>
              <w:tabs>
                <w:tab w:val="decimal" w:pos="794"/>
              </w:tabs>
              <w:spacing w:before="40" w:after="40"/>
              <w:rPr>
                <w:rFonts w:cs="Arial"/>
                <w:sz w:val="18"/>
                <w:szCs w:val="18"/>
                <w:lang w:eastAsia="en-GB" w:bidi="ar-SA"/>
              </w:rPr>
            </w:pPr>
            <w:r w:rsidRPr="00832A75">
              <w:rPr>
                <w:rFonts w:cs="Arial"/>
                <w:sz w:val="18"/>
                <w:szCs w:val="18"/>
              </w:rPr>
              <w:t>917</w:t>
            </w:r>
          </w:p>
        </w:tc>
      </w:tr>
      <w:tr w:rsidR="00E907D7" w:rsidRPr="00B83846" w14:paraId="28F79827" w14:textId="77777777" w:rsidTr="003B0C9C">
        <w:trPr>
          <w:cantSplit/>
        </w:trPr>
        <w:tc>
          <w:tcPr>
            <w:tcW w:w="0" w:type="auto"/>
            <w:tcBorders>
              <w:top w:val="nil"/>
              <w:left w:val="single" w:sz="4" w:space="0" w:color="auto"/>
              <w:right w:val="single" w:sz="4" w:space="0" w:color="auto"/>
            </w:tcBorders>
            <w:shd w:val="clear" w:color="auto" w:fill="auto"/>
            <w:vAlign w:val="center"/>
          </w:tcPr>
          <w:p w14:paraId="091BA711"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right w:val="single" w:sz="4" w:space="0" w:color="auto"/>
            </w:tcBorders>
            <w:shd w:val="clear" w:color="auto" w:fill="auto"/>
            <w:vAlign w:val="center"/>
          </w:tcPr>
          <w:p w14:paraId="04E4F05A"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5DE55082"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18-70 years</w:t>
            </w:r>
          </w:p>
        </w:tc>
        <w:tc>
          <w:tcPr>
            <w:tcW w:w="0" w:type="auto"/>
            <w:tcBorders>
              <w:top w:val="nil"/>
              <w:left w:val="nil"/>
              <w:bottom w:val="single" w:sz="4" w:space="0" w:color="auto"/>
              <w:right w:val="single" w:sz="4" w:space="0" w:color="auto"/>
            </w:tcBorders>
            <w:shd w:val="clear" w:color="auto" w:fill="auto"/>
            <w:noWrap/>
            <w:vAlign w:val="center"/>
            <w:hideMark/>
          </w:tcPr>
          <w:p w14:paraId="414E84B0"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lang w:eastAsia="en-GB" w:bidi="ar-SA"/>
              </w:rPr>
              <w:t>3,990</w:t>
            </w:r>
          </w:p>
        </w:tc>
        <w:tc>
          <w:tcPr>
            <w:tcW w:w="0" w:type="auto"/>
            <w:tcBorders>
              <w:top w:val="nil"/>
              <w:left w:val="nil"/>
              <w:bottom w:val="single" w:sz="4" w:space="0" w:color="auto"/>
              <w:right w:val="single" w:sz="4" w:space="0" w:color="auto"/>
            </w:tcBorders>
            <w:shd w:val="clear" w:color="auto" w:fill="auto"/>
            <w:noWrap/>
            <w:vAlign w:val="center"/>
            <w:hideMark/>
          </w:tcPr>
          <w:p w14:paraId="7C451845" w14:textId="77777777" w:rsidR="00E907D7" w:rsidRPr="00B83846" w:rsidRDefault="00E907D7" w:rsidP="00D61A42">
            <w:pPr>
              <w:widowControl/>
              <w:tabs>
                <w:tab w:val="decimal" w:pos="524"/>
              </w:tabs>
              <w:spacing w:before="40" w:after="40"/>
              <w:rPr>
                <w:rFonts w:cs="Arial"/>
                <w:sz w:val="18"/>
                <w:szCs w:val="18"/>
                <w:lang w:eastAsia="en-GB" w:bidi="ar-SA"/>
              </w:rPr>
            </w:pPr>
            <w:r w:rsidRPr="00832A75">
              <w:rPr>
                <w:rFonts w:cs="Arial"/>
                <w:sz w:val="18"/>
                <w:szCs w:val="18"/>
              </w:rPr>
              <w:t>76</w:t>
            </w:r>
          </w:p>
        </w:tc>
        <w:tc>
          <w:tcPr>
            <w:tcW w:w="0" w:type="auto"/>
            <w:tcBorders>
              <w:top w:val="single" w:sz="4" w:space="0" w:color="auto"/>
              <w:left w:val="nil"/>
              <w:bottom w:val="single" w:sz="4" w:space="0" w:color="auto"/>
              <w:right w:val="single" w:sz="4" w:space="0" w:color="auto"/>
            </w:tcBorders>
            <w:vAlign w:val="center"/>
          </w:tcPr>
          <w:p w14:paraId="01C10216" w14:textId="77777777" w:rsidR="00E907D7" w:rsidRPr="00B83846" w:rsidRDefault="00E907D7" w:rsidP="00E907D7">
            <w:pPr>
              <w:widowControl/>
              <w:tabs>
                <w:tab w:val="decimal" w:pos="794"/>
              </w:tabs>
              <w:spacing w:before="40" w:after="40"/>
              <w:rPr>
                <w:rFonts w:cs="Arial"/>
                <w:sz w:val="18"/>
                <w:szCs w:val="18"/>
              </w:rPr>
            </w:pPr>
            <w:r w:rsidRPr="00832A75">
              <w:rPr>
                <w:rFonts w:cs="Arial"/>
                <w:sz w:val="18"/>
                <w:szCs w:val="18"/>
              </w:rPr>
              <w:t>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9B293" w14:textId="77777777" w:rsidR="00E907D7" w:rsidRPr="00832A75" w:rsidRDefault="00E907D7" w:rsidP="00E907D7">
            <w:pPr>
              <w:widowControl/>
              <w:tabs>
                <w:tab w:val="decimal" w:pos="794"/>
              </w:tabs>
              <w:spacing w:before="40" w:after="40"/>
              <w:rPr>
                <w:rFonts w:cs="Arial"/>
                <w:sz w:val="18"/>
                <w:szCs w:val="18"/>
                <w:lang w:eastAsia="en-GB" w:bidi="ar-SA"/>
              </w:rPr>
            </w:pPr>
            <w:r w:rsidRPr="00832A75">
              <w:rPr>
                <w:rFonts w:cs="Arial"/>
                <w:sz w:val="18"/>
                <w:szCs w:val="18"/>
              </w:rPr>
              <w:t>515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48E2B" w14:textId="77777777" w:rsidR="00E907D7" w:rsidRPr="00B83846" w:rsidRDefault="00E907D7" w:rsidP="00D61A42">
            <w:pPr>
              <w:widowControl/>
              <w:tabs>
                <w:tab w:val="decimal" w:pos="610"/>
              </w:tabs>
              <w:spacing w:before="40" w:after="40"/>
              <w:rPr>
                <w:rFonts w:cs="Arial"/>
                <w:sz w:val="18"/>
                <w:szCs w:val="18"/>
                <w:lang w:eastAsia="en-GB" w:bidi="ar-SA"/>
              </w:rPr>
            </w:pPr>
            <w:r w:rsidRPr="00832A75">
              <w:rPr>
                <w:rFonts w:cs="Arial"/>
                <w:sz w:val="18"/>
                <w:szCs w:val="18"/>
              </w:rPr>
              <w:t>162</w:t>
            </w:r>
          </w:p>
        </w:tc>
        <w:tc>
          <w:tcPr>
            <w:tcW w:w="0" w:type="auto"/>
            <w:tcBorders>
              <w:top w:val="single" w:sz="4" w:space="0" w:color="auto"/>
              <w:left w:val="single" w:sz="4" w:space="0" w:color="auto"/>
              <w:bottom w:val="single" w:sz="4" w:space="0" w:color="auto"/>
              <w:right w:val="single" w:sz="4" w:space="0" w:color="auto"/>
            </w:tcBorders>
            <w:vAlign w:val="center"/>
          </w:tcPr>
          <w:p w14:paraId="2E8ECD28" w14:textId="77777777" w:rsidR="00E907D7" w:rsidRPr="00B83846" w:rsidRDefault="00E907D7" w:rsidP="00D61A42">
            <w:pPr>
              <w:widowControl/>
              <w:tabs>
                <w:tab w:val="decimal" w:pos="642"/>
              </w:tabs>
              <w:spacing w:before="40" w:after="40"/>
              <w:rPr>
                <w:rFonts w:cs="Arial"/>
                <w:sz w:val="18"/>
                <w:szCs w:val="18"/>
              </w:rPr>
            </w:pPr>
            <w:r w:rsidRPr="00832A75">
              <w:rPr>
                <w:rFonts w:cs="Arial"/>
                <w:sz w:val="18"/>
                <w:szCs w:val="18"/>
              </w:rPr>
              <w:t>167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14096" w14:textId="77777777" w:rsidR="00E907D7" w:rsidRPr="00832A75" w:rsidRDefault="00E907D7" w:rsidP="00E907D7">
            <w:pPr>
              <w:widowControl/>
              <w:tabs>
                <w:tab w:val="decimal" w:pos="794"/>
              </w:tabs>
              <w:spacing w:before="40" w:after="40"/>
              <w:rPr>
                <w:rFonts w:cs="Arial"/>
                <w:sz w:val="18"/>
                <w:szCs w:val="18"/>
                <w:lang w:eastAsia="en-GB" w:bidi="ar-SA"/>
              </w:rPr>
            </w:pPr>
            <w:r w:rsidRPr="00832A75">
              <w:rPr>
                <w:rFonts w:cs="Arial"/>
                <w:sz w:val="18"/>
                <w:szCs w:val="18"/>
              </w:rPr>
              <w:t>1,154</w:t>
            </w:r>
          </w:p>
        </w:tc>
      </w:tr>
      <w:tr w:rsidR="00E907D7" w:rsidRPr="00B83846" w14:paraId="56A964DD" w14:textId="77777777" w:rsidTr="003B0C9C">
        <w:trPr>
          <w:cantSplit/>
        </w:trPr>
        <w:tc>
          <w:tcPr>
            <w:tcW w:w="0" w:type="auto"/>
            <w:tcBorders>
              <w:top w:val="nil"/>
              <w:left w:val="single" w:sz="4" w:space="0" w:color="auto"/>
              <w:right w:val="single" w:sz="4" w:space="0" w:color="auto"/>
            </w:tcBorders>
            <w:shd w:val="clear" w:color="auto" w:fill="auto"/>
            <w:vAlign w:val="center"/>
          </w:tcPr>
          <w:p w14:paraId="3D94EBF5"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tcPr>
          <w:p w14:paraId="152CDD0A"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75288399"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15 years and above</w:t>
            </w:r>
          </w:p>
        </w:tc>
        <w:tc>
          <w:tcPr>
            <w:tcW w:w="0" w:type="auto"/>
            <w:tcBorders>
              <w:top w:val="nil"/>
              <w:left w:val="nil"/>
              <w:bottom w:val="single" w:sz="4" w:space="0" w:color="auto"/>
              <w:right w:val="single" w:sz="4" w:space="0" w:color="auto"/>
            </w:tcBorders>
            <w:shd w:val="clear" w:color="auto" w:fill="auto"/>
            <w:noWrap/>
            <w:vAlign w:val="center"/>
            <w:hideMark/>
          </w:tcPr>
          <w:p w14:paraId="2E4D82EA"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lang w:eastAsia="en-GB" w:bidi="ar-SA"/>
              </w:rPr>
              <w:t>4,719</w:t>
            </w:r>
          </w:p>
        </w:tc>
        <w:tc>
          <w:tcPr>
            <w:tcW w:w="0" w:type="auto"/>
            <w:tcBorders>
              <w:top w:val="nil"/>
              <w:left w:val="nil"/>
              <w:bottom w:val="single" w:sz="4" w:space="0" w:color="auto"/>
              <w:right w:val="single" w:sz="4" w:space="0" w:color="auto"/>
            </w:tcBorders>
            <w:shd w:val="clear" w:color="auto" w:fill="auto"/>
            <w:noWrap/>
            <w:vAlign w:val="center"/>
            <w:hideMark/>
          </w:tcPr>
          <w:p w14:paraId="6EA40812" w14:textId="77777777" w:rsidR="00E907D7" w:rsidRPr="00B83846" w:rsidRDefault="00E907D7" w:rsidP="00D61A42">
            <w:pPr>
              <w:tabs>
                <w:tab w:val="decimal" w:pos="524"/>
              </w:tabs>
              <w:rPr>
                <w:rFonts w:cs="Arial"/>
                <w:sz w:val="18"/>
                <w:szCs w:val="18"/>
                <w:lang w:eastAsia="en-GB" w:bidi="ar-SA"/>
              </w:rPr>
            </w:pPr>
            <w:r w:rsidRPr="00832A75">
              <w:rPr>
                <w:rFonts w:cs="Arial"/>
                <w:sz w:val="18"/>
                <w:szCs w:val="18"/>
              </w:rPr>
              <w:t>75</w:t>
            </w:r>
          </w:p>
        </w:tc>
        <w:tc>
          <w:tcPr>
            <w:tcW w:w="0" w:type="auto"/>
            <w:tcBorders>
              <w:top w:val="single" w:sz="4" w:space="0" w:color="auto"/>
              <w:left w:val="nil"/>
              <w:bottom w:val="single" w:sz="4" w:space="0" w:color="auto"/>
              <w:right w:val="single" w:sz="4" w:space="0" w:color="auto"/>
            </w:tcBorders>
            <w:vAlign w:val="center"/>
          </w:tcPr>
          <w:p w14:paraId="25D69C2B" w14:textId="77777777" w:rsidR="00E907D7" w:rsidRPr="00B83846" w:rsidRDefault="00E907D7" w:rsidP="00E907D7">
            <w:pPr>
              <w:tabs>
                <w:tab w:val="decimal" w:pos="794"/>
              </w:tabs>
              <w:rPr>
                <w:rFonts w:cs="Arial"/>
                <w:sz w:val="18"/>
                <w:szCs w:val="18"/>
              </w:rPr>
            </w:pPr>
            <w:r w:rsidRPr="00832A75">
              <w:rPr>
                <w:rFonts w:cs="Arial"/>
                <w:sz w:val="18"/>
                <w:szCs w:val="18"/>
              </w:rPr>
              <w:t>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1DA64" w14:textId="77777777" w:rsidR="00E907D7" w:rsidRPr="00B83846" w:rsidRDefault="00E907D7" w:rsidP="00E907D7">
            <w:pPr>
              <w:tabs>
                <w:tab w:val="decimal" w:pos="794"/>
              </w:tabs>
              <w:rPr>
                <w:rFonts w:cs="Arial"/>
                <w:sz w:val="18"/>
                <w:szCs w:val="18"/>
                <w:lang w:eastAsia="en-GB" w:bidi="ar-SA"/>
              </w:rPr>
            </w:pPr>
            <w:r w:rsidRPr="00832A75">
              <w:rPr>
                <w:rFonts w:cs="Arial"/>
                <w:sz w:val="18"/>
                <w:szCs w:val="18"/>
              </w:rPr>
              <w:t>501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3EDB7" w14:textId="77777777" w:rsidR="00E907D7" w:rsidRPr="00B83846" w:rsidRDefault="00E907D7" w:rsidP="00D61A42">
            <w:pPr>
              <w:tabs>
                <w:tab w:val="decimal" w:pos="610"/>
              </w:tabs>
              <w:rPr>
                <w:rFonts w:cs="Arial"/>
                <w:sz w:val="18"/>
                <w:szCs w:val="18"/>
                <w:lang w:eastAsia="en-GB" w:bidi="ar-SA"/>
              </w:rPr>
            </w:pPr>
            <w:r w:rsidRPr="00832A75">
              <w:rPr>
                <w:rFonts w:cs="Arial"/>
                <w:sz w:val="18"/>
                <w:szCs w:val="18"/>
              </w:rPr>
              <w:t>160</w:t>
            </w:r>
          </w:p>
        </w:tc>
        <w:tc>
          <w:tcPr>
            <w:tcW w:w="0" w:type="auto"/>
            <w:tcBorders>
              <w:top w:val="single" w:sz="4" w:space="0" w:color="auto"/>
              <w:left w:val="single" w:sz="4" w:space="0" w:color="auto"/>
              <w:bottom w:val="single" w:sz="4" w:space="0" w:color="auto"/>
              <w:right w:val="single" w:sz="4" w:space="0" w:color="auto"/>
            </w:tcBorders>
            <w:vAlign w:val="center"/>
          </w:tcPr>
          <w:p w14:paraId="4A1378F2" w14:textId="77777777" w:rsidR="00E907D7" w:rsidRPr="00B83846" w:rsidRDefault="00E907D7" w:rsidP="00D61A42">
            <w:pPr>
              <w:tabs>
                <w:tab w:val="decimal" w:pos="642"/>
              </w:tabs>
              <w:rPr>
                <w:rFonts w:cs="Arial"/>
                <w:sz w:val="18"/>
                <w:szCs w:val="18"/>
              </w:rPr>
            </w:pPr>
            <w:r w:rsidRPr="00832A75">
              <w:rPr>
                <w:rFonts w:cs="Arial"/>
                <w:sz w:val="18"/>
                <w:szCs w:val="18"/>
              </w:rPr>
              <w:t>163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3B23B" w14:textId="77777777" w:rsidR="00E907D7" w:rsidRPr="00832A75" w:rsidRDefault="00E907D7" w:rsidP="00E907D7">
            <w:pPr>
              <w:tabs>
                <w:tab w:val="decimal" w:pos="794"/>
              </w:tabs>
              <w:rPr>
                <w:rFonts w:cs="Arial"/>
                <w:sz w:val="18"/>
                <w:szCs w:val="18"/>
                <w:lang w:eastAsia="en-GB" w:bidi="ar-SA"/>
              </w:rPr>
            </w:pPr>
            <w:r w:rsidRPr="00B83846">
              <w:rPr>
                <w:rFonts w:cs="Arial"/>
                <w:sz w:val="18"/>
                <w:szCs w:val="18"/>
              </w:rPr>
              <w:t>1</w:t>
            </w:r>
            <w:r w:rsidRPr="00832A75">
              <w:rPr>
                <w:rFonts w:cs="Arial"/>
                <w:sz w:val="18"/>
                <w:szCs w:val="18"/>
              </w:rPr>
              <w:t>,096</w:t>
            </w:r>
          </w:p>
        </w:tc>
      </w:tr>
      <w:tr w:rsidR="00E907D7" w:rsidRPr="00B83846" w14:paraId="18E3A9B7" w14:textId="77777777" w:rsidTr="003B0C9C">
        <w:trPr>
          <w:cantSplit/>
        </w:trPr>
        <w:tc>
          <w:tcPr>
            <w:tcW w:w="0" w:type="auto"/>
            <w:tcBorders>
              <w:top w:val="nil"/>
              <w:left w:val="single" w:sz="4" w:space="0" w:color="auto"/>
              <w:right w:val="single" w:sz="4" w:space="0" w:color="auto"/>
            </w:tcBorders>
            <w:shd w:val="clear" w:color="auto" w:fill="auto"/>
            <w:vAlign w:val="center"/>
          </w:tcPr>
          <w:p w14:paraId="3B8F4D8C"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039ED6D8"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Elderly</w:t>
            </w:r>
          </w:p>
        </w:tc>
        <w:tc>
          <w:tcPr>
            <w:tcW w:w="0" w:type="auto"/>
            <w:tcBorders>
              <w:top w:val="nil"/>
              <w:left w:val="nil"/>
              <w:bottom w:val="single" w:sz="4" w:space="0" w:color="auto"/>
              <w:right w:val="single" w:sz="4" w:space="0" w:color="auto"/>
            </w:tcBorders>
            <w:shd w:val="clear" w:color="auto" w:fill="auto"/>
            <w:vAlign w:val="center"/>
            <w:hideMark/>
          </w:tcPr>
          <w:p w14:paraId="7FA4CDEB"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71 years and above</w:t>
            </w:r>
          </w:p>
        </w:tc>
        <w:tc>
          <w:tcPr>
            <w:tcW w:w="0" w:type="auto"/>
            <w:tcBorders>
              <w:top w:val="nil"/>
              <w:left w:val="nil"/>
              <w:bottom w:val="single" w:sz="4" w:space="0" w:color="auto"/>
              <w:right w:val="single" w:sz="4" w:space="0" w:color="auto"/>
            </w:tcBorders>
            <w:shd w:val="clear" w:color="auto" w:fill="auto"/>
            <w:noWrap/>
            <w:vAlign w:val="center"/>
            <w:hideMark/>
          </w:tcPr>
          <w:p w14:paraId="707CAC13"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lang w:eastAsia="en-GB" w:bidi="ar-SA"/>
              </w:rPr>
              <w:t>463</w:t>
            </w:r>
          </w:p>
        </w:tc>
        <w:tc>
          <w:tcPr>
            <w:tcW w:w="0" w:type="auto"/>
            <w:tcBorders>
              <w:top w:val="nil"/>
              <w:left w:val="nil"/>
              <w:bottom w:val="single" w:sz="4" w:space="0" w:color="auto"/>
              <w:right w:val="single" w:sz="4" w:space="0" w:color="auto"/>
            </w:tcBorders>
            <w:shd w:val="clear" w:color="auto" w:fill="auto"/>
            <w:noWrap/>
            <w:vAlign w:val="center"/>
            <w:hideMark/>
          </w:tcPr>
          <w:p w14:paraId="79E250E8" w14:textId="77777777" w:rsidR="00E907D7" w:rsidRPr="00B83846" w:rsidRDefault="00E907D7" w:rsidP="00D61A42">
            <w:pPr>
              <w:tabs>
                <w:tab w:val="decimal" w:pos="524"/>
              </w:tabs>
              <w:rPr>
                <w:rFonts w:cs="Arial"/>
                <w:sz w:val="18"/>
                <w:szCs w:val="18"/>
                <w:lang w:eastAsia="en-GB" w:bidi="ar-SA"/>
              </w:rPr>
            </w:pPr>
            <w:r w:rsidRPr="00832A75">
              <w:rPr>
                <w:rFonts w:cs="Arial"/>
                <w:sz w:val="18"/>
                <w:szCs w:val="18"/>
              </w:rPr>
              <w:t>57</w:t>
            </w:r>
          </w:p>
        </w:tc>
        <w:tc>
          <w:tcPr>
            <w:tcW w:w="0" w:type="auto"/>
            <w:tcBorders>
              <w:top w:val="single" w:sz="4" w:space="0" w:color="auto"/>
              <w:left w:val="nil"/>
              <w:bottom w:val="single" w:sz="4" w:space="0" w:color="auto"/>
              <w:right w:val="single" w:sz="4" w:space="0" w:color="auto"/>
            </w:tcBorders>
            <w:vAlign w:val="center"/>
          </w:tcPr>
          <w:p w14:paraId="7A46C5CB" w14:textId="77777777" w:rsidR="00E907D7" w:rsidRPr="00B83846" w:rsidRDefault="00E907D7" w:rsidP="00E907D7">
            <w:pPr>
              <w:tabs>
                <w:tab w:val="decimal" w:pos="794"/>
              </w:tabs>
              <w:rPr>
                <w:rFonts w:cs="Arial"/>
                <w:sz w:val="18"/>
                <w:szCs w:val="18"/>
              </w:rPr>
            </w:pPr>
            <w:r w:rsidRPr="00832A75">
              <w:rPr>
                <w:rFonts w:cs="Arial"/>
                <w:sz w:val="18"/>
                <w:szCs w:val="18"/>
              </w:rPr>
              <w:t>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F0425" w14:textId="77777777" w:rsidR="00E907D7" w:rsidRPr="00B83846" w:rsidRDefault="00E907D7" w:rsidP="00E907D7">
            <w:pPr>
              <w:tabs>
                <w:tab w:val="decimal" w:pos="794"/>
              </w:tabs>
              <w:rPr>
                <w:rFonts w:cs="Arial"/>
                <w:sz w:val="18"/>
                <w:szCs w:val="18"/>
                <w:lang w:eastAsia="en-GB" w:bidi="ar-SA"/>
              </w:rPr>
            </w:pPr>
            <w:r w:rsidRPr="00832A75">
              <w:rPr>
                <w:rFonts w:cs="Arial"/>
                <w:sz w:val="18"/>
                <w:szCs w:val="18"/>
              </w:rPr>
              <w:t>299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EBB9C" w14:textId="77777777" w:rsidR="00E907D7" w:rsidRPr="00B83846" w:rsidRDefault="00E907D7" w:rsidP="00D61A42">
            <w:pPr>
              <w:tabs>
                <w:tab w:val="decimal" w:pos="610"/>
              </w:tabs>
              <w:rPr>
                <w:rFonts w:cs="Arial"/>
                <w:sz w:val="18"/>
                <w:szCs w:val="18"/>
                <w:lang w:eastAsia="en-GB" w:bidi="ar-SA"/>
              </w:rPr>
            </w:pPr>
            <w:r w:rsidRPr="00832A75">
              <w:rPr>
                <w:rFonts w:cs="Arial"/>
                <w:sz w:val="18"/>
                <w:szCs w:val="18"/>
              </w:rPr>
              <w:t>125</w:t>
            </w:r>
          </w:p>
        </w:tc>
        <w:tc>
          <w:tcPr>
            <w:tcW w:w="0" w:type="auto"/>
            <w:tcBorders>
              <w:top w:val="single" w:sz="4" w:space="0" w:color="auto"/>
              <w:left w:val="single" w:sz="4" w:space="0" w:color="auto"/>
              <w:bottom w:val="single" w:sz="4" w:space="0" w:color="auto"/>
              <w:right w:val="single" w:sz="4" w:space="0" w:color="auto"/>
            </w:tcBorders>
            <w:vAlign w:val="center"/>
          </w:tcPr>
          <w:p w14:paraId="69A0240A" w14:textId="77777777" w:rsidR="00E907D7" w:rsidRPr="00B83846" w:rsidRDefault="00E907D7" w:rsidP="00D61A42">
            <w:pPr>
              <w:tabs>
                <w:tab w:val="decimal" w:pos="642"/>
              </w:tabs>
              <w:rPr>
                <w:rFonts w:cs="Arial"/>
                <w:sz w:val="18"/>
                <w:szCs w:val="18"/>
              </w:rPr>
            </w:pPr>
            <w:r w:rsidRPr="00832A75">
              <w:rPr>
                <w:rFonts w:cs="Arial"/>
                <w:sz w:val="18"/>
                <w:szCs w:val="18"/>
              </w:rPr>
              <w:t>125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381B4" w14:textId="77777777" w:rsidR="00E907D7" w:rsidRPr="00832A75" w:rsidRDefault="00E907D7" w:rsidP="00E907D7">
            <w:pPr>
              <w:tabs>
                <w:tab w:val="decimal" w:pos="794"/>
              </w:tabs>
              <w:rPr>
                <w:rFonts w:cs="Arial"/>
                <w:sz w:val="18"/>
                <w:szCs w:val="18"/>
                <w:lang w:eastAsia="en-GB" w:bidi="ar-SA"/>
              </w:rPr>
            </w:pPr>
            <w:r w:rsidRPr="00832A75">
              <w:rPr>
                <w:rFonts w:cs="Arial"/>
                <w:sz w:val="18"/>
                <w:szCs w:val="18"/>
              </w:rPr>
              <w:t>655</w:t>
            </w:r>
          </w:p>
        </w:tc>
      </w:tr>
      <w:tr w:rsidR="00E907D7" w:rsidRPr="00B83846" w14:paraId="384DA8C7" w14:textId="77777777" w:rsidTr="003B0C9C">
        <w:trPr>
          <w:cantSplit/>
        </w:trPr>
        <w:tc>
          <w:tcPr>
            <w:tcW w:w="0" w:type="auto"/>
            <w:tcBorders>
              <w:top w:val="nil"/>
              <w:left w:val="single" w:sz="4" w:space="0" w:color="auto"/>
              <w:right w:val="single" w:sz="4" w:space="0" w:color="auto"/>
            </w:tcBorders>
            <w:shd w:val="clear" w:color="auto" w:fill="auto"/>
            <w:vAlign w:val="center"/>
          </w:tcPr>
          <w:p w14:paraId="70F2845B"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22CC7DB6"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People who consume sports foods/beverages</w:t>
            </w:r>
          </w:p>
        </w:tc>
        <w:tc>
          <w:tcPr>
            <w:tcW w:w="0" w:type="auto"/>
            <w:tcBorders>
              <w:top w:val="nil"/>
              <w:left w:val="nil"/>
              <w:bottom w:val="single" w:sz="4" w:space="0" w:color="auto"/>
              <w:right w:val="single" w:sz="4" w:space="0" w:color="auto"/>
            </w:tcBorders>
            <w:shd w:val="clear" w:color="auto" w:fill="auto"/>
            <w:vAlign w:val="center"/>
            <w:hideMark/>
          </w:tcPr>
          <w:p w14:paraId="19FF8344"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15 years and above</w:t>
            </w:r>
          </w:p>
        </w:tc>
        <w:tc>
          <w:tcPr>
            <w:tcW w:w="0" w:type="auto"/>
            <w:tcBorders>
              <w:top w:val="nil"/>
              <w:left w:val="nil"/>
              <w:bottom w:val="single" w:sz="4" w:space="0" w:color="auto"/>
              <w:right w:val="single" w:sz="4" w:space="0" w:color="auto"/>
            </w:tcBorders>
            <w:shd w:val="clear" w:color="auto" w:fill="auto"/>
            <w:noWrap/>
            <w:vAlign w:val="center"/>
            <w:hideMark/>
          </w:tcPr>
          <w:p w14:paraId="7A5B7A80" w14:textId="77777777" w:rsidR="00E907D7" w:rsidRPr="00832A75" w:rsidRDefault="00E907D7" w:rsidP="00E907D7">
            <w:pPr>
              <w:widowControl/>
              <w:tabs>
                <w:tab w:val="decimal" w:pos="977"/>
              </w:tabs>
              <w:spacing w:before="40" w:after="40"/>
              <w:rPr>
                <w:rFonts w:cs="Arial"/>
                <w:sz w:val="18"/>
                <w:szCs w:val="18"/>
                <w:lang w:eastAsia="en-GB" w:bidi="ar-SA"/>
              </w:rPr>
            </w:pPr>
            <w:r w:rsidRPr="00832A75">
              <w:rPr>
                <w:rFonts w:cs="Arial"/>
                <w:sz w:val="18"/>
                <w:szCs w:val="18"/>
                <w:lang w:eastAsia="en-GB" w:bidi="ar-SA"/>
              </w:rPr>
              <w:t>61</w:t>
            </w:r>
          </w:p>
        </w:tc>
        <w:tc>
          <w:tcPr>
            <w:tcW w:w="0" w:type="auto"/>
            <w:tcBorders>
              <w:top w:val="nil"/>
              <w:left w:val="nil"/>
              <w:bottom w:val="single" w:sz="4" w:space="0" w:color="auto"/>
              <w:right w:val="single" w:sz="4" w:space="0" w:color="auto"/>
            </w:tcBorders>
            <w:shd w:val="clear" w:color="auto" w:fill="auto"/>
            <w:noWrap/>
            <w:vAlign w:val="center"/>
            <w:hideMark/>
          </w:tcPr>
          <w:p w14:paraId="2277868D" w14:textId="77777777" w:rsidR="00E907D7" w:rsidRPr="00B83846" w:rsidRDefault="00E907D7" w:rsidP="00D61A42">
            <w:pPr>
              <w:tabs>
                <w:tab w:val="decimal" w:pos="524"/>
              </w:tabs>
              <w:rPr>
                <w:rFonts w:cs="Arial"/>
                <w:sz w:val="18"/>
                <w:szCs w:val="18"/>
                <w:lang w:eastAsia="en-GB" w:bidi="ar-SA"/>
              </w:rPr>
            </w:pPr>
            <w:r w:rsidRPr="00832A75">
              <w:rPr>
                <w:rFonts w:cs="Arial"/>
                <w:sz w:val="18"/>
                <w:szCs w:val="18"/>
              </w:rPr>
              <w:t>109</w:t>
            </w:r>
          </w:p>
        </w:tc>
        <w:tc>
          <w:tcPr>
            <w:tcW w:w="0" w:type="auto"/>
            <w:tcBorders>
              <w:top w:val="single" w:sz="4" w:space="0" w:color="auto"/>
              <w:left w:val="nil"/>
              <w:bottom w:val="single" w:sz="4" w:space="0" w:color="auto"/>
              <w:right w:val="single" w:sz="4" w:space="0" w:color="auto"/>
            </w:tcBorders>
            <w:vAlign w:val="center"/>
          </w:tcPr>
          <w:p w14:paraId="5E71810C" w14:textId="77777777" w:rsidR="00E907D7" w:rsidRPr="00B83846" w:rsidRDefault="00E907D7" w:rsidP="00E907D7">
            <w:pPr>
              <w:tabs>
                <w:tab w:val="decimal" w:pos="794"/>
              </w:tabs>
              <w:rPr>
                <w:rFonts w:cs="Arial"/>
                <w:sz w:val="18"/>
                <w:szCs w:val="18"/>
              </w:rPr>
            </w:pPr>
            <w:r w:rsidRPr="00832A75">
              <w:rPr>
                <w:rFonts w:cs="Arial"/>
                <w:sz w:val="18"/>
                <w:szCs w:val="18"/>
              </w:rPr>
              <w:t>217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0A18B" w14:textId="77777777" w:rsidR="00E907D7" w:rsidRPr="00832A75" w:rsidRDefault="00E907D7" w:rsidP="00E907D7">
            <w:pPr>
              <w:tabs>
                <w:tab w:val="decimal" w:pos="794"/>
              </w:tabs>
              <w:rPr>
                <w:rFonts w:cs="Arial"/>
                <w:sz w:val="18"/>
                <w:szCs w:val="18"/>
                <w:lang w:eastAsia="en-GB" w:bidi="ar-SA"/>
              </w:rPr>
            </w:pPr>
            <w:r w:rsidRPr="00832A75">
              <w:rPr>
                <w:rFonts w:cs="Arial"/>
                <w:sz w:val="18"/>
                <w:szCs w:val="18"/>
              </w:rPr>
              <w:t>714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F238D2" w14:textId="77777777" w:rsidR="00E907D7" w:rsidRPr="00832A75" w:rsidRDefault="00E907D7" w:rsidP="00D61A42">
            <w:pPr>
              <w:tabs>
                <w:tab w:val="decimal" w:pos="610"/>
              </w:tabs>
              <w:rPr>
                <w:rFonts w:cs="Arial"/>
                <w:sz w:val="18"/>
                <w:szCs w:val="18"/>
              </w:rPr>
            </w:pPr>
            <w:r w:rsidRPr="00832A75">
              <w:rPr>
                <w:rFonts w:cs="Arial"/>
                <w:sz w:val="18"/>
                <w:szCs w:val="18"/>
              </w:rPr>
              <w:t>238</w:t>
            </w:r>
          </w:p>
        </w:tc>
        <w:tc>
          <w:tcPr>
            <w:tcW w:w="0" w:type="auto"/>
            <w:tcBorders>
              <w:top w:val="single" w:sz="4" w:space="0" w:color="auto"/>
              <w:left w:val="single" w:sz="4" w:space="0" w:color="auto"/>
              <w:bottom w:val="single" w:sz="4" w:space="0" w:color="auto"/>
              <w:right w:val="single" w:sz="4" w:space="0" w:color="auto"/>
            </w:tcBorders>
            <w:vAlign w:val="center"/>
          </w:tcPr>
          <w:p w14:paraId="317ABCA3" w14:textId="77777777" w:rsidR="00E907D7" w:rsidRPr="00832A75" w:rsidRDefault="00E907D7" w:rsidP="00D61A42">
            <w:pPr>
              <w:tabs>
                <w:tab w:val="decimal" w:pos="642"/>
              </w:tabs>
              <w:rPr>
                <w:rFonts w:cs="Arial"/>
                <w:sz w:val="18"/>
                <w:szCs w:val="18"/>
              </w:rPr>
            </w:pPr>
            <w:r w:rsidRPr="00B83846">
              <w:rPr>
                <w:rFonts w:cs="Arial"/>
                <w:sz w:val="18"/>
                <w:szCs w:val="18"/>
              </w:rPr>
              <w:t>5</w:t>
            </w:r>
            <w:r w:rsidRPr="00832A75">
              <w:rPr>
                <w:rFonts w:cs="Arial"/>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A385B7" w14:textId="77777777" w:rsidR="00E907D7" w:rsidRPr="00832A75" w:rsidRDefault="00E907D7" w:rsidP="00E907D7">
            <w:pPr>
              <w:tabs>
                <w:tab w:val="decimal" w:pos="794"/>
              </w:tabs>
              <w:rPr>
                <w:rFonts w:cs="Arial"/>
                <w:sz w:val="18"/>
                <w:szCs w:val="18"/>
              </w:rPr>
            </w:pPr>
            <w:r w:rsidRPr="00832A75">
              <w:rPr>
                <w:rFonts w:cs="Arial"/>
                <w:sz w:val="18"/>
                <w:szCs w:val="18"/>
              </w:rPr>
              <w:t>1,3</w:t>
            </w:r>
            <w:r w:rsidRPr="00B83846">
              <w:rPr>
                <w:rFonts w:cs="Arial"/>
                <w:sz w:val="18"/>
                <w:szCs w:val="18"/>
              </w:rPr>
              <w:t>8</w:t>
            </w:r>
            <w:r w:rsidRPr="00832A75">
              <w:rPr>
                <w:rFonts w:cs="Arial"/>
                <w:sz w:val="18"/>
                <w:szCs w:val="18"/>
              </w:rPr>
              <w:t>4</w:t>
            </w:r>
          </w:p>
        </w:tc>
      </w:tr>
      <w:tr w:rsidR="00E907D7" w:rsidRPr="00B83846" w14:paraId="7424EB1F" w14:textId="77777777" w:rsidTr="003B0C9C">
        <w:trPr>
          <w:cantSplit/>
        </w:trPr>
        <w:tc>
          <w:tcPr>
            <w:tcW w:w="0" w:type="auto"/>
            <w:tcBorders>
              <w:top w:val="nil"/>
              <w:left w:val="single" w:sz="4" w:space="0" w:color="auto"/>
              <w:right w:val="single" w:sz="4" w:space="0" w:color="auto"/>
            </w:tcBorders>
            <w:shd w:val="clear" w:color="auto" w:fill="auto"/>
            <w:vAlign w:val="center"/>
          </w:tcPr>
          <w:p w14:paraId="1650B855"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31BC46C8"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People who consume weight management or meal replacement products</w:t>
            </w:r>
          </w:p>
        </w:tc>
        <w:tc>
          <w:tcPr>
            <w:tcW w:w="0" w:type="auto"/>
            <w:tcBorders>
              <w:top w:val="nil"/>
              <w:left w:val="nil"/>
              <w:bottom w:val="single" w:sz="4" w:space="0" w:color="auto"/>
              <w:right w:val="single" w:sz="4" w:space="0" w:color="auto"/>
            </w:tcBorders>
            <w:shd w:val="clear" w:color="auto" w:fill="auto"/>
            <w:vAlign w:val="center"/>
            <w:hideMark/>
          </w:tcPr>
          <w:p w14:paraId="1EF43F73"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15 years and above</w:t>
            </w:r>
          </w:p>
        </w:tc>
        <w:tc>
          <w:tcPr>
            <w:tcW w:w="0" w:type="auto"/>
            <w:tcBorders>
              <w:top w:val="nil"/>
              <w:left w:val="nil"/>
              <w:bottom w:val="single" w:sz="4" w:space="0" w:color="auto"/>
              <w:right w:val="single" w:sz="4" w:space="0" w:color="auto"/>
            </w:tcBorders>
            <w:shd w:val="clear" w:color="auto" w:fill="auto"/>
            <w:noWrap/>
            <w:vAlign w:val="center"/>
            <w:hideMark/>
          </w:tcPr>
          <w:p w14:paraId="1B32DB9F" w14:textId="77777777" w:rsidR="00E907D7" w:rsidRPr="00832A75" w:rsidRDefault="00E907D7" w:rsidP="00E907D7">
            <w:pPr>
              <w:widowControl/>
              <w:tabs>
                <w:tab w:val="decimal" w:pos="977"/>
              </w:tabs>
              <w:spacing w:before="40" w:after="40"/>
              <w:rPr>
                <w:rFonts w:cs="Arial"/>
                <w:sz w:val="18"/>
                <w:szCs w:val="18"/>
                <w:lang w:eastAsia="en-GB" w:bidi="ar-SA"/>
              </w:rPr>
            </w:pPr>
            <w:r w:rsidRPr="00832A75">
              <w:rPr>
                <w:rFonts w:cs="Arial"/>
                <w:sz w:val="18"/>
                <w:szCs w:val="18"/>
                <w:lang w:eastAsia="en-GB" w:bidi="ar-SA"/>
              </w:rPr>
              <w:t>56</w:t>
            </w:r>
          </w:p>
        </w:tc>
        <w:tc>
          <w:tcPr>
            <w:tcW w:w="0" w:type="auto"/>
            <w:tcBorders>
              <w:top w:val="nil"/>
              <w:left w:val="nil"/>
              <w:bottom w:val="single" w:sz="4" w:space="0" w:color="auto"/>
              <w:right w:val="single" w:sz="4" w:space="0" w:color="auto"/>
            </w:tcBorders>
            <w:shd w:val="clear" w:color="auto" w:fill="auto"/>
            <w:noWrap/>
            <w:vAlign w:val="center"/>
            <w:hideMark/>
          </w:tcPr>
          <w:p w14:paraId="09202920" w14:textId="77777777" w:rsidR="00E907D7" w:rsidRPr="00B83846" w:rsidRDefault="00E907D7" w:rsidP="00D61A42">
            <w:pPr>
              <w:tabs>
                <w:tab w:val="decimal" w:pos="524"/>
              </w:tabs>
              <w:rPr>
                <w:rFonts w:cs="Arial"/>
                <w:sz w:val="18"/>
                <w:szCs w:val="18"/>
                <w:lang w:eastAsia="en-GB" w:bidi="ar-SA"/>
              </w:rPr>
            </w:pPr>
            <w:r w:rsidRPr="00832A75">
              <w:rPr>
                <w:rFonts w:cs="Arial"/>
                <w:sz w:val="18"/>
                <w:szCs w:val="18"/>
              </w:rPr>
              <w:t>109</w:t>
            </w:r>
          </w:p>
        </w:tc>
        <w:tc>
          <w:tcPr>
            <w:tcW w:w="0" w:type="auto"/>
            <w:tcBorders>
              <w:top w:val="single" w:sz="4" w:space="0" w:color="auto"/>
              <w:left w:val="nil"/>
              <w:bottom w:val="single" w:sz="4" w:space="0" w:color="auto"/>
              <w:right w:val="single" w:sz="4" w:space="0" w:color="auto"/>
            </w:tcBorders>
            <w:vAlign w:val="center"/>
          </w:tcPr>
          <w:p w14:paraId="31D6533E" w14:textId="77777777" w:rsidR="00E907D7" w:rsidRPr="00B83846" w:rsidRDefault="00E907D7" w:rsidP="00E907D7">
            <w:pPr>
              <w:tabs>
                <w:tab w:val="decimal" w:pos="794"/>
              </w:tabs>
              <w:rPr>
                <w:rFonts w:cs="Arial"/>
                <w:sz w:val="18"/>
                <w:szCs w:val="18"/>
              </w:rPr>
            </w:pPr>
            <w:r w:rsidRPr="00832A75">
              <w:rPr>
                <w:rFonts w:cs="Arial"/>
                <w:sz w:val="18"/>
                <w:szCs w:val="18"/>
              </w:rPr>
              <w:t>191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44838" w14:textId="77777777" w:rsidR="00E907D7" w:rsidRPr="00B83846" w:rsidRDefault="00E907D7" w:rsidP="00E907D7">
            <w:pPr>
              <w:tabs>
                <w:tab w:val="decimal" w:pos="794"/>
              </w:tabs>
              <w:rPr>
                <w:rFonts w:cs="Arial"/>
                <w:sz w:val="18"/>
                <w:szCs w:val="18"/>
                <w:lang w:eastAsia="en-GB" w:bidi="ar-SA"/>
              </w:rPr>
            </w:pPr>
            <w:r w:rsidRPr="00832A75">
              <w:rPr>
                <w:rFonts w:cs="Arial"/>
                <w:sz w:val="18"/>
                <w:szCs w:val="18"/>
              </w:rPr>
              <w:t>736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345E5" w14:textId="77777777" w:rsidR="00E907D7" w:rsidRPr="00832A75" w:rsidRDefault="00E907D7" w:rsidP="00D61A42">
            <w:pPr>
              <w:tabs>
                <w:tab w:val="decimal" w:pos="610"/>
              </w:tabs>
              <w:rPr>
                <w:rFonts w:cs="Arial"/>
                <w:sz w:val="18"/>
                <w:szCs w:val="18"/>
              </w:rPr>
            </w:pPr>
            <w:r w:rsidRPr="00832A75">
              <w:rPr>
                <w:rFonts w:cs="Arial"/>
                <w:sz w:val="18"/>
                <w:szCs w:val="18"/>
              </w:rPr>
              <w:t>268</w:t>
            </w:r>
          </w:p>
        </w:tc>
        <w:tc>
          <w:tcPr>
            <w:tcW w:w="0" w:type="auto"/>
            <w:tcBorders>
              <w:top w:val="single" w:sz="4" w:space="0" w:color="auto"/>
              <w:left w:val="single" w:sz="4" w:space="0" w:color="auto"/>
              <w:bottom w:val="single" w:sz="4" w:space="0" w:color="auto"/>
              <w:right w:val="single" w:sz="4" w:space="0" w:color="auto"/>
            </w:tcBorders>
            <w:vAlign w:val="center"/>
          </w:tcPr>
          <w:p w14:paraId="20ED027D" w14:textId="77777777" w:rsidR="00E907D7" w:rsidRPr="00832A75" w:rsidRDefault="00E907D7" w:rsidP="00D61A42">
            <w:pPr>
              <w:tabs>
                <w:tab w:val="decimal" w:pos="642"/>
              </w:tabs>
              <w:rPr>
                <w:rFonts w:cs="Arial"/>
                <w:sz w:val="18"/>
                <w:szCs w:val="18"/>
              </w:rPr>
            </w:pPr>
            <w:r w:rsidRPr="00832A75">
              <w:rPr>
                <w:rFonts w:cs="Arial"/>
                <w:sz w:val="18"/>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533E7" w14:textId="77777777" w:rsidR="00E907D7" w:rsidRPr="00832A75" w:rsidRDefault="00E907D7" w:rsidP="00E907D7">
            <w:pPr>
              <w:tabs>
                <w:tab w:val="decimal" w:pos="794"/>
              </w:tabs>
              <w:rPr>
                <w:rFonts w:cs="Arial"/>
                <w:sz w:val="18"/>
                <w:szCs w:val="18"/>
              </w:rPr>
            </w:pPr>
            <w:r w:rsidRPr="00832A75">
              <w:rPr>
                <w:rFonts w:cs="Arial"/>
                <w:sz w:val="18"/>
                <w:szCs w:val="18"/>
              </w:rPr>
              <w:t>1,3</w:t>
            </w:r>
            <w:r w:rsidRPr="00B83846">
              <w:rPr>
                <w:rFonts w:cs="Arial"/>
                <w:sz w:val="18"/>
                <w:szCs w:val="18"/>
              </w:rPr>
              <w:t>8</w:t>
            </w:r>
            <w:r w:rsidRPr="00832A75">
              <w:rPr>
                <w:rFonts w:cs="Arial"/>
                <w:sz w:val="18"/>
                <w:szCs w:val="18"/>
              </w:rPr>
              <w:t>4</w:t>
            </w:r>
          </w:p>
        </w:tc>
      </w:tr>
      <w:tr w:rsidR="00E907D7" w:rsidRPr="00B83846" w14:paraId="0A379C29" w14:textId="77777777" w:rsidTr="003B0C9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75D0C08"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57A36DD7"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People who don't eat meat</w:t>
            </w:r>
          </w:p>
        </w:tc>
        <w:tc>
          <w:tcPr>
            <w:tcW w:w="0" w:type="auto"/>
            <w:tcBorders>
              <w:top w:val="nil"/>
              <w:left w:val="nil"/>
              <w:bottom w:val="single" w:sz="4" w:space="0" w:color="auto"/>
              <w:right w:val="single" w:sz="4" w:space="0" w:color="auto"/>
            </w:tcBorders>
            <w:shd w:val="clear" w:color="auto" w:fill="auto"/>
            <w:vAlign w:val="center"/>
            <w:hideMark/>
          </w:tcPr>
          <w:p w14:paraId="33B9B044"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15 years and above</w:t>
            </w:r>
          </w:p>
        </w:tc>
        <w:tc>
          <w:tcPr>
            <w:tcW w:w="0" w:type="auto"/>
            <w:tcBorders>
              <w:top w:val="nil"/>
              <w:left w:val="nil"/>
              <w:bottom w:val="single" w:sz="4" w:space="0" w:color="auto"/>
              <w:right w:val="single" w:sz="4" w:space="0" w:color="auto"/>
            </w:tcBorders>
            <w:shd w:val="clear" w:color="auto" w:fill="auto"/>
            <w:noWrap/>
            <w:vAlign w:val="center"/>
            <w:hideMark/>
          </w:tcPr>
          <w:p w14:paraId="75ABEE67" w14:textId="77777777" w:rsidR="00E907D7" w:rsidRPr="00832A75" w:rsidRDefault="00E907D7" w:rsidP="00E907D7">
            <w:pPr>
              <w:widowControl/>
              <w:tabs>
                <w:tab w:val="decimal" w:pos="977"/>
              </w:tabs>
              <w:spacing w:before="40" w:after="40"/>
              <w:rPr>
                <w:rFonts w:cs="Arial"/>
                <w:sz w:val="18"/>
                <w:szCs w:val="18"/>
                <w:lang w:eastAsia="en-GB" w:bidi="ar-SA"/>
              </w:rPr>
            </w:pPr>
            <w:r w:rsidRPr="00B83846">
              <w:rPr>
                <w:rFonts w:cs="Arial"/>
                <w:sz w:val="18"/>
                <w:szCs w:val="18"/>
                <w:lang w:eastAsia="en-GB" w:bidi="ar-SA"/>
              </w:rPr>
              <w:t>156</w:t>
            </w:r>
          </w:p>
        </w:tc>
        <w:tc>
          <w:tcPr>
            <w:tcW w:w="0" w:type="auto"/>
            <w:tcBorders>
              <w:top w:val="nil"/>
              <w:left w:val="nil"/>
              <w:bottom w:val="single" w:sz="4" w:space="0" w:color="auto"/>
              <w:right w:val="single" w:sz="4" w:space="0" w:color="auto"/>
            </w:tcBorders>
            <w:shd w:val="clear" w:color="auto" w:fill="auto"/>
            <w:noWrap/>
            <w:vAlign w:val="center"/>
            <w:hideMark/>
          </w:tcPr>
          <w:p w14:paraId="5FE5CD1E" w14:textId="77777777" w:rsidR="00E907D7" w:rsidRPr="00B83846" w:rsidRDefault="00E907D7" w:rsidP="00D61A42">
            <w:pPr>
              <w:widowControl/>
              <w:tabs>
                <w:tab w:val="decimal" w:pos="524"/>
              </w:tabs>
              <w:spacing w:before="40" w:after="40"/>
              <w:rPr>
                <w:rFonts w:cs="Arial"/>
                <w:sz w:val="18"/>
                <w:szCs w:val="18"/>
                <w:lang w:eastAsia="en-GB" w:bidi="ar-SA"/>
              </w:rPr>
            </w:pPr>
            <w:r w:rsidRPr="00832A75">
              <w:rPr>
                <w:rFonts w:cs="Arial"/>
                <w:sz w:val="18"/>
                <w:szCs w:val="18"/>
              </w:rPr>
              <w:t>17</w:t>
            </w:r>
          </w:p>
        </w:tc>
        <w:tc>
          <w:tcPr>
            <w:tcW w:w="0" w:type="auto"/>
            <w:tcBorders>
              <w:top w:val="single" w:sz="4" w:space="0" w:color="auto"/>
              <w:left w:val="nil"/>
              <w:bottom w:val="single" w:sz="4" w:space="0" w:color="auto"/>
              <w:right w:val="single" w:sz="4" w:space="0" w:color="auto"/>
            </w:tcBorders>
            <w:vAlign w:val="center"/>
          </w:tcPr>
          <w:p w14:paraId="0DFAE0BA" w14:textId="77777777" w:rsidR="00E907D7" w:rsidRPr="00B83846" w:rsidRDefault="00E907D7" w:rsidP="00E907D7">
            <w:pPr>
              <w:tabs>
                <w:tab w:val="decimal" w:pos="794"/>
              </w:tabs>
              <w:rPr>
                <w:rFonts w:cs="Arial"/>
                <w:sz w:val="18"/>
                <w:szCs w:val="18"/>
              </w:rPr>
            </w:pPr>
            <w:r w:rsidRPr="00832A75">
              <w:rPr>
                <w:rFonts w:cs="Arial"/>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BF777" w14:textId="77777777" w:rsidR="00E907D7" w:rsidRPr="00832A75" w:rsidRDefault="00E907D7" w:rsidP="00E907D7">
            <w:pPr>
              <w:tabs>
                <w:tab w:val="decimal" w:pos="794"/>
              </w:tabs>
              <w:rPr>
                <w:rFonts w:cs="Arial"/>
                <w:sz w:val="18"/>
                <w:szCs w:val="18"/>
                <w:lang w:eastAsia="en-GB" w:bidi="ar-SA"/>
              </w:rPr>
            </w:pPr>
            <w:r w:rsidRPr="00832A75">
              <w:rPr>
                <w:rFonts w:cs="Arial"/>
                <w:sz w:val="18"/>
                <w:szCs w:val="18"/>
              </w:rPr>
              <w:t>513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17D66" w14:textId="77777777" w:rsidR="00E907D7" w:rsidRPr="00B83846" w:rsidRDefault="00E907D7" w:rsidP="00D61A42">
            <w:pPr>
              <w:widowControl/>
              <w:tabs>
                <w:tab w:val="decimal" w:pos="610"/>
              </w:tabs>
              <w:spacing w:before="40" w:after="40"/>
              <w:rPr>
                <w:rFonts w:cs="Arial"/>
                <w:sz w:val="18"/>
                <w:szCs w:val="18"/>
                <w:lang w:eastAsia="en-GB" w:bidi="ar-SA"/>
              </w:rPr>
            </w:pPr>
            <w:r w:rsidRPr="00832A75">
              <w:rPr>
                <w:rFonts w:cs="Arial"/>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tcPr>
          <w:p w14:paraId="5E54A4EB" w14:textId="77777777" w:rsidR="00E907D7" w:rsidRPr="00B83846" w:rsidRDefault="00E907D7" w:rsidP="00D61A42">
            <w:pPr>
              <w:tabs>
                <w:tab w:val="decimal" w:pos="642"/>
              </w:tabs>
              <w:rPr>
                <w:rFonts w:cs="Arial"/>
                <w:sz w:val="18"/>
                <w:szCs w:val="18"/>
              </w:rPr>
            </w:pPr>
            <w:r w:rsidRPr="00832A75">
              <w:rPr>
                <w:rFonts w:cs="Arial"/>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7B6AA" w14:textId="77777777" w:rsidR="00E907D7" w:rsidRPr="00B83846" w:rsidRDefault="00E907D7" w:rsidP="00E907D7">
            <w:pPr>
              <w:tabs>
                <w:tab w:val="decimal" w:pos="794"/>
              </w:tabs>
              <w:rPr>
                <w:rFonts w:cs="Arial"/>
                <w:sz w:val="18"/>
                <w:szCs w:val="18"/>
                <w:lang w:eastAsia="en-GB" w:bidi="ar-SA"/>
              </w:rPr>
            </w:pPr>
            <w:r w:rsidRPr="00B83846">
              <w:rPr>
                <w:rFonts w:cs="Arial"/>
                <w:sz w:val="18"/>
                <w:szCs w:val="18"/>
              </w:rPr>
              <w:t>1,248</w:t>
            </w:r>
          </w:p>
        </w:tc>
      </w:tr>
    </w:tbl>
    <w:p w14:paraId="126E82E0" w14:textId="77777777" w:rsidR="00E907D7" w:rsidRPr="00B83846" w:rsidRDefault="00E907D7" w:rsidP="00E907D7">
      <w:pPr>
        <w:rPr>
          <w:sz w:val="16"/>
          <w:szCs w:val="16"/>
        </w:rPr>
      </w:pPr>
      <w:r w:rsidRPr="00B83846">
        <w:rPr>
          <w:sz w:val="16"/>
          <w:szCs w:val="16"/>
        </w:rPr>
        <w:sym w:font="Wingdings" w:char="F076"/>
      </w:r>
      <w:r w:rsidRPr="00B83846">
        <w:rPr>
          <w:sz w:val="16"/>
          <w:szCs w:val="16"/>
        </w:rPr>
        <w:tab/>
        <w:t xml:space="preserve">Based </w:t>
      </w:r>
      <w:r>
        <w:rPr>
          <w:sz w:val="16"/>
          <w:szCs w:val="16"/>
        </w:rPr>
        <w:t>consumption data from Day 1 and 2 respondents</w:t>
      </w:r>
    </w:p>
    <w:p w14:paraId="349F84C5" w14:textId="678DDA10" w:rsidR="00E907D7" w:rsidRPr="0034604C" w:rsidRDefault="00E907D7" w:rsidP="00E907D7">
      <w:pPr>
        <w:rPr>
          <w:sz w:val="16"/>
          <w:szCs w:val="16"/>
        </w:rPr>
      </w:pPr>
      <w:r w:rsidRPr="00B83846">
        <w:rPr>
          <w:sz w:val="16"/>
          <w:szCs w:val="16"/>
        </w:rPr>
        <w:sym w:font="Wingdings 3" w:char="F073"/>
      </w:r>
      <w:r w:rsidRPr="00B83846">
        <w:rPr>
          <w:sz w:val="16"/>
          <w:szCs w:val="16"/>
        </w:rPr>
        <w:tab/>
      </w:r>
      <w:r w:rsidRPr="0034604C">
        <w:rPr>
          <w:sz w:val="16"/>
          <w:szCs w:val="16"/>
        </w:rPr>
        <w:t>Based consumption data from on Day 1 respondents only</w:t>
      </w:r>
      <w:r w:rsidR="00493631" w:rsidRPr="0034604C">
        <w:rPr>
          <w:sz w:val="16"/>
          <w:szCs w:val="16"/>
        </w:rPr>
        <w:t>. Australian day 1 only results are provided for comparison with New Zealand data, and to show the impact of using two days of data on estimated intakes, and are not taken into account or discussed in the risk assessment for this project.</w:t>
      </w:r>
    </w:p>
    <w:p w14:paraId="66B558A6" w14:textId="77777777" w:rsidR="00E907D7" w:rsidRPr="0034604C" w:rsidRDefault="00E907D7" w:rsidP="00E907D7">
      <w:pPr>
        <w:rPr>
          <w:sz w:val="20"/>
          <w:szCs w:val="20"/>
        </w:rPr>
      </w:pPr>
    </w:p>
    <w:p w14:paraId="5616C566" w14:textId="77777777" w:rsidR="00E907D7" w:rsidRPr="00B83846" w:rsidRDefault="00E907D7" w:rsidP="00E907D7">
      <w:pPr>
        <w:widowControl/>
        <w:rPr>
          <w:sz w:val="20"/>
          <w:szCs w:val="20"/>
        </w:rPr>
      </w:pPr>
      <w:r w:rsidRPr="00B83846">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tributing food categories and food groups for Australian population groups for the Baseline and Consumer Behaviour scenarios using Day 1 and 2 of the 2011-12 NNPAS. Major contributors (greater than or equal to 5% contribution) are also listed."/>
      </w:tblPr>
      <w:tblGrid>
        <w:gridCol w:w="1276"/>
        <w:gridCol w:w="4060"/>
        <w:gridCol w:w="736"/>
        <w:gridCol w:w="736"/>
        <w:gridCol w:w="738"/>
        <w:gridCol w:w="736"/>
        <w:gridCol w:w="736"/>
        <w:gridCol w:w="738"/>
        <w:gridCol w:w="736"/>
        <w:gridCol w:w="737"/>
        <w:gridCol w:w="739"/>
        <w:gridCol w:w="739"/>
        <w:gridCol w:w="739"/>
        <w:gridCol w:w="556"/>
      </w:tblGrid>
      <w:tr w:rsidR="00E907D7" w:rsidRPr="00B83846" w14:paraId="06770AD4" w14:textId="77777777" w:rsidTr="00E907D7">
        <w:trPr>
          <w:cantSplit/>
          <w:trHeight w:val="20"/>
          <w:tblHeader/>
        </w:trPr>
        <w:tc>
          <w:tcPr>
            <w:tcW w:w="5000" w:type="pct"/>
            <w:gridSpan w:val="14"/>
            <w:tcBorders>
              <w:top w:val="nil"/>
              <w:left w:val="nil"/>
              <w:right w:val="nil"/>
            </w:tcBorders>
            <w:shd w:val="clear" w:color="auto" w:fill="auto"/>
            <w:vAlign w:val="center"/>
          </w:tcPr>
          <w:p w14:paraId="429FC5E0" w14:textId="7A6114CF" w:rsidR="00E907D7" w:rsidRPr="00B83846" w:rsidRDefault="00E907D7" w:rsidP="00A05C00">
            <w:pPr>
              <w:pStyle w:val="FSTableTitle"/>
              <w:rPr>
                <w:bCs/>
                <w:color w:val="000000"/>
                <w:lang w:eastAsia="en-GB"/>
              </w:rPr>
            </w:pPr>
            <w:bookmarkStart w:id="108" w:name="_Ref509588836"/>
            <w:bookmarkStart w:id="109" w:name="_Ref509589354"/>
            <w:r w:rsidRPr="00B83846">
              <w:lastRenderedPageBreak/>
              <w:t>Table A</w:t>
            </w:r>
            <w:r w:rsidR="00A05C00">
              <w:t>3</w:t>
            </w:r>
            <w:r>
              <w:t>.</w:t>
            </w:r>
            <w:r w:rsidR="00BE485E">
              <w:rPr>
                <w:noProof/>
              </w:rPr>
              <w:fldChar w:fldCharType="begin"/>
            </w:r>
            <w:r w:rsidR="00BE485E">
              <w:rPr>
                <w:noProof/>
              </w:rPr>
              <w:instrText xml:space="preserve"> SEQ Table_A \* ARABIC \s 1 </w:instrText>
            </w:r>
            <w:r w:rsidR="00BE485E">
              <w:rPr>
                <w:noProof/>
              </w:rPr>
              <w:fldChar w:fldCharType="separate"/>
            </w:r>
            <w:r w:rsidR="00872715">
              <w:rPr>
                <w:noProof/>
              </w:rPr>
              <w:t>2</w:t>
            </w:r>
            <w:r w:rsidR="00BE485E">
              <w:rPr>
                <w:noProof/>
              </w:rPr>
              <w:fldChar w:fldCharType="end"/>
            </w:r>
            <w:bookmarkEnd w:id="108"/>
            <w:bookmarkEnd w:id="109"/>
            <w:r w:rsidRPr="00B83846">
              <w:t>: Food contributors to L-carnitine dietary intakes for Australia, based on Day 1 and 2 of the 2011-12 NNPAS, for general population groups</w:t>
            </w:r>
          </w:p>
        </w:tc>
      </w:tr>
      <w:tr w:rsidR="00E907D7" w:rsidRPr="00B83846" w14:paraId="1DD6658F" w14:textId="77777777" w:rsidTr="001A319B">
        <w:trPr>
          <w:cantSplit/>
          <w:tblHeader/>
        </w:trPr>
        <w:tc>
          <w:tcPr>
            <w:tcW w:w="456" w:type="pct"/>
            <w:tcBorders>
              <w:bottom w:val="nil"/>
            </w:tcBorders>
            <w:shd w:val="clear" w:color="auto" w:fill="auto"/>
            <w:vAlign w:val="center"/>
          </w:tcPr>
          <w:p w14:paraId="1FE72270" w14:textId="77777777" w:rsidR="00E907D7" w:rsidRPr="00B83846" w:rsidRDefault="00E907D7" w:rsidP="00E907D7">
            <w:pPr>
              <w:widowControl/>
              <w:rPr>
                <w:rFonts w:cs="Arial"/>
                <w:b/>
                <w:bCs/>
                <w:color w:val="000000"/>
                <w:sz w:val="18"/>
                <w:szCs w:val="18"/>
                <w:lang w:eastAsia="en-GB" w:bidi="ar-SA"/>
              </w:rPr>
            </w:pPr>
          </w:p>
        </w:tc>
        <w:tc>
          <w:tcPr>
            <w:tcW w:w="1450" w:type="pct"/>
            <w:tcBorders>
              <w:bottom w:val="nil"/>
            </w:tcBorders>
            <w:shd w:val="clear" w:color="auto" w:fill="auto"/>
            <w:vAlign w:val="center"/>
          </w:tcPr>
          <w:p w14:paraId="0120D7BE" w14:textId="77777777" w:rsidR="00E907D7" w:rsidRPr="00B83846" w:rsidRDefault="00E907D7" w:rsidP="00E907D7">
            <w:pPr>
              <w:widowControl/>
              <w:jc w:val="center"/>
              <w:rPr>
                <w:rFonts w:cs="Arial"/>
                <w:b/>
                <w:bCs/>
                <w:color w:val="000000"/>
                <w:sz w:val="18"/>
                <w:szCs w:val="18"/>
                <w:lang w:eastAsia="en-GB" w:bidi="ar-SA"/>
              </w:rPr>
            </w:pPr>
          </w:p>
        </w:tc>
        <w:tc>
          <w:tcPr>
            <w:tcW w:w="3095" w:type="pct"/>
            <w:gridSpan w:val="12"/>
            <w:shd w:val="clear" w:color="auto" w:fill="auto"/>
            <w:vAlign w:val="center"/>
            <w:hideMark/>
          </w:tcPr>
          <w:p w14:paraId="64013836" w14:textId="77777777" w:rsidR="00E907D7" w:rsidRPr="00B83846" w:rsidRDefault="00E907D7" w:rsidP="00E907D7">
            <w:pPr>
              <w:widowControl/>
              <w:ind w:right="-249"/>
              <w:jc w:val="center"/>
              <w:rPr>
                <w:rFonts w:cs="Arial"/>
                <w:b/>
                <w:bCs/>
                <w:color w:val="000000"/>
                <w:sz w:val="18"/>
                <w:szCs w:val="18"/>
                <w:lang w:eastAsia="en-GB" w:bidi="ar-SA"/>
              </w:rPr>
            </w:pPr>
            <w:r w:rsidRPr="00B83846">
              <w:rPr>
                <w:rFonts w:cs="Arial"/>
                <w:b/>
                <w:bCs/>
                <w:color w:val="000000"/>
                <w:sz w:val="18"/>
                <w:szCs w:val="18"/>
                <w:lang w:eastAsia="en-GB" w:bidi="ar-SA"/>
              </w:rPr>
              <w:t>% Contribution</w:t>
            </w:r>
          </w:p>
        </w:tc>
      </w:tr>
      <w:tr w:rsidR="0055564D" w:rsidRPr="00B83846" w14:paraId="605BC456" w14:textId="77777777" w:rsidTr="001A319B">
        <w:trPr>
          <w:cantSplit/>
          <w:tblHeader/>
        </w:trPr>
        <w:tc>
          <w:tcPr>
            <w:tcW w:w="456" w:type="pct"/>
            <w:tcBorders>
              <w:top w:val="nil"/>
              <w:bottom w:val="nil"/>
            </w:tcBorders>
            <w:shd w:val="clear" w:color="auto" w:fill="auto"/>
            <w:vAlign w:val="center"/>
            <w:hideMark/>
          </w:tcPr>
          <w:p w14:paraId="4502DA25" w14:textId="77777777" w:rsidR="0055564D" w:rsidRPr="00B83846" w:rsidRDefault="0055564D" w:rsidP="00E907D7">
            <w:pPr>
              <w:widowControl/>
              <w:rPr>
                <w:rFonts w:cs="Arial"/>
                <w:b/>
                <w:bCs/>
                <w:color w:val="000000"/>
                <w:sz w:val="18"/>
                <w:szCs w:val="18"/>
                <w:lang w:eastAsia="en-GB" w:bidi="ar-SA"/>
              </w:rPr>
            </w:pPr>
            <w:r w:rsidRPr="00B83846">
              <w:rPr>
                <w:rFonts w:cs="Arial"/>
                <w:b/>
                <w:bCs/>
                <w:color w:val="000000"/>
                <w:sz w:val="18"/>
                <w:szCs w:val="18"/>
                <w:lang w:eastAsia="en-GB" w:bidi="ar-SA"/>
              </w:rPr>
              <w:t>Food Code</w:t>
            </w:r>
          </w:p>
        </w:tc>
        <w:tc>
          <w:tcPr>
            <w:tcW w:w="1450" w:type="pct"/>
            <w:tcBorders>
              <w:top w:val="nil"/>
              <w:bottom w:val="nil"/>
            </w:tcBorders>
            <w:shd w:val="clear" w:color="auto" w:fill="auto"/>
            <w:vAlign w:val="center"/>
            <w:hideMark/>
          </w:tcPr>
          <w:p w14:paraId="432BC49D" w14:textId="495E36C3" w:rsidR="0055564D" w:rsidRPr="00B83846" w:rsidRDefault="0055564D"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Food Group</w:t>
            </w:r>
          </w:p>
        </w:tc>
        <w:tc>
          <w:tcPr>
            <w:tcW w:w="789" w:type="pct"/>
            <w:gridSpan w:val="3"/>
            <w:shd w:val="clear" w:color="auto" w:fill="auto"/>
            <w:vAlign w:val="center"/>
            <w:hideMark/>
          </w:tcPr>
          <w:p w14:paraId="01229BB2" w14:textId="77777777" w:rsidR="0055564D" w:rsidRPr="00B83846" w:rsidRDefault="0055564D"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2-6 years</w:t>
            </w:r>
          </w:p>
        </w:tc>
        <w:tc>
          <w:tcPr>
            <w:tcW w:w="789" w:type="pct"/>
            <w:gridSpan w:val="3"/>
            <w:shd w:val="clear" w:color="auto" w:fill="auto"/>
            <w:vAlign w:val="center"/>
            <w:hideMark/>
          </w:tcPr>
          <w:p w14:paraId="27BBBB48" w14:textId="77777777" w:rsidR="0055564D" w:rsidRPr="00B83846" w:rsidRDefault="0055564D"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7-17 years</w:t>
            </w:r>
          </w:p>
        </w:tc>
        <w:tc>
          <w:tcPr>
            <w:tcW w:w="790" w:type="pct"/>
            <w:gridSpan w:val="3"/>
            <w:shd w:val="clear" w:color="auto" w:fill="auto"/>
            <w:vAlign w:val="center"/>
            <w:hideMark/>
          </w:tcPr>
          <w:p w14:paraId="680C74CC" w14:textId="77777777" w:rsidR="0055564D" w:rsidRPr="00B83846" w:rsidRDefault="0055564D"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18-70 years</w:t>
            </w:r>
          </w:p>
        </w:tc>
        <w:tc>
          <w:tcPr>
            <w:tcW w:w="726" w:type="pct"/>
            <w:gridSpan w:val="3"/>
            <w:shd w:val="clear" w:color="auto" w:fill="auto"/>
            <w:vAlign w:val="center"/>
            <w:hideMark/>
          </w:tcPr>
          <w:p w14:paraId="40E9B1EE" w14:textId="77777777" w:rsidR="0055564D" w:rsidRPr="00B83846" w:rsidRDefault="0055564D"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2 years and above</w:t>
            </w:r>
          </w:p>
        </w:tc>
      </w:tr>
      <w:tr w:rsidR="00E907D7" w:rsidRPr="00B83846" w14:paraId="668DD5D5" w14:textId="77777777" w:rsidTr="001A319B">
        <w:trPr>
          <w:cantSplit/>
          <w:trHeight w:val="1417"/>
          <w:tblHeader/>
        </w:trPr>
        <w:tc>
          <w:tcPr>
            <w:tcW w:w="456" w:type="pct"/>
            <w:tcBorders>
              <w:top w:val="nil"/>
              <w:bottom w:val="single" w:sz="4" w:space="0" w:color="auto"/>
            </w:tcBorders>
            <w:shd w:val="clear" w:color="auto" w:fill="auto"/>
            <w:vAlign w:val="center"/>
          </w:tcPr>
          <w:p w14:paraId="3B87FF05" w14:textId="77777777" w:rsidR="00E907D7" w:rsidRPr="00B83846" w:rsidRDefault="00E907D7" w:rsidP="00E907D7">
            <w:pPr>
              <w:widowControl/>
              <w:rPr>
                <w:rFonts w:cs="Arial"/>
                <w:b/>
                <w:bCs/>
                <w:color w:val="000000"/>
                <w:sz w:val="18"/>
                <w:szCs w:val="18"/>
                <w:lang w:eastAsia="en-GB" w:bidi="ar-SA"/>
              </w:rPr>
            </w:pPr>
          </w:p>
        </w:tc>
        <w:tc>
          <w:tcPr>
            <w:tcW w:w="1450" w:type="pct"/>
            <w:tcBorders>
              <w:top w:val="nil"/>
              <w:bottom w:val="single" w:sz="4" w:space="0" w:color="auto"/>
            </w:tcBorders>
            <w:shd w:val="clear" w:color="auto" w:fill="auto"/>
            <w:vAlign w:val="center"/>
          </w:tcPr>
          <w:p w14:paraId="6B4F2C3E" w14:textId="77777777" w:rsidR="00E907D7" w:rsidRPr="00B83846" w:rsidRDefault="00E907D7" w:rsidP="00E907D7">
            <w:pPr>
              <w:widowControl/>
              <w:rPr>
                <w:rFonts w:cs="Arial"/>
                <w:b/>
                <w:bCs/>
                <w:color w:val="000000"/>
                <w:sz w:val="18"/>
                <w:szCs w:val="18"/>
                <w:lang w:eastAsia="en-GB" w:bidi="ar-SA"/>
              </w:rPr>
            </w:pPr>
          </w:p>
        </w:tc>
        <w:tc>
          <w:tcPr>
            <w:tcW w:w="263" w:type="pct"/>
            <w:tcBorders>
              <w:bottom w:val="single" w:sz="4" w:space="0" w:color="auto"/>
            </w:tcBorders>
            <w:shd w:val="clear" w:color="auto" w:fill="auto"/>
            <w:textDirection w:val="btLr"/>
            <w:vAlign w:val="center"/>
            <w:hideMark/>
          </w:tcPr>
          <w:p w14:paraId="57614706"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63" w:type="pct"/>
            <w:tcBorders>
              <w:bottom w:val="single" w:sz="4" w:space="0" w:color="auto"/>
            </w:tcBorders>
            <w:textDirection w:val="btLr"/>
            <w:vAlign w:val="center"/>
          </w:tcPr>
          <w:p w14:paraId="49EE9ECD"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64" w:type="pct"/>
            <w:tcBorders>
              <w:bottom w:val="single" w:sz="4" w:space="0" w:color="auto"/>
            </w:tcBorders>
            <w:shd w:val="clear" w:color="auto" w:fill="auto"/>
            <w:textDirection w:val="btLr"/>
            <w:vAlign w:val="center"/>
            <w:hideMark/>
          </w:tcPr>
          <w:p w14:paraId="624EEE58"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263" w:type="pct"/>
            <w:tcBorders>
              <w:bottom w:val="single" w:sz="4" w:space="0" w:color="auto"/>
            </w:tcBorders>
            <w:shd w:val="clear" w:color="auto" w:fill="auto"/>
            <w:textDirection w:val="btLr"/>
            <w:vAlign w:val="center"/>
            <w:hideMark/>
          </w:tcPr>
          <w:p w14:paraId="091A97F0"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63" w:type="pct"/>
            <w:tcBorders>
              <w:bottom w:val="single" w:sz="4" w:space="0" w:color="auto"/>
            </w:tcBorders>
            <w:textDirection w:val="btLr"/>
            <w:vAlign w:val="center"/>
          </w:tcPr>
          <w:p w14:paraId="5C43903A"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64" w:type="pct"/>
            <w:tcBorders>
              <w:bottom w:val="single" w:sz="4" w:space="0" w:color="auto"/>
            </w:tcBorders>
            <w:shd w:val="clear" w:color="auto" w:fill="auto"/>
            <w:textDirection w:val="btLr"/>
            <w:vAlign w:val="center"/>
            <w:hideMark/>
          </w:tcPr>
          <w:p w14:paraId="2700EA32"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263" w:type="pct"/>
            <w:tcBorders>
              <w:bottom w:val="single" w:sz="4" w:space="0" w:color="auto"/>
            </w:tcBorders>
            <w:shd w:val="clear" w:color="auto" w:fill="auto"/>
            <w:textDirection w:val="btLr"/>
            <w:vAlign w:val="center"/>
            <w:hideMark/>
          </w:tcPr>
          <w:p w14:paraId="692553EF"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63" w:type="pct"/>
            <w:tcBorders>
              <w:bottom w:val="single" w:sz="4" w:space="0" w:color="auto"/>
            </w:tcBorders>
            <w:textDirection w:val="btLr"/>
            <w:vAlign w:val="center"/>
          </w:tcPr>
          <w:p w14:paraId="5811D482"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64" w:type="pct"/>
            <w:tcBorders>
              <w:bottom w:val="single" w:sz="4" w:space="0" w:color="auto"/>
            </w:tcBorders>
            <w:shd w:val="clear" w:color="auto" w:fill="auto"/>
            <w:textDirection w:val="btLr"/>
            <w:vAlign w:val="center"/>
            <w:hideMark/>
          </w:tcPr>
          <w:p w14:paraId="3F127384"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264" w:type="pct"/>
            <w:tcBorders>
              <w:bottom w:val="single" w:sz="4" w:space="0" w:color="auto"/>
            </w:tcBorders>
            <w:shd w:val="clear" w:color="auto" w:fill="auto"/>
            <w:textDirection w:val="btLr"/>
            <w:vAlign w:val="center"/>
            <w:hideMark/>
          </w:tcPr>
          <w:p w14:paraId="41E66532"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64" w:type="pct"/>
            <w:tcBorders>
              <w:bottom w:val="single" w:sz="4" w:space="0" w:color="auto"/>
            </w:tcBorders>
            <w:textDirection w:val="btLr"/>
            <w:vAlign w:val="center"/>
          </w:tcPr>
          <w:p w14:paraId="3EC50BA0"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199" w:type="pct"/>
            <w:tcBorders>
              <w:bottom w:val="single" w:sz="4" w:space="0" w:color="auto"/>
            </w:tcBorders>
            <w:shd w:val="clear" w:color="auto" w:fill="auto"/>
            <w:textDirection w:val="btLr"/>
            <w:vAlign w:val="center"/>
            <w:hideMark/>
          </w:tcPr>
          <w:p w14:paraId="285BD883"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r>
      <w:tr w:rsidR="00E907D7" w:rsidRPr="002D2C2D" w14:paraId="4C4B8200" w14:textId="77777777" w:rsidTr="001902D2">
        <w:trPr>
          <w:cantSplit/>
        </w:trPr>
        <w:tc>
          <w:tcPr>
            <w:tcW w:w="456" w:type="pct"/>
            <w:tcBorders>
              <w:bottom w:val="single" w:sz="4" w:space="0" w:color="auto"/>
            </w:tcBorders>
            <w:shd w:val="clear" w:color="auto" w:fill="D9D9D9" w:themeFill="background1" w:themeFillShade="D9"/>
            <w:vAlign w:val="center"/>
            <w:hideMark/>
          </w:tcPr>
          <w:p w14:paraId="6A5127B7"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1</w:t>
            </w:r>
          </w:p>
        </w:tc>
        <w:tc>
          <w:tcPr>
            <w:tcW w:w="1450" w:type="pct"/>
            <w:tcBorders>
              <w:bottom w:val="single" w:sz="4" w:space="0" w:color="auto"/>
            </w:tcBorders>
            <w:shd w:val="clear" w:color="auto" w:fill="D9D9D9" w:themeFill="background1" w:themeFillShade="D9"/>
            <w:vAlign w:val="center"/>
            <w:hideMark/>
          </w:tcPr>
          <w:p w14:paraId="466D816E"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Dairy products (excluding butter &amp; butter fats)</w:t>
            </w:r>
          </w:p>
        </w:tc>
        <w:tc>
          <w:tcPr>
            <w:tcW w:w="263" w:type="pct"/>
            <w:tcBorders>
              <w:bottom w:val="single" w:sz="4" w:space="0" w:color="auto"/>
            </w:tcBorders>
            <w:shd w:val="clear" w:color="auto" w:fill="D9D9D9" w:themeFill="background1" w:themeFillShade="D9"/>
            <w:vAlign w:val="center"/>
          </w:tcPr>
          <w:p w14:paraId="720B2CA7" w14:textId="77777777" w:rsidR="00E907D7" w:rsidRPr="002D2C2D" w:rsidRDefault="00E907D7" w:rsidP="00E907D7">
            <w:pPr>
              <w:widowControl/>
              <w:tabs>
                <w:tab w:val="decimal" w:pos="340"/>
              </w:tabs>
              <w:rPr>
                <w:rFonts w:cs="Arial"/>
                <w:bCs/>
                <w:color w:val="000000"/>
                <w:sz w:val="18"/>
                <w:szCs w:val="18"/>
                <w:lang w:eastAsia="en-GB" w:bidi="ar-SA"/>
              </w:rPr>
            </w:pPr>
            <w:r w:rsidRPr="002D2C2D">
              <w:rPr>
                <w:sz w:val="18"/>
                <w:szCs w:val="18"/>
              </w:rPr>
              <w:t>33</w:t>
            </w:r>
          </w:p>
        </w:tc>
        <w:tc>
          <w:tcPr>
            <w:tcW w:w="263" w:type="pct"/>
            <w:tcBorders>
              <w:bottom w:val="single" w:sz="4" w:space="0" w:color="auto"/>
            </w:tcBorders>
            <w:shd w:val="clear" w:color="auto" w:fill="D9D9D9" w:themeFill="background1" w:themeFillShade="D9"/>
            <w:vAlign w:val="center"/>
          </w:tcPr>
          <w:p w14:paraId="31BCFEC0" w14:textId="77777777" w:rsidR="00E907D7" w:rsidRPr="002D2C2D" w:rsidRDefault="00E907D7" w:rsidP="00E907D7">
            <w:pPr>
              <w:widowControl/>
              <w:tabs>
                <w:tab w:val="decimal" w:pos="340"/>
              </w:tabs>
              <w:rPr>
                <w:rFonts w:cs="Arial"/>
                <w:bCs/>
                <w:color w:val="000000"/>
                <w:sz w:val="18"/>
                <w:szCs w:val="18"/>
              </w:rPr>
            </w:pPr>
            <w:r w:rsidRPr="002D2C2D">
              <w:rPr>
                <w:sz w:val="18"/>
                <w:szCs w:val="18"/>
              </w:rPr>
              <w:t>33</w:t>
            </w:r>
          </w:p>
        </w:tc>
        <w:tc>
          <w:tcPr>
            <w:tcW w:w="264" w:type="pct"/>
            <w:tcBorders>
              <w:bottom w:val="single" w:sz="4" w:space="0" w:color="auto"/>
            </w:tcBorders>
            <w:shd w:val="clear" w:color="auto" w:fill="D9D9D9" w:themeFill="background1" w:themeFillShade="D9"/>
            <w:vAlign w:val="center"/>
          </w:tcPr>
          <w:p w14:paraId="3A85DDCC" w14:textId="77777777" w:rsidR="00E907D7" w:rsidRPr="002D2C2D" w:rsidRDefault="00E907D7" w:rsidP="00E907D7">
            <w:pPr>
              <w:widowControl/>
              <w:tabs>
                <w:tab w:val="decimal" w:pos="340"/>
              </w:tabs>
              <w:rPr>
                <w:rFonts w:cs="Arial"/>
                <w:bCs/>
                <w:color w:val="000000"/>
                <w:sz w:val="18"/>
                <w:szCs w:val="18"/>
                <w:lang w:eastAsia="en-GB" w:bidi="ar-SA"/>
              </w:rPr>
            </w:pPr>
            <w:r w:rsidRPr="002D2C2D">
              <w:rPr>
                <w:sz w:val="18"/>
                <w:szCs w:val="18"/>
              </w:rPr>
              <w:t>35</w:t>
            </w:r>
          </w:p>
        </w:tc>
        <w:tc>
          <w:tcPr>
            <w:tcW w:w="263" w:type="pct"/>
            <w:tcBorders>
              <w:bottom w:val="single" w:sz="4" w:space="0" w:color="auto"/>
            </w:tcBorders>
            <w:shd w:val="clear" w:color="auto" w:fill="D9D9D9" w:themeFill="background1" w:themeFillShade="D9"/>
            <w:vAlign w:val="center"/>
          </w:tcPr>
          <w:p w14:paraId="3C9AB0FA" w14:textId="77777777" w:rsidR="00E907D7" w:rsidRPr="002D2C2D" w:rsidRDefault="00E907D7" w:rsidP="00E907D7">
            <w:pPr>
              <w:widowControl/>
              <w:tabs>
                <w:tab w:val="decimal" w:pos="340"/>
              </w:tabs>
              <w:rPr>
                <w:rFonts w:cs="Arial"/>
                <w:bCs/>
                <w:color w:val="000000"/>
                <w:sz w:val="18"/>
                <w:szCs w:val="18"/>
                <w:lang w:eastAsia="en-GB" w:bidi="ar-SA"/>
              </w:rPr>
            </w:pPr>
            <w:r w:rsidRPr="002D2C2D">
              <w:rPr>
                <w:sz w:val="18"/>
                <w:szCs w:val="18"/>
              </w:rPr>
              <w:t>19</w:t>
            </w:r>
          </w:p>
        </w:tc>
        <w:tc>
          <w:tcPr>
            <w:tcW w:w="263" w:type="pct"/>
            <w:tcBorders>
              <w:bottom w:val="single" w:sz="4" w:space="0" w:color="auto"/>
            </w:tcBorders>
            <w:shd w:val="clear" w:color="auto" w:fill="D9D9D9" w:themeFill="background1" w:themeFillShade="D9"/>
            <w:vAlign w:val="center"/>
          </w:tcPr>
          <w:p w14:paraId="158446CE" w14:textId="77777777" w:rsidR="00E907D7" w:rsidRPr="002D2C2D" w:rsidRDefault="00E907D7" w:rsidP="00E907D7">
            <w:pPr>
              <w:widowControl/>
              <w:tabs>
                <w:tab w:val="decimal" w:pos="340"/>
              </w:tabs>
              <w:rPr>
                <w:rFonts w:cs="Arial"/>
                <w:bCs/>
                <w:color w:val="000000"/>
                <w:sz w:val="18"/>
                <w:szCs w:val="18"/>
              </w:rPr>
            </w:pPr>
            <w:r w:rsidRPr="002D2C2D">
              <w:rPr>
                <w:sz w:val="18"/>
                <w:szCs w:val="18"/>
              </w:rPr>
              <w:t>17</w:t>
            </w:r>
          </w:p>
        </w:tc>
        <w:tc>
          <w:tcPr>
            <w:tcW w:w="264" w:type="pct"/>
            <w:shd w:val="clear" w:color="auto" w:fill="D9D9D9" w:themeFill="background1" w:themeFillShade="D9"/>
            <w:vAlign w:val="center"/>
          </w:tcPr>
          <w:p w14:paraId="0E9D1A77" w14:textId="77777777" w:rsidR="00E907D7" w:rsidRPr="002D2C2D" w:rsidRDefault="00E907D7" w:rsidP="00E907D7">
            <w:pPr>
              <w:widowControl/>
              <w:tabs>
                <w:tab w:val="decimal" w:pos="340"/>
              </w:tabs>
              <w:rPr>
                <w:rFonts w:cs="Arial"/>
                <w:bCs/>
                <w:color w:val="000000"/>
                <w:sz w:val="18"/>
                <w:szCs w:val="18"/>
                <w:lang w:eastAsia="en-GB" w:bidi="ar-SA"/>
              </w:rPr>
            </w:pPr>
            <w:r w:rsidRPr="002D2C2D">
              <w:rPr>
                <w:sz w:val="18"/>
                <w:szCs w:val="18"/>
              </w:rPr>
              <w:t>13</w:t>
            </w:r>
          </w:p>
        </w:tc>
        <w:tc>
          <w:tcPr>
            <w:tcW w:w="263" w:type="pct"/>
            <w:tcBorders>
              <w:bottom w:val="single" w:sz="4" w:space="0" w:color="auto"/>
            </w:tcBorders>
            <w:shd w:val="clear" w:color="auto" w:fill="D9D9D9" w:themeFill="background1" w:themeFillShade="D9"/>
            <w:vAlign w:val="center"/>
          </w:tcPr>
          <w:p w14:paraId="3C0D019A" w14:textId="77777777" w:rsidR="00E907D7" w:rsidRPr="002D2C2D" w:rsidRDefault="00E907D7" w:rsidP="00E907D7">
            <w:pPr>
              <w:widowControl/>
              <w:tabs>
                <w:tab w:val="decimal" w:pos="340"/>
              </w:tabs>
              <w:rPr>
                <w:rFonts w:cs="Arial"/>
                <w:bCs/>
                <w:sz w:val="18"/>
                <w:szCs w:val="18"/>
                <w:lang w:eastAsia="en-GB" w:bidi="ar-SA"/>
              </w:rPr>
            </w:pPr>
            <w:r w:rsidRPr="002D2C2D">
              <w:rPr>
                <w:sz w:val="18"/>
                <w:szCs w:val="18"/>
              </w:rPr>
              <w:t>15</w:t>
            </w:r>
          </w:p>
        </w:tc>
        <w:tc>
          <w:tcPr>
            <w:tcW w:w="263" w:type="pct"/>
            <w:tcBorders>
              <w:bottom w:val="single" w:sz="4" w:space="0" w:color="auto"/>
            </w:tcBorders>
            <w:shd w:val="clear" w:color="auto" w:fill="D9D9D9" w:themeFill="background1" w:themeFillShade="D9"/>
            <w:vAlign w:val="center"/>
          </w:tcPr>
          <w:p w14:paraId="5A033787" w14:textId="77777777" w:rsidR="00E907D7" w:rsidRPr="002D2C2D" w:rsidRDefault="00E907D7" w:rsidP="00E907D7">
            <w:pPr>
              <w:widowControl/>
              <w:tabs>
                <w:tab w:val="decimal" w:pos="340"/>
              </w:tabs>
              <w:rPr>
                <w:rFonts w:cs="Arial"/>
                <w:bCs/>
                <w:sz w:val="18"/>
                <w:szCs w:val="18"/>
              </w:rPr>
            </w:pPr>
            <w:r w:rsidRPr="002D2C2D">
              <w:rPr>
                <w:sz w:val="18"/>
                <w:szCs w:val="18"/>
              </w:rPr>
              <w:t>12</w:t>
            </w:r>
          </w:p>
        </w:tc>
        <w:tc>
          <w:tcPr>
            <w:tcW w:w="264" w:type="pct"/>
            <w:shd w:val="clear" w:color="auto" w:fill="D9D9D9" w:themeFill="background1" w:themeFillShade="D9"/>
            <w:vAlign w:val="center"/>
          </w:tcPr>
          <w:p w14:paraId="487613EE" w14:textId="77777777" w:rsidR="00E907D7" w:rsidRPr="002D2C2D" w:rsidRDefault="00E907D7" w:rsidP="00E907D7">
            <w:pPr>
              <w:widowControl/>
              <w:tabs>
                <w:tab w:val="decimal" w:pos="340"/>
              </w:tabs>
              <w:rPr>
                <w:rFonts w:cs="Arial"/>
                <w:bCs/>
                <w:sz w:val="18"/>
                <w:szCs w:val="18"/>
                <w:lang w:eastAsia="en-GB" w:bidi="ar-SA"/>
              </w:rPr>
            </w:pPr>
            <w:r w:rsidRPr="002D2C2D">
              <w:rPr>
                <w:sz w:val="18"/>
                <w:szCs w:val="18"/>
              </w:rPr>
              <w:t>15</w:t>
            </w:r>
          </w:p>
        </w:tc>
        <w:tc>
          <w:tcPr>
            <w:tcW w:w="264" w:type="pct"/>
            <w:tcBorders>
              <w:bottom w:val="single" w:sz="4" w:space="0" w:color="auto"/>
            </w:tcBorders>
            <w:shd w:val="clear" w:color="auto" w:fill="D9D9D9" w:themeFill="background1" w:themeFillShade="D9"/>
            <w:vAlign w:val="center"/>
          </w:tcPr>
          <w:p w14:paraId="74E75BC9" w14:textId="77777777" w:rsidR="00E907D7" w:rsidRPr="002D2C2D" w:rsidRDefault="00E907D7" w:rsidP="00E907D7">
            <w:pPr>
              <w:widowControl/>
              <w:tabs>
                <w:tab w:val="decimal" w:pos="340"/>
              </w:tabs>
              <w:rPr>
                <w:rFonts w:cs="Arial"/>
                <w:bCs/>
                <w:color w:val="000000"/>
                <w:sz w:val="18"/>
                <w:szCs w:val="18"/>
                <w:lang w:eastAsia="en-GB" w:bidi="ar-SA"/>
              </w:rPr>
            </w:pPr>
            <w:r w:rsidRPr="002D2C2D">
              <w:rPr>
                <w:sz w:val="18"/>
                <w:szCs w:val="18"/>
              </w:rPr>
              <w:t>16</w:t>
            </w:r>
          </w:p>
        </w:tc>
        <w:tc>
          <w:tcPr>
            <w:tcW w:w="264" w:type="pct"/>
            <w:tcBorders>
              <w:bottom w:val="single" w:sz="4" w:space="0" w:color="auto"/>
            </w:tcBorders>
            <w:shd w:val="clear" w:color="auto" w:fill="D9D9D9" w:themeFill="background1" w:themeFillShade="D9"/>
            <w:vAlign w:val="center"/>
          </w:tcPr>
          <w:p w14:paraId="6AB9356A" w14:textId="77777777" w:rsidR="00E907D7" w:rsidRPr="002D2C2D" w:rsidRDefault="00E907D7" w:rsidP="00E907D7">
            <w:pPr>
              <w:widowControl/>
              <w:tabs>
                <w:tab w:val="decimal" w:pos="340"/>
              </w:tabs>
              <w:rPr>
                <w:rFonts w:cs="Arial"/>
                <w:bCs/>
                <w:color w:val="000000"/>
                <w:sz w:val="18"/>
                <w:szCs w:val="18"/>
              </w:rPr>
            </w:pPr>
            <w:r w:rsidRPr="002D2C2D">
              <w:rPr>
                <w:sz w:val="18"/>
                <w:szCs w:val="18"/>
              </w:rPr>
              <w:t>13</w:t>
            </w:r>
          </w:p>
        </w:tc>
        <w:tc>
          <w:tcPr>
            <w:tcW w:w="199" w:type="pct"/>
            <w:shd w:val="clear" w:color="auto" w:fill="D9D9D9" w:themeFill="background1" w:themeFillShade="D9"/>
            <w:vAlign w:val="center"/>
          </w:tcPr>
          <w:p w14:paraId="5E430609" w14:textId="77777777" w:rsidR="00E907D7" w:rsidRPr="002D2C2D" w:rsidRDefault="00E907D7" w:rsidP="00E907D7">
            <w:pPr>
              <w:widowControl/>
              <w:tabs>
                <w:tab w:val="decimal" w:pos="340"/>
              </w:tabs>
              <w:rPr>
                <w:rFonts w:cs="Arial"/>
                <w:bCs/>
                <w:color w:val="000000"/>
                <w:sz w:val="18"/>
                <w:szCs w:val="18"/>
                <w:lang w:eastAsia="en-GB" w:bidi="ar-SA"/>
              </w:rPr>
            </w:pPr>
            <w:r w:rsidRPr="002D2C2D">
              <w:rPr>
                <w:sz w:val="18"/>
                <w:szCs w:val="18"/>
              </w:rPr>
              <w:t>16</w:t>
            </w:r>
          </w:p>
        </w:tc>
      </w:tr>
      <w:tr w:rsidR="001902D2" w:rsidRPr="002D2C2D" w14:paraId="1D258C38" w14:textId="77777777" w:rsidTr="001902D2">
        <w:trPr>
          <w:cantSplit/>
        </w:trPr>
        <w:tc>
          <w:tcPr>
            <w:tcW w:w="456" w:type="pct"/>
            <w:tcBorders>
              <w:bottom w:val="single" w:sz="4" w:space="0" w:color="auto"/>
            </w:tcBorders>
            <w:shd w:val="clear" w:color="auto" w:fill="D9D9D9" w:themeFill="background1" w:themeFillShade="D9"/>
            <w:vAlign w:val="center"/>
          </w:tcPr>
          <w:p w14:paraId="46F83F4A" w14:textId="60C5D3E3" w:rsidR="001902D2" w:rsidRPr="002D2C2D" w:rsidRDefault="001902D2" w:rsidP="001902D2">
            <w:pPr>
              <w:widowControl/>
              <w:rPr>
                <w:rFonts w:cs="Arial"/>
                <w:color w:val="000000"/>
                <w:sz w:val="18"/>
                <w:szCs w:val="18"/>
                <w:lang w:eastAsia="en-GB" w:bidi="ar-SA"/>
              </w:rPr>
            </w:pPr>
            <w:r w:rsidRPr="00B83846">
              <w:rPr>
                <w:rFonts w:cs="Arial"/>
                <w:color w:val="000000"/>
                <w:sz w:val="18"/>
                <w:szCs w:val="18"/>
                <w:lang w:eastAsia="en-GB" w:bidi="ar-SA"/>
              </w:rPr>
              <w:t>1</w:t>
            </w:r>
          </w:p>
        </w:tc>
        <w:tc>
          <w:tcPr>
            <w:tcW w:w="1450" w:type="pct"/>
            <w:tcBorders>
              <w:bottom w:val="single" w:sz="4" w:space="0" w:color="auto"/>
            </w:tcBorders>
            <w:shd w:val="clear" w:color="auto" w:fill="D9D9D9" w:themeFill="background1" w:themeFillShade="D9"/>
            <w:vAlign w:val="center"/>
          </w:tcPr>
          <w:p w14:paraId="3CA0D2C0" w14:textId="1619C7D4" w:rsidR="001902D2" w:rsidRPr="002D2C2D" w:rsidRDefault="001902D2" w:rsidP="001902D2">
            <w:pPr>
              <w:widowControl/>
              <w:ind w:left="567" w:hanging="567"/>
              <w:rPr>
                <w:rFonts w:cs="Arial"/>
                <w:color w:val="000000" w:themeColor="text1"/>
                <w:sz w:val="18"/>
                <w:szCs w:val="18"/>
                <w:highlight w:val="magenta"/>
                <w:lang w:eastAsia="en-GB" w:bidi="ar-SA"/>
              </w:rPr>
            </w:pPr>
            <w:r>
              <w:rPr>
                <w:rFonts w:cs="Arial"/>
                <w:color w:val="000000"/>
                <w:sz w:val="18"/>
                <w:szCs w:val="18"/>
              </w:rPr>
              <w:tab/>
              <w:t>Plain milk</w:t>
            </w:r>
          </w:p>
        </w:tc>
        <w:tc>
          <w:tcPr>
            <w:tcW w:w="263" w:type="pct"/>
            <w:shd w:val="clear" w:color="auto" w:fill="D9D9D9" w:themeFill="background1" w:themeFillShade="D9"/>
            <w:vAlign w:val="center"/>
          </w:tcPr>
          <w:p w14:paraId="00C1D390" w14:textId="4E059C71" w:rsidR="001902D2" w:rsidRPr="002D2C2D" w:rsidRDefault="001902D2" w:rsidP="001902D2">
            <w:pPr>
              <w:widowControl/>
              <w:tabs>
                <w:tab w:val="decimal" w:pos="340"/>
              </w:tabs>
              <w:rPr>
                <w:rFonts w:cs="Arial"/>
                <w:color w:val="000000"/>
                <w:sz w:val="18"/>
                <w:szCs w:val="18"/>
                <w:highlight w:val="magenta"/>
                <w:lang w:eastAsia="en-GB" w:bidi="ar-SA"/>
              </w:rPr>
            </w:pPr>
            <w:r w:rsidRPr="00B83846">
              <w:rPr>
                <w:rFonts w:cs="Arial"/>
                <w:color w:val="000000"/>
                <w:sz w:val="18"/>
                <w:szCs w:val="18"/>
              </w:rPr>
              <w:t>25</w:t>
            </w:r>
          </w:p>
        </w:tc>
        <w:tc>
          <w:tcPr>
            <w:tcW w:w="263" w:type="pct"/>
            <w:shd w:val="clear" w:color="auto" w:fill="D9D9D9" w:themeFill="background1" w:themeFillShade="D9"/>
            <w:vAlign w:val="center"/>
          </w:tcPr>
          <w:p w14:paraId="26DDFD8D" w14:textId="0E986FA3" w:rsidR="001902D2" w:rsidRPr="002D2C2D" w:rsidRDefault="001902D2" w:rsidP="001902D2">
            <w:pPr>
              <w:widowControl/>
              <w:tabs>
                <w:tab w:val="decimal" w:pos="340"/>
              </w:tabs>
              <w:rPr>
                <w:rFonts w:cs="Arial"/>
                <w:color w:val="000000"/>
                <w:sz w:val="18"/>
                <w:szCs w:val="18"/>
              </w:rPr>
            </w:pPr>
            <w:r w:rsidRPr="00B83846">
              <w:rPr>
                <w:rFonts w:cs="Arial"/>
                <w:color w:val="000000"/>
                <w:sz w:val="18"/>
                <w:szCs w:val="18"/>
              </w:rPr>
              <w:t>25</w:t>
            </w:r>
          </w:p>
        </w:tc>
        <w:tc>
          <w:tcPr>
            <w:tcW w:w="264" w:type="pct"/>
            <w:tcBorders>
              <w:bottom w:val="single" w:sz="4" w:space="0" w:color="auto"/>
            </w:tcBorders>
            <w:shd w:val="clear" w:color="auto" w:fill="auto"/>
            <w:vAlign w:val="center"/>
          </w:tcPr>
          <w:p w14:paraId="2D54D395" w14:textId="73703699" w:rsidR="001902D2" w:rsidRPr="002D2C2D" w:rsidRDefault="001902D2" w:rsidP="001902D2">
            <w:pPr>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c>
          <w:tcPr>
            <w:tcW w:w="263" w:type="pct"/>
            <w:shd w:val="clear" w:color="auto" w:fill="D9D9D9" w:themeFill="background1" w:themeFillShade="D9"/>
            <w:vAlign w:val="center"/>
          </w:tcPr>
          <w:p w14:paraId="2A45B370" w14:textId="6AFDE97C" w:rsidR="001902D2" w:rsidRPr="002D2C2D" w:rsidRDefault="001902D2" w:rsidP="001902D2">
            <w:pPr>
              <w:widowControl/>
              <w:tabs>
                <w:tab w:val="decimal" w:pos="340"/>
              </w:tabs>
              <w:rPr>
                <w:rFonts w:cs="Arial"/>
                <w:color w:val="000000"/>
                <w:sz w:val="18"/>
                <w:szCs w:val="18"/>
                <w:highlight w:val="magenta"/>
                <w:lang w:eastAsia="en-GB" w:bidi="ar-SA"/>
              </w:rPr>
            </w:pPr>
            <w:r w:rsidRPr="00B83846">
              <w:rPr>
                <w:rFonts w:cs="Arial"/>
                <w:color w:val="000000"/>
                <w:sz w:val="18"/>
                <w:szCs w:val="18"/>
              </w:rPr>
              <w:t>15</w:t>
            </w:r>
          </w:p>
        </w:tc>
        <w:tc>
          <w:tcPr>
            <w:tcW w:w="263" w:type="pct"/>
            <w:shd w:val="clear" w:color="auto" w:fill="D9D9D9" w:themeFill="background1" w:themeFillShade="D9"/>
            <w:vAlign w:val="center"/>
          </w:tcPr>
          <w:p w14:paraId="4F01A9A3" w14:textId="165EF280" w:rsidR="001902D2" w:rsidRPr="002D2C2D" w:rsidRDefault="001902D2" w:rsidP="001902D2">
            <w:pPr>
              <w:widowControl/>
              <w:tabs>
                <w:tab w:val="decimal" w:pos="340"/>
              </w:tabs>
              <w:rPr>
                <w:rFonts w:cs="Arial"/>
                <w:color w:val="000000"/>
                <w:sz w:val="18"/>
                <w:szCs w:val="18"/>
              </w:rPr>
            </w:pPr>
            <w:r w:rsidRPr="00B83846">
              <w:rPr>
                <w:rFonts w:cs="Arial"/>
                <w:color w:val="000000"/>
                <w:sz w:val="18"/>
                <w:szCs w:val="18"/>
              </w:rPr>
              <w:t>13</w:t>
            </w:r>
          </w:p>
        </w:tc>
        <w:tc>
          <w:tcPr>
            <w:tcW w:w="264" w:type="pct"/>
            <w:tcBorders>
              <w:bottom w:val="single" w:sz="4" w:space="0" w:color="auto"/>
            </w:tcBorders>
            <w:shd w:val="clear" w:color="auto" w:fill="auto"/>
            <w:vAlign w:val="center"/>
          </w:tcPr>
          <w:p w14:paraId="0DD5C186" w14:textId="60BD75E4" w:rsidR="001902D2" w:rsidRPr="002D2C2D" w:rsidRDefault="001902D2" w:rsidP="001902D2">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63" w:type="pct"/>
            <w:shd w:val="clear" w:color="auto" w:fill="D9D9D9" w:themeFill="background1" w:themeFillShade="D9"/>
            <w:vAlign w:val="center"/>
          </w:tcPr>
          <w:p w14:paraId="5C6DF1AB" w14:textId="6A9419AC" w:rsidR="001902D2" w:rsidRPr="002D2C2D" w:rsidRDefault="001902D2" w:rsidP="001902D2">
            <w:pPr>
              <w:widowControl/>
              <w:tabs>
                <w:tab w:val="decimal" w:pos="340"/>
              </w:tabs>
              <w:rPr>
                <w:rFonts w:cs="Arial"/>
                <w:color w:val="000000"/>
                <w:sz w:val="18"/>
                <w:szCs w:val="18"/>
                <w:highlight w:val="magenta"/>
                <w:lang w:eastAsia="en-GB" w:bidi="ar-SA"/>
              </w:rPr>
            </w:pPr>
            <w:r w:rsidRPr="00B83846">
              <w:rPr>
                <w:rFonts w:cs="Arial"/>
                <w:color w:val="000000"/>
                <w:sz w:val="18"/>
                <w:szCs w:val="18"/>
              </w:rPr>
              <w:t>11</w:t>
            </w:r>
          </w:p>
        </w:tc>
        <w:tc>
          <w:tcPr>
            <w:tcW w:w="263" w:type="pct"/>
            <w:shd w:val="clear" w:color="auto" w:fill="D9D9D9" w:themeFill="background1" w:themeFillShade="D9"/>
            <w:vAlign w:val="center"/>
          </w:tcPr>
          <w:p w14:paraId="00DD0B9C" w14:textId="5F706A45" w:rsidR="001902D2" w:rsidRPr="002D2C2D" w:rsidRDefault="001902D2" w:rsidP="001902D2">
            <w:pPr>
              <w:widowControl/>
              <w:tabs>
                <w:tab w:val="decimal" w:pos="340"/>
              </w:tabs>
              <w:rPr>
                <w:rFonts w:cs="Arial"/>
                <w:color w:val="000000"/>
                <w:sz w:val="18"/>
                <w:szCs w:val="18"/>
              </w:rPr>
            </w:pPr>
            <w:r w:rsidRPr="003A7740">
              <w:rPr>
                <w:sz w:val="18"/>
                <w:szCs w:val="18"/>
              </w:rPr>
              <w:t>9</w:t>
            </w:r>
          </w:p>
        </w:tc>
        <w:tc>
          <w:tcPr>
            <w:tcW w:w="264" w:type="pct"/>
            <w:shd w:val="clear" w:color="auto" w:fill="auto"/>
            <w:vAlign w:val="center"/>
          </w:tcPr>
          <w:p w14:paraId="3B131505" w14:textId="3168F80A" w:rsidR="001902D2" w:rsidRPr="002D2C2D" w:rsidRDefault="001902D2" w:rsidP="001902D2">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64" w:type="pct"/>
            <w:shd w:val="clear" w:color="auto" w:fill="D9D9D9" w:themeFill="background1" w:themeFillShade="D9"/>
            <w:vAlign w:val="center"/>
          </w:tcPr>
          <w:p w14:paraId="661A473E" w14:textId="3B4416B8" w:rsidR="001902D2" w:rsidRPr="002D2C2D" w:rsidRDefault="001902D2" w:rsidP="001902D2">
            <w:pPr>
              <w:widowControl/>
              <w:tabs>
                <w:tab w:val="decimal" w:pos="340"/>
              </w:tabs>
              <w:rPr>
                <w:rFonts w:cs="Arial"/>
                <w:color w:val="000000"/>
                <w:sz w:val="18"/>
                <w:szCs w:val="18"/>
                <w:highlight w:val="magenta"/>
                <w:lang w:eastAsia="en-GB" w:bidi="ar-SA"/>
              </w:rPr>
            </w:pPr>
            <w:r w:rsidRPr="00B83846">
              <w:rPr>
                <w:rFonts w:cs="Arial"/>
                <w:color w:val="000000"/>
                <w:sz w:val="18"/>
                <w:szCs w:val="18"/>
              </w:rPr>
              <w:t>12</w:t>
            </w:r>
          </w:p>
        </w:tc>
        <w:tc>
          <w:tcPr>
            <w:tcW w:w="264" w:type="pct"/>
            <w:shd w:val="clear" w:color="auto" w:fill="D9D9D9" w:themeFill="background1" w:themeFillShade="D9"/>
            <w:vAlign w:val="center"/>
          </w:tcPr>
          <w:p w14:paraId="192C0671" w14:textId="10C88D6E" w:rsidR="001902D2" w:rsidRPr="002D2C2D" w:rsidRDefault="001902D2" w:rsidP="001902D2">
            <w:pPr>
              <w:widowControl/>
              <w:tabs>
                <w:tab w:val="decimal" w:pos="340"/>
              </w:tabs>
              <w:rPr>
                <w:rFonts w:cs="Arial"/>
                <w:color w:val="000000"/>
                <w:sz w:val="18"/>
                <w:szCs w:val="18"/>
              </w:rPr>
            </w:pPr>
            <w:r w:rsidRPr="003A7740">
              <w:rPr>
                <w:sz w:val="18"/>
                <w:szCs w:val="18"/>
              </w:rPr>
              <w:t>10</w:t>
            </w:r>
          </w:p>
        </w:tc>
        <w:tc>
          <w:tcPr>
            <w:tcW w:w="199" w:type="pct"/>
            <w:shd w:val="clear" w:color="auto" w:fill="auto"/>
            <w:vAlign w:val="center"/>
          </w:tcPr>
          <w:p w14:paraId="48FFECA0" w14:textId="4E6EA0CD" w:rsidR="001902D2" w:rsidRPr="002D2C2D" w:rsidRDefault="001902D2" w:rsidP="001902D2">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r>
      <w:tr w:rsidR="001902D2" w:rsidRPr="002D2C2D" w14:paraId="122A90EB" w14:textId="77777777" w:rsidTr="001902D2">
        <w:trPr>
          <w:cantSplit/>
        </w:trPr>
        <w:tc>
          <w:tcPr>
            <w:tcW w:w="456" w:type="pct"/>
            <w:shd w:val="clear" w:color="auto" w:fill="D9D9D9" w:themeFill="background1" w:themeFillShade="D9"/>
            <w:vAlign w:val="center"/>
          </w:tcPr>
          <w:p w14:paraId="55A96D6E" w14:textId="77777777" w:rsidR="001902D2" w:rsidRPr="002D2C2D" w:rsidRDefault="001902D2" w:rsidP="001902D2">
            <w:pPr>
              <w:widowControl/>
              <w:rPr>
                <w:rFonts w:cs="Arial"/>
                <w:color w:val="000000"/>
                <w:sz w:val="18"/>
                <w:szCs w:val="18"/>
                <w:lang w:eastAsia="en-GB" w:bidi="ar-SA"/>
              </w:rPr>
            </w:pPr>
            <w:r w:rsidRPr="00B83846">
              <w:rPr>
                <w:rFonts w:cs="Arial"/>
                <w:color w:val="000000"/>
                <w:sz w:val="18"/>
                <w:szCs w:val="18"/>
                <w:lang w:eastAsia="en-GB" w:bidi="ar-SA"/>
              </w:rPr>
              <w:t>1.1.2</w:t>
            </w:r>
          </w:p>
        </w:tc>
        <w:tc>
          <w:tcPr>
            <w:tcW w:w="1450" w:type="pct"/>
            <w:shd w:val="clear" w:color="auto" w:fill="D9D9D9" w:themeFill="background1" w:themeFillShade="D9"/>
            <w:vAlign w:val="center"/>
          </w:tcPr>
          <w:p w14:paraId="5FD7EA01" w14:textId="77777777" w:rsidR="001902D2" w:rsidRPr="002D2C2D" w:rsidRDefault="001902D2" w:rsidP="001902D2">
            <w:pPr>
              <w:widowControl/>
              <w:ind w:left="567" w:hanging="567"/>
              <w:rPr>
                <w:rFonts w:cs="Arial"/>
                <w:color w:val="000000" w:themeColor="text1"/>
                <w:sz w:val="18"/>
                <w:szCs w:val="18"/>
                <w:lang w:eastAsia="en-GB" w:bidi="ar-SA"/>
              </w:rPr>
            </w:pPr>
            <w:r>
              <w:rPr>
                <w:rFonts w:cs="Arial"/>
                <w:color w:val="000000"/>
                <w:sz w:val="18"/>
                <w:szCs w:val="18"/>
              </w:rPr>
              <w:tab/>
            </w:r>
            <w:r w:rsidRPr="00B83846">
              <w:rPr>
                <w:rFonts w:cs="Arial"/>
                <w:color w:val="000000"/>
                <w:sz w:val="18"/>
                <w:szCs w:val="18"/>
                <w:lang w:eastAsia="en-GB" w:bidi="ar-SA"/>
              </w:rPr>
              <w:t>Liquid milk products &amp; flavoured liquid milk</w:t>
            </w:r>
          </w:p>
        </w:tc>
        <w:tc>
          <w:tcPr>
            <w:tcW w:w="263" w:type="pct"/>
            <w:shd w:val="clear" w:color="auto" w:fill="auto"/>
            <w:vAlign w:val="center"/>
          </w:tcPr>
          <w:p w14:paraId="7939086B" w14:textId="77777777"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3" w:type="pct"/>
            <w:shd w:val="clear" w:color="auto" w:fill="auto"/>
            <w:vAlign w:val="center"/>
          </w:tcPr>
          <w:p w14:paraId="1C04EBD5" w14:textId="77777777" w:rsidR="001902D2" w:rsidRPr="002D2C2D" w:rsidRDefault="001902D2" w:rsidP="001902D2">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3D800B5" w14:textId="77777777"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3</w:t>
            </w:r>
          </w:p>
        </w:tc>
        <w:tc>
          <w:tcPr>
            <w:tcW w:w="263" w:type="pct"/>
            <w:shd w:val="clear" w:color="auto" w:fill="auto"/>
            <w:vAlign w:val="center"/>
          </w:tcPr>
          <w:p w14:paraId="109FC752" w14:textId="77777777"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1</w:t>
            </w:r>
          </w:p>
        </w:tc>
        <w:tc>
          <w:tcPr>
            <w:tcW w:w="263" w:type="pct"/>
            <w:vAlign w:val="center"/>
          </w:tcPr>
          <w:p w14:paraId="5CAE44AB" w14:textId="77777777" w:rsidR="001902D2" w:rsidRPr="002D2C2D" w:rsidRDefault="001902D2" w:rsidP="001902D2">
            <w:pPr>
              <w:widowControl/>
              <w:tabs>
                <w:tab w:val="decimal" w:pos="340"/>
              </w:tabs>
              <w:rPr>
                <w:rFonts w:cs="Arial"/>
                <w:color w:val="000000"/>
                <w:sz w:val="18"/>
                <w:szCs w:val="18"/>
              </w:rPr>
            </w:pPr>
            <w:r w:rsidRPr="00B83846">
              <w:rPr>
                <w:rFonts w:cs="Arial"/>
                <w:color w:val="000000"/>
                <w:sz w:val="18"/>
                <w:szCs w:val="18"/>
              </w:rPr>
              <w:t>1</w:t>
            </w:r>
          </w:p>
        </w:tc>
        <w:tc>
          <w:tcPr>
            <w:tcW w:w="264" w:type="pct"/>
            <w:shd w:val="clear" w:color="auto" w:fill="D9D9D9" w:themeFill="background1" w:themeFillShade="D9"/>
            <w:vAlign w:val="center"/>
          </w:tcPr>
          <w:p w14:paraId="248D3096" w14:textId="77777777"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5</w:t>
            </w:r>
          </w:p>
        </w:tc>
        <w:tc>
          <w:tcPr>
            <w:tcW w:w="263" w:type="pct"/>
            <w:shd w:val="clear" w:color="auto" w:fill="auto"/>
            <w:vAlign w:val="center"/>
          </w:tcPr>
          <w:p w14:paraId="578DA383" w14:textId="77777777"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3" w:type="pct"/>
            <w:vAlign w:val="center"/>
          </w:tcPr>
          <w:p w14:paraId="6FC6BB31" w14:textId="77777777" w:rsidR="001902D2" w:rsidRPr="002D2C2D" w:rsidRDefault="001902D2" w:rsidP="001902D2">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36084881" w14:textId="77777777"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4</w:t>
            </w:r>
          </w:p>
        </w:tc>
        <w:tc>
          <w:tcPr>
            <w:tcW w:w="264" w:type="pct"/>
            <w:shd w:val="clear" w:color="auto" w:fill="auto"/>
            <w:vAlign w:val="center"/>
          </w:tcPr>
          <w:p w14:paraId="76D24085" w14:textId="77777777"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vAlign w:val="center"/>
          </w:tcPr>
          <w:p w14:paraId="7B022F57" w14:textId="77777777" w:rsidR="001902D2" w:rsidRPr="002D2C2D" w:rsidRDefault="001902D2" w:rsidP="001902D2">
            <w:pPr>
              <w:widowControl/>
              <w:tabs>
                <w:tab w:val="decimal" w:pos="340"/>
              </w:tabs>
              <w:rPr>
                <w:rFonts w:cs="Arial"/>
                <w:color w:val="000000"/>
                <w:sz w:val="18"/>
                <w:szCs w:val="18"/>
              </w:rPr>
            </w:pPr>
            <w:r w:rsidRPr="00B83846">
              <w:rPr>
                <w:rFonts w:cs="Arial"/>
                <w:color w:val="000000"/>
                <w:sz w:val="18"/>
                <w:szCs w:val="18"/>
              </w:rPr>
              <w:t>&lt;1</w:t>
            </w:r>
          </w:p>
        </w:tc>
        <w:tc>
          <w:tcPr>
            <w:tcW w:w="199" w:type="pct"/>
            <w:shd w:val="clear" w:color="auto" w:fill="auto"/>
            <w:vAlign w:val="center"/>
          </w:tcPr>
          <w:p w14:paraId="1DDF14B8" w14:textId="77777777"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4</w:t>
            </w:r>
          </w:p>
        </w:tc>
      </w:tr>
      <w:tr w:rsidR="001902D2" w:rsidRPr="002D2C2D" w14:paraId="4F0525E4" w14:textId="77777777" w:rsidTr="001902D2">
        <w:trPr>
          <w:cantSplit/>
        </w:trPr>
        <w:tc>
          <w:tcPr>
            <w:tcW w:w="456" w:type="pct"/>
            <w:shd w:val="clear" w:color="auto" w:fill="D9D9D9" w:themeFill="background1" w:themeFillShade="D9"/>
            <w:vAlign w:val="center"/>
          </w:tcPr>
          <w:p w14:paraId="44810EDE" w14:textId="26DECEC5" w:rsidR="001902D2" w:rsidRPr="002D2C2D" w:rsidRDefault="001902D2" w:rsidP="001902D2">
            <w:pPr>
              <w:widowControl/>
              <w:rPr>
                <w:rFonts w:cs="Arial"/>
                <w:color w:val="000000"/>
                <w:sz w:val="18"/>
                <w:szCs w:val="18"/>
                <w:lang w:eastAsia="en-GB" w:bidi="ar-SA"/>
              </w:rPr>
            </w:pPr>
            <w:r>
              <w:rPr>
                <w:rFonts w:cs="Arial"/>
                <w:color w:val="000000"/>
                <w:sz w:val="18"/>
                <w:szCs w:val="18"/>
                <w:lang w:eastAsia="en-GB" w:bidi="ar-SA"/>
              </w:rPr>
              <w:t>1.2</w:t>
            </w:r>
            <w:r w:rsidRPr="00B83846">
              <w:rPr>
                <w:rFonts w:cs="Arial"/>
                <w:color w:val="000000"/>
                <w:sz w:val="18"/>
                <w:szCs w:val="18"/>
                <w:lang w:eastAsia="en-GB" w:bidi="ar-SA"/>
              </w:rPr>
              <w:t>.2</w:t>
            </w:r>
          </w:p>
        </w:tc>
        <w:tc>
          <w:tcPr>
            <w:tcW w:w="1450" w:type="pct"/>
            <w:shd w:val="clear" w:color="auto" w:fill="D9D9D9" w:themeFill="background1" w:themeFillShade="D9"/>
            <w:vAlign w:val="center"/>
          </w:tcPr>
          <w:p w14:paraId="26244247" w14:textId="7C03F213" w:rsidR="001902D2" w:rsidRPr="002D2C2D" w:rsidRDefault="001902D2" w:rsidP="001902D2">
            <w:pPr>
              <w:widowControl/>
              <w:ind w:left="567" w:hanging="567"/>
              <w:rPr>
                <w:rFonts w:cs="Arial"/>
                <w:color w:val="000000" w:themeColor="text1"/>
                <w:sz w:val="18"/>
                <w:szCs w:val="18"/>
                <w:lang w:eastAsia="en-GB" w:bidi="ar-SA"/>
              </w:rPr>
            </w:pPr>
            <w:r>
              <w:rPr>
                <w:rFonts w:cs="Arial"/>
                <w:color w:val="000000"/>
                <w:sz w:val="18"/>
                <w:szCs w:val="18"/>
              </w:rPr>
              <w:tab/>
            </w:r>
            <w:r w:rsidRPr="00B83846">
              <w:rPr>
                <w:rFonts w:cs="Arial"/>
                <w:color w:val="000000"/>
                <w:sz w:val="18"/>
                <w:szCs w:val="18"/>
                <w:lang w:eastAsia="en-GB" w:bidi="ar-SA"/>
              </w:rPr>
              <w:t>Fermented &amp; rennetted milk prod, flavoured</w:t>
            </w:r>
          </w:p>
        </w:tc>
        <w:tc>
          <w:tcPr>
            <w:tcW w:w="263" w:type="pct"/>
            <w:shd w:val="clear" w:color="auto" w:fill="auto"/>
            <w:vAlign w:val="center"/>
          </w:tcPr>
          <w:p w14:paraId="580F5949" w14:textId="4DD8B7A0"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4</w:t>
            </w:r>
          </w:p>
        </w:tc>
        <w:tc>
          <w:tcPr>
            <w:tcW w:w="263" w:type="pct"/>
            <w:shd w:val="clear" w:color="auto" w:fill="auto"/>
            <w:vAlign w:val="center"/>
          </w:tcPr>
          <w:p w14:paraId="5FE127E6" w14:textId="168EA6C0" w:rsidR="001902D2" w:rsidRPr="002D2C2D" w:rsidRDefault="001902D2" w:rsidP="001902D2">
            <w:pPr>
              <w:widowControl/>
              <w:tabs>
                <w:tab w:val="decimal" w:pos="340"/>
              </w:tabs>
              <w:rPr>
                <w:rFonts w:cs="Arial"/>
                <w:color w:val="000000"/>
                <w:sz w:val="18"/>
                <w:szCs w:val="18"/>
              </w:rPr>
            </w:pPr>
            <w:r w:rsidRPr="00B83846">
              <w:rPr>
                <w:rFonts w:cs="Arial"/>
                <w:color w:val="000000"/>
                <w:sz w:val="18"/>
                <w:szCs w:val="18"/>
              </w:rPr>
              <w:t>4</w:t>
            </w:r>
          </w:p>
        </w:tc>
        <w:tc>
          <w:tcPr>
            <w:tcW w:w="264" w:type="pct"/>
            <w:shd w:val="clear" w:color="auto" w:fill="D9D9D9" w:themeFill="background1" w:themeFillShade="D9"/>
            <w:vAlign w:val="center"/>
          </w:tcPr>
          <w:p w14:paraId="5BC48F59" w14:textId="025D05BA"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24</w:t>
            </w:r>
          </w:p>
        </w:tc>
        <w:tc>
          <w:tcPr>
            <w:tcW w:w="263" w:type="pct"/>
            <w:shd w:val="clear" w:color="auto" w:fill="auto"/>
            <w:vAlign w:val="center"/>
          </w:tcPr>
          <w:p w14:paraId="1EBC3FA5" w14:textId="433ADC4F"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3" w:type="pct"/>
            <w:vAlign w:val="center"/>
          </w:tcPr>
          <w:p w14:paraId="36E26F83" w14:textId="7C38AA31" w:rsidR="001902D2" w:rsidRPr="002D2C2D" w:rsidRDefault="001902D2" w:rsidP="001902D2">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D9D9D9" w:themeFill="background1" w:themeFillShade="D9"/>
            <w:vAlign w:val="center"/>
          </w:tcPr>
          <w:p w14:paraId="27DCD4E0" w14:textId="2BD67ACC"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6</w:t>
            </w:r>
          </w:p>
        </w:tc>
        <w:tc>
          <w:tcPr>
            <w:tcW w:w="263" w:type="pct"/>
            <w:shd w:val="clear" w:color="auto" w:fill="auto"/>
            <w:vAlign w:val="center"/>
          </w:tcPr>
          <w:p w14:paraId="5DDF5882" w14:textId="32D5A188"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3" w:type="pct"/>
            <w:vAlign w:val="center"/>
          </w:tcPr>
          <w:p w14:paraId="5C5369D6" w14:textId="23F38C89" w:rsidR="001902D2" w:rsidRPr="002D2C2D" w:rsidRDefault="001902D2" w:rsidP="001902D2">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D9D9D9" w:themeFill="background1" w:themeFillShade="D9"/>
            <w:vAlign w:val="center"/>
          </w:tcPr>
          <w:p w14:paraId="07102531" w14:textId="66C980A5"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7</w:t>
            </w:r>
          </w:p>
        </w:tc>
        <w:tc>
          <w:tcPr>
            <w:tcW w:w="264" w:type="pct"/>
            <w:shd w:val="clear" w:color="auto" w:fill="auto"/>
            <w:vAlign w:val="center"/>
          </w:tcPr>
          <w:p w14:paraId="116F723D" w14:textId="059A7756"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1</w:t>
            </w:r>
          </w:p>
        </w:tc>
        <w:tc>
          <w:tcPr>
            <w:tcW w:w="264" w:type="pct"/>
            <w:vAlign w:val="center"/>
          </w:tcPr>
          <w:p w14:paraId="7B7E52CB" w14:textId="7B21D742" w:rsidR="001902D2" w:rsidRPr="002D2C2D" w:rsidRDefault="001902D2" w:rsidP="001902D2">
            <w:pPr>
              <w:widowControl/>
              <w:tabs>
                <w:tab w:val="decimal" w:pos="340"/>
              </w:tabs>
              <w:rPr>
                <w:rFonts w:cs="Arial"/>
                <w:color w:val="000000"/>
                <w:sz w:val="18"/>
                <w:szCs w:val="18"/>
              </w:rPr>
            </w:pPr>
            <w:r w:rsidRPr="00B83846">
              <w:rPr>
                <w:rFonts w:cs="Arial"/>
                <w:color w:val="000000"/>
                <w:sz w:val="18"/>
                <w:szCs w:val="18"/>
              </w:rPr>
              <w:t>&lt;1</w:t>
            </w:r>
          </w:p>
        </w:tc>
        <w:tc>
          <w:tcPr>
            <w:tcW w:w="199" w:type="pct"/>
            <w:shd w:val="clear" w:color="auto" w:fill="D9D9D9" w:themeFill="background1" w:themeFillShade="D9"/>
            <w:vAlign w:val="center"/>
          </w:tcPr>
          <w:p w14:paraId="383B1E46" w14:textId="669CC281"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7</w:t>
            </w:r>
          </w:p>
        </w:tc>
      </w:tr>
      <w:tr w:rsidR="001902D2" w:rsidRPr="002D2C2D" w14:paraId="1C667AB2" w14:textId="77777777" w:rsidTr="001A319B">
        <w:trPr>
          <w:cantSplit/>
        </w:trPr>
        <w:tc>
          <w:tcPr>
            <w:tcW w:w="456" w:type="pct"/>
            <w:shd w:val="clear" w:color="auto" w:fill="auto"/>
            <w:vAlign w:val="center"/>
            <w:hideMark/>
          </w:tcPr>
          <w:p w14:paraId="72B445F3" w14:textId="7823D833" w:rsidR="001902D2" w:rsidRPr="002D2C2D" w:rsidRDefault="001902D2" w:rsidP="001902D2">
            <w:pPr>
              <w:widowControl/>
              <w:rPr>
                <w:rFonts w:cs="Arial"/>
                <w:bCs/>
                <w:color w:val="000000"/>
                <w:sz w:val="18"/>
                <w:szCs w:val="18"/>
                <w:lang w:eastAsia="en-GB" w:bidi="ar-SA"/>
              </w:rPr>
            </w:pPr>
            <w:r w:rsidRPr="002D2C2D">
              <w:rPr>
                <w:rFonts w:cs="Arial"/>
                <w:bCs/>
                <w:color w:val="000000"/>
                <w:sz w:val="18"/>
                <w:szCs w:val="18"/>
                <w:lang w:eastAsia="en-GB" w:bidi="ar-SA"/>
              </w:rPr>
              <w:t>2</w:t>
            </w:r>
          </w:p>
        </w:tc>
        <w:tc>
          <w:tcPr>
            <w:tcW w:w="1450" w:type="pct"/>
            <w:tcBorders>
              <w:bottom w:val="single" w:sz="4" w:space="0" w:color="auto"/>
            </w:tcBorders>
            <w:shd w:val="clear" w:color="auto" w:fill="auto"/>
            <w:vAlign w:val="center"/>
          </w:tcPr>
          <w:p w14:paraId="08EC72A4" w14:textId="77777777" w:rsidR="001902D2" w:rsidRPr="002D2C2D" w:rsidRDefault="001902D2" w:rsidP="001902D2">
            <w:pPr>
              <w:widowControl/>
              <w:rPr>
                <w:rFonts w:cs="Arial"/>
                <w:bCs/>
                <w:color w:val="000000"/>
                <w:sz w:val="18"/>
                <w:szCs w:val="18"/>
                <w:lang w:eastAsia="en-GB" w:bidi="ar-SA"/>
              </w:rPr>
            </w:pPr>
            <w:r w:rsidRPr="002D2C2D">
              <w:rPr>
                <w:rFonts w:cs="Arial"/>
                <w:bCs/>
                <w:color w:val="000000"/>
                <w:sz w:val="18"/>
                <w:szCs w:val="18"/>
                <w:lang w:eastAsia="en-GB" w:bidi="ar-SA"/>
              </w:rPr>
              <w:t>All Edible oils &amp; oil emulsions</w:t>
            </w:r>
          </w:p>
        </w:tc>
        <w:tc>
          <w:tcPr>
            <w:tcW w:w="263" w:type="pct"/>
            <w:shd w:val="clear" w:color="auto" w:fill="auto"/>
            <w:vAlign w:val="center"/>
          </w:tcPr>
          <w:p w14:paraId="71F6BEB0" w14:textId="77777777" w:rsidR="001902D2" w:rsidRPr="002D2C2D" w:rsidRDefault="001902D2" w:rsidP="001902D2">
            <w:pPr>
              <w:tabs>
                <w:tab w:val="decimal" w:pos="340"/>
              </w:tabs>
              <w:rPr>
                <w:rFonts w:cs="Arial"/>
                <w:bCs/>
                <w:color w:val="000000"/>
                <w:sz w:val="18"/>
                <w:szCs w:val="18"/>
                <w:lang w:eastAsia="en-GB" w:bidi="ar-SA"/>
              </w:rPr>
            </w:pPr>
            <w:r w:rsidRPr="002D2C2D">
              <w:rPr>
                <w:rFonts w:cs="Arial"/>
                <w:bCs/>
                <w:color w:val="000000"/>
                <w:sz w:val="18"/>
                <w:szCs w:val="18"/>
              </w:rPr>
              <w:t>&lt;1</w:t>
            </w:r>
          </w:p>
        </w:tc>
        <w:tc>
          <w:tcPr>
            <w:tcW w:w="263" w:type="pct"/>
            <w:vAlign w:val="center"/>
          </w:tcPr>
          <w:p w14:paraId="21FE6039" w14:textId="77777777" w:rsidR="001902D2" w:rsidRPr="002D2C2D" w:rsidRDefault="001902D2" w:rsidP="001902D2">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36BE2EF8" w14:textId="77777777" w:rsidR="001902D2" w:rsidRPr="002D2C2D" w:rsidRDefault="001902D2" w:rsidP="001902D2">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3" w:type="pct"/>
            <w:shd w:val="clear" w:color="auto" w:fill="auto"/>
            <w:vAlign w:val="center"/>
          </w:tcPr>
          <w:p w14:paraId="391CA5C7" w14:textId="77777777" w:rsidR="001902D2" w:rsidRPr="002D2C2D" w:rsidRDefault="001902D2" w:rsidP="001902D2">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3" w:type="pct"/>
            <w:vAlign w:val="center"/>
          </w:tcPr>
          <w:p w14:paraId="1B109A4A" w14:textId="77777777" w:rsidR="001902D2" w:rsidRPr="002D2C2D" w:rsidRDefault="001902D2" w:rsidP="001902D2">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66FBB7F0" w14:textId="77777777" w:rsidR="001902D2" w:rsidRPr="002D2C2D" w:rsidRDefault="001902D2" w:rsidP="001902D2">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3" w:type="pct"/>
            <w:shd w:val="clear" w:color="auto" w:fill="auto"/>
            <w:vAlign w:val="center"/>
          </w:tcPr>
          <w:p w14:paraId="61CC4EB9" w14:textId="77777777" w:rsidR="001902D2" w:rsidRPr="002D2C2D" w:rsidRDefault="001902D2" w:rsidP="001902D2">
            <w:pPr>
              <w:widowControl/>
              <w:tabs>
                <w:tab w:val="decimal" w:pos="340"/>
              </w:tabs>
              <w:rPr>
                <w:rFonts w:cs="Arial"/>
                <w:bCs/>
                <w:sz w:val="18"/>
                <w:szCs w:val="18"/>
                <w:lang w:eastAsia="en-GB" w:bidi="ar-SA"/>
              </w:rPr>
            </w:pPr>
            <w:r w:rsidRPr="002D2C2D">
              <w:rPr>
                <w:rFonts w:cs="Arial"/>
                <w:bCs/>
                <w:sz w:val="18"/>
                <w:szCs w:val="18"/>
              </w:rPr>
              <w:t>&lt;1</w:t>
            </w:r>
          </w:p>
        </w:tc>
        <w:tc>
          <w:tcPr>
            <w:tcW w:w="263" w:type="pct"/>
            <w:vAlign w:val="center"/>
          </w:tcPr>
          <w:p w14:paraId="75F4F58E" w14:textId="77777777" w:rsidR="001902D2" w:rsidRPr="002D2C2D" w:rsidRDefault="001902D2" w:rsidP="001902D2">
            <w:pPr>
              <w:widowControl/>
              <w:tabs>
                <w:tab w:val="decimal" w:pos="340"/>
              </w:tabs>
              <w:rPr>
                <w:rFonts w:cs="Arial"/>
                <w:bCs/>
                <w:sz w:val="18"/>
                <w:szCs w:val="18"/>
              </w:rPr>
            </w:pPr>
            <w:r w:rsidRPr="002D2C2D">
              <w:rPr>
                <w:rFonts w:cs="Arial"/>
                <w:bCs/>
                <w:sz w:val="18"/>
                <w:szCs w:val="18"/>
              </w:rPr>
              <w:t>&lt;1</w:t>
            </w:r>
          </w:p>
        </w:tc>
        <w:tc>
          <w:tcPr>
            <w:tcW w:w="264" w:type="pct"/>
            <w:shd w:val="clear" w:color="auto" w:fill="auto"/>
            <w:vAlign w:val="center"/>
          </w:tcPr>
          <w:p w14:paraId="517D4D6F" w14:textId="77777777" w:rsidR="001902D2" w:rsidRPr="002D2C2D" w:rsidRDefault="001902D2" w:rsidP="001902D2">
            <w:pPr>
              <w:widowControl/>
              <w:tabs>
                <w:tab w:val="decimal" w:pos="340"/>
              </w:tabs>
              <w:rPr>
                <w:rFonts w:cs="Arial"/>
                <w:bCs/>
                <w:sz w:val="18"/>
                <w:szCs w:val="18"/>
                <w:lang w:eastAsia="en-GB" w:bidi="ar-SA"/>
              </w:rPr>
            </w:pPr>
            <w:r w:rsidRPr="002D2C2D">
              <w:rPr>
                <w:rFonts w:cs="Arial"/>
                <w:bCs/>
                <w:sz w:val="18"/>
                <w:szCs w:val="18"/>
              </w:rPr>
              <w:t>&lt;1</w:t>
            </w:r>
          </w:p>
        </w:tc>
        <w:tc>
          <w:tcPr>
            <w:tcW w:w="264" w:type="pct"/>
            <w:shd w:val="clear" w:color="auto" w:fill="auto"/>
            <w:vAlign w:val="center"/>
          </w:tcPr>
          <w:p w14:paraId="4F10771C" w14:textId="77777777" w:rsidR="001902D2" w:rsidRPr="002D2C2D" w:rsidRDefault="001902D2" w:rsidP="001902D2">
            <w:pPr>
              <w:widowControl/>
              <w:tabs>
                <w:tab w:val="decimal" w:pos="340"/>
              </w:tabs>
              <w:rPr>
                <w:rFonts w:cs="Arial"/>
                <w:bCs/>
                <w:sz w:val="18"/>
                <w:szCs w:val="18"/>
                <w:lang w:eastAsia="en-GB" w:bidi="ar-SA"/>
              </w:rPr>
            </w:pPr>
            <w:r w:rsidRPr="002D2C2D">
              <w:rPr>
                <w:rFonts w:cs="Arial"/>
                <w:bCs/>
                <w:sz w:val="18"/>
                <w:szCs w:val="18"/>
              </w:rPr>
              <w:t>&lt;1</w:t>
            </w:r>
          </w:p>
        </w:tc>
        <w:tc>
          <w:tcPr>
            <w:tcW w:w="264" w:type="pct"/>
            <w:vAlign w:val="center"/>
          </w:tcPr>
          <w:p w14:paraId="45B65A91" w14:textId="77777777" w:rsidR="001902D2" w:rsidRPr="002D2C2D" w:rsidRDefault="001902D2" w:rsidP="001902D2">
            <w:pPr>
              <w:widowControl/>
              <w:tabs>
                <w:tab w:val="decimal" w:pos="340"/>
              </w:tabs>
              <w:rPr>
                <w:rFonts w:cs="Arial"/>
                <w:bCs/>
                <w:sz w:val="18"/>
                <w:szCs w:val="18"/>
              </w:rPr>
            </w:pPr>
            <w:r w:rsidRPr="002D2C2D">
              <w:rPr>
                <w:rFonts w:cs="Arial"/>
                <w:bCs/>
                <w:sz w:val="18"/>
                <w:szCs w:val="18"/>
              </w:rPr>
              <w:t>&lt;1</w:t>
            </w:r>
          </w:p>
        </w:tc>
        <w:tc>
          <w:tcPr>
            <w:tcW w:w="199" w:type="pct"/>
            <w:shd w:val="clear" w:color="auto" w:fill="auto"/>
            <w:vAlign w:val="center"/>
          </w:tcPr>
          <w:p w14:paraId="7FBD4E01" w14:textId="77777777" w:rsidR="001902D2" w:rsidRPr="002D2C2D" w:rsidRDefault="001902D2" w:rsidP="001902D2">
            <w:pPr>
              <w:widowControl/>
              <w:tabs>
                <w:tab w:val="decimal" w:pos="340"/>
              </w:tabs>
              <w:rPr>
                <w:rFonts w:cs="Arial"/>
                <w:bCs/>
                <w:sz w:val="18"/>
                <w:szCs w:val="18"/>
                <w:lang w:eastAsia="en-GB" w:bidi="ar-SA"/>
              </w:rPr>
            </w:pPr>
            <w:r w:rsidRPr="002D2C2D">
              <w:rPr>
                <w:rFonts w:cs="Arial"/>
                <w:bCs/>
                <w:sz w:val="18"/>
                <w:szCs w:val="18"/>
              </w:rPr>
              <w:t>&lt;1</w:t>
            </w:r>
          </w:p>
        </w:tc>
      </w:tr>
      <w:tr w:rsidR="001902D2" w:rsidRPr="002D2C2D" w14:paraId="76C68011" w14:textId="77777777" w:rsidTr="001A319B">
        <w:trPr>
          <w:cantSplit/>
        </w:trPr>
        <w:tc>
          <w:tcPr>
            <w:tcW w:w="456" w:type="pct"/>
            <w:shd w:val="clear" w:color="auto" w:fill="auto"/>
            <w:vAlign w:val="center"/>
            <w:hideMark/>
          </w:tcPr>
          <w:p w14:paraId="1082A65C" w14:textId="77777777" w:rsidR="001902D2" w:rsidRPr="002D2C2D" w:rsidRDefault="001902D2" w:rsidP="001902D2">
            <w:pPr>
              <w:widowControl/>
              <w:rPr>
                <w:rFonts w:cs="Arial"/>
                <w:bCs/>
                <w:color w:val="000000"/>
                <w:sz w:val="18"/>
                <w:szCs w:val="18"/>
                <w:lang w:eastAsia="en-GB" w:bidi="ar-SA"/>
              </w:rPr>
            </w:pPr>
            <w:r w:rsidRPr="002D2C2D">
              <w:rPr>
                <w:rFonts w:cs="Arial"/>
                <w:bCs/>
                <w:color w:val="000000"/>
                <w:sz w:val="18"/>
                <w:szCs w:val="18"/>
                <w:lang w:eastAsia="en-GB" w:bidi="ar-SA"/>
              </w:rPr>
              <w:t>3</w:t>
            </w:r>
          </w:p>
        </w:tc>
        <w:tc>
          <w:tcPr>
            <w:tcW w:w="1450" w:type="pct"/>
            <w:shd w:val="clear" w:color="auto" w:fill="auto"/>
            <w:vAlign w:val="center"/>
          </w:tcPr>
          <w:p w14:paraId="7F34DAB4" w14:textId="77777777" w:rsidR="001902D2" w:rsidRPr="002D2C2D" w:rsidRDefault="001902D2" w:rsidP="001902D2">
            <w:pPr>
              <w:widowControl/>
              <w:rPr>
                <w:rFonts w:cs="Arial"/>
                <w:bCs/>
                <w:color w:val="000000"/>
                <w:sz w:val="18"/>
                <w:szCs w:val="18"/>
                <w:lang w:eastAsia="en-GB" w:bidi="ar-SA"/>
              </w:rPr>
            </w:pPr>
            <w:r w:rsidRPr="002D2C2D">
              <w:rPr>
                <w:rFonts w:cs="Arial"/>
                <w:bCs/>
                <w:color w:val="000000"/>
                <w:sz w:val="18"/>
                <w:szCs w:val="18"/>
                <w:lang w:eastAsia="en-GB" w:bidi="ar-SA"/>
              </w:rPr>
              <w:t>All Ice cream &amp; edible ices</w:t>
            </w:r>
          </w:p>
        </w:tc>
        <w:tc>
          <w:tcPr>
            <w:tcW w:w="263" w:type="pct"/>
            <w:shd w:val="clear" w:color="auto" w:fill="auto"/>
            <w:vAlign w:val="center"/>
          </w:tcPr>
          <w:p w14:paraId="29B72FF1" w14:textId="77777777" w:rsidR="001902D2" w:rsidRPr="002D2C2D" w:rsidRDefault="001902D2" w:rsidP="001902D2">
            <w:pPr>
              <w:widowControl/>
              <w:tabs>
                <w:tab w:val="decimal" w:pos="340"/>
              </w:tabs>
              <w:rPr>
                <w:rFonts w:cs="Arial"/>
                <w:bCs/>
                <w:color w:val="000000"/>
                <w:sz w:val="18"/>
                <w:szCs w:val="18"/>
                <w:lang w:eastAsia="en-GB" w:bidi="ar-SA"/>
              </w:rPr>
            </w:pPr>
            <w:r w:rsidRPr="002D2C2D">
              <w:rPr>
                <w:rFonts w:cs="Arial"/>
                <w:bCs/>
                <w:color w:val="000000"/>
                <w:sz w:val="18"/>
                <w:szCs w:val="18"/>
              </w:rPr>
              <w:t>1</w:t>
            </w:r>
          </w:p>
        </w:tc>
        <w:tc>
          <w:tcPr>
            <w:tcW w:w="263" w:type="pct"/>
            <w:vAlign w:val="center"/>
          </w:tcPr>
          <w:p w14:paraId="73B6F076" w14:textId="77777777" w:rsidR="001902D2" w:rsidRPr="002D2C2D" w:rsidRDefault="001902D2" w:rsidP="001902D2">
            <w:pPr>
              <w:widowControl/>
              <w:tabs>
                <w:tab w:val="decimal" w:pos="340"/>
              </w:tabs>
              <w:rPr>
                <w:rFonts w:cs="Arial"/>
                <w:bCs/>
                <w:color w:val="000000"/>
                <w:sz w:val="18"/>
                <w:szCs w:val="18"/>
              </w:rPr>
            </w:pPr>
            <w:r w:rsidRPr="002D2C2D">
              <w:rPr>
                <w:rFonts w:cs="Arial"/>
                <w:bCs/>
                <w:color w:val="000000"/>
                <w:sz w:val="18"/>
                <w:szCs w:val="18"/>
              </w:rPr>
              <w:t>1</w:t>
            </w:r>
          </w:p>
        </w:tc>
        <w:tc>
          <w:tcPr>
            <w:tcW w:w="264" w:type="pct"/>
            <w:shd w:val="clear" w:color="auto" w:fill="auto"/>
            <w:vAlign w:val="center"/>
          </w:tcPr>
          <w:p w14:paraId="4C33DCBF" w14:textId="77777777" w:rsidR="001902D2" w:rsidRPr="002D2C2D" w:rsidRDefault="001902D2" w:rsidP="001902D2">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3" w:type="pct"/>
            <w:shd w:val="clear" w:color="auto" w:fill="auto"/>
            <w:vAlign w:val="center"/>
          </w:tcPr>
          <w:p w14:paraId="7CA86B37" w14:textId="77777777" w:rsidR="001902D2" w:rsidRPr="002D2C2D" w:rsidRDefault="001902D2" w:rsidP="001902D2">
            <w:pPr>
              <w:widowControl/>
              <w:tabs>
                <w:tab w:val="decimal" w:pos="340"/>
              </w:tabs>
              <w:rPr>
                <w:rFonts w:cs="Arial"/>
                <w:bCs/>
                <w:color w:val="000000"/>
                <w:sz w:val="18"/>
                <w:szCs w:val="18"/>
                <w:lang w:eastAsia="en-GB" w:bidi="ar-SA"/>
              </w:rPr>
            </w:pPr>
            <w:r w:rsidRPr="002D2C2D">
              <w:rPr>
                <w:rFonts w:cs="Arial"/>
                <w:bCs/>
                <w:color w:val="000000"/>
                <w:sz w:val="18"/>
                <w:szCs w:val="18"/>
              </w:rPr>
              <w:t>2</w:t>
            </w:r>
          </w:p>
        </w:tc>
        <w:tc>
          <w:tcPr>
            <w:tcW w:w="263" w:type="pct"/>
            <w:vAlign w:val="center"/>
          </w:tcPr>
          <w:p w14:paraId="64262965" w14:textId="77777777" w:rsidR="001902D2" w:rsidRPr="002D2C2D" w:rsidRDefault="001902D2" w:rsidP="001902D2">
            <w:pPr>
              <w:widowControl/>
              <w:tabs>
                <w:tab w:val="decimal" w:pos="340"/>
              </w:tabs>
              <w:rPr>
                <w:rFonts w:cs="Arial"/>
                <w:bCs/>
                <w:color w:val="000000"/>
                <w:sz w:val="18"/>
                <w:szCs w:val="18"/>
              </w:rPr>
            </w:pPr>
            <w:r w:rsidRPr="002D2C2D">
              <w:rPr>
                <w:rFonts w:cs="Arial"/>
                <w:bCs/>
                <w:color w:val="000000"/>
                <w:sz w:val="18"/>
                <w:szCs w:val="18"/>
              </w:rPr>
              <w:t>1</w:t>
            </w:r>
          </w:p>
        </w:tc>
        <w:tc>
          <w:tcPr>
            <w:tcW w:w="264" w:type="pct"/>
            <w:shd w:val="clear" w:color="auto" w:fill="auto"/>
            <w:vAlign w:val="center"/>
          </w:tcPr>
          <w:p w14:paraId="270EF0D1" w14:textId="77777777" w:rsidR="001902D2" w:rsidRPr="002D2C2D" w:rsidRDefault="001902D2" w:rsidP="001902D2">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3" w:type="pct"/>
            <w:shd w:val="clear" w:color="auto" w:fill="auto"/>
            <w:vAlign w:val="center"/>
          </w:tcPr>
          <w:p w14:paraId="033955B3" w14:textId="77777777" w:rsidR="001902D2" w:rsidRPr="002D2C2D" w:rsidRDefault="001902D2" w:rsidP="001902D2">
            <w:pPr>
              <w:widowControl/>
              <w:tabs>
                <w:tab w:val="decimal" w:pos="340"/>
              </w:tabs>
              <w:rPr>
                <w:rFonts w:cs="Arial"/>
                <w:bCs/>
                <w:sz w:val="18"/>
                <w:szCs w:val="18"/>
                <w:lang w:eastAsia="en-GB" w:bidi="ar-SA"/>
              </w:rPr>
            </w:pPr>
            <w:r w:rsidRPr="002D2C2D">
              <w:rPr>
                <w:rFonts w:cs="Arial"/>
                <w:bCs/>
                <w:sz w:val="18"/>
                <w:szCs w:val="18"/>
              </w:rPr>
              <w:t>&lt;1</w:t>
            </w:r>
          </w:p>
        </w:tc>
        <w:tc>
          <w:tcPr>
            <w:tcW w:w="263" w:type="pct"/>
            <w:vAlign w:val="center"/>
          </w:tcPr>
          <w:p w14:paraId="49996A5A" w14:textId="77777777" w:rsidR="001902D2" w:rsidRPr="002D2C2D" w:rsidRDefault="001902D2" w:rsidP="001902D2">
            <w:pPr>
              <w:widowControl/>
              <w:tabs>
                <w:tab w:val="decimal" w:pos="340"/>
              </w:tabs>
              <w:rPr>
                <w:rFonts w:cs="Arial"/>
                <w:bCs/>
                <w:sz w:val="18"/>
                <w:szCs w:val="18"/>
              </w:rPr>
            </w:pPr>
            <w:r w:rsidRPr="002D2C2D">
              <w:rPr>
                <w:rFonts w:cs="Arial"/>
                <w:bCs/>
                <w:sz w:val="18"/>
                <w:szCs w:val="18"/>
              </w:rPr>
              <w:t>&lt;1</w:t>
            </w:r>
          </w:p>
        </w:tc>
        <w:tc>
          <w:tcPr>
            <w:tcW w:w="264" w:type="pct"/>
            <w:shd w:val="clear" w:color="auto" w:fill="auto"/>
            <w:vAlign w:val="center"/>
          </w:tcPr>
          <w:p w14:paraId="1D91CCA0" w14:textId="77777777" w:rsidR="001902D2" w:rsidRPr="002D2C2D" w:rsidRDefault="001902D2" w:rsidP="001902D2">
            <w:pPr>
              <w:widowControl/>
              <w:tabs>
                <w:tab w:val="decimal" w:pos="340"/>
              </w:tabs>
              <w:rPr>
                <w:rFonts w:cs="Arial"/>
                <w:bCs/>
                <w:sz w:val="18"/>
                <w:szCs w:val="18"/>
                <w:lang w:eastAsia="en-GB" w:bidi="ar-SA"/>
              </w:rPr>
            </w:pPr>
            <w:r w:rsidRPr="002D2C2D">
              <w:rPr>
                <w:rFonts w:cs="Arial"/>
                <w:bCs/>
                <w:sz w:val="18"/>
                <w:szCs w:val="18"/>
              </w:rPr>
              <w:t>&lt;1</w:t>
            </w:r>
          </w:p>
        </w:tc>
        <w:tc>
          <w:tcPr>
            <w:tcW w:w="264" w:type="pct"/>
            <w:shd w:val="clear" w:color="auto" w:fill="auto"/>
            <w:vAlign w:val="center"/>
          </w:tcPr>
          <w:p w14:paraId="7D63DD01" w14:textId="77777777" w:rsidR="001902D2" w:rsidRPr="002D2C2D" w:rsidRDefault="001902D2" w:rsidP="001902D2">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4" w:type="pct"/>
            <w:vAlign w:val="center"/>
          </w:tcPr>
          <w:p w14:paraId="7B22691E" w14:textId="77777777" w:rsidR="001902D2" w:rsidRPr="002D2C2D" w:rsidRDefault="001902D2" w:rsidP="001902D2">
            <w:pPr>
              <w:widowControl/>
              <w:tabs>
                <w:tab w:val="decimal" w:pos="340"/>
              </w:tabs>
              <w:rPr>
                <w:rFonts w:cs="Arial"/>
                <w:bCs/>
                <w:color w:val="000000"/>
                <w:sz w:val="18"/>
                <w:szCs w:val="18"/>
              </w:rPr>
            </w:pPr>
            <w:r w:rsidRPr="002D2C2D">
              <w:rPr>
                <w:rFonts w:cs="Arial"/>
                <w:bCs/>
                <w:color w:val="000000"/>
                <w:sz w:val="18"/>
                <w:szCs w:val="18"/>
              </w:rPr>
              <w:t>&lt;1</w:t>
            </w:r>
          </w:p>
        </w:tc>
        <w:tc>
          <w:tcPr>
            <w:tcW w:w="199" w:type="pct"/>
            <w:shd w:val="clear" w:color="auto" w:fill="auto"/>
            <w:vAlign w:val="center"/>
          </w:tcPr>
          <w:p w14:paraId="7227AA8B" w14:textId="77777777" w:rsidR="001902D2" w:rsidRPr="002D2C2D" w:rsidRDefault="001902D2" w:rsidP="001902D2">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r>
      <w:tr w:rsidR="001902D2" w:rsidRPr="002D2C2D" w14:paraId="56B05057" w14:textId="77777777" w:rsidTr="001A319B">
        <w:trPr>
          <w:cantSplit/>
        </w:trPr>
        <w:tc>
          <w:tcPr>
            <w:tcW w:w="456" w:type="pct"/>
            <w:shd w:val="clear" w:color="auto" w:fill="auto"/>
            <w:vAlign w:val="center"/>
            <w:hideMark/>
          </w:tcPr>
          <w:p w14:paraId="01D4B13A" w14:textId="77777777" w:rsidR="001902D2" w:rsidRPr="002D2C2D" w:rsidRDefault="001902D2" w:rsidP="001902D2">
            <w:pPr>
              <w:rPr>
                <w:rFonts w:cs="Arial"/>
                <w:bCs/>
                <w:color w:val="000000"/>
                <w:sz w:val="18"/>
                <w:szCs w:val="18"/>
                <w:lang w:eastAsia="en-GB" w:bidi="ar-SA"/>
              </w:rPr>
            </w:pPr>
            <w:r w:rsidRPr="002D2C2D">
              <w:rPr>
                <w:rFonts w:cs="Arial"/>
                <w:bCs/>
                <w:color w:val="000000"/>
                <w:sz w:val="18"/>
                <w:szCs w:val="18"/>
                <w:lang w:eastAsia="en-GB" w:bidi="ar-SA"/>
              </w:rPr>
              <w:t>4</w:t>
            </w:r>
          </w:p>
        </w:tc>
        <w:tc>
          <w:tcPr>
            <w:tcW w:w="1450" w:type="pct"/>
            <w:tcBorders>
              <w:bottom w:val="single" w:sz="4" w:space="0" w:color="auto"/>
            </w:tcBorders>
            <w:shd w:val="clear" w:color="auto" w:fill="auto"/>
            <w:vAlign w:val="center"/>
          </w:tcPr>
          <w:p w14:paraId="579F9C91" w14:textId="77777777" w:rsidR="001902D2" w:rsidRPr="002D2C2D" w:rsidRDefault="001902D2" w:rsidP="001902D2">
            <w:pPr>
              <w:keepNext/>
              <w:keepLines/>
              <w:widowControl/>
              <w:rPr>
                <w:rFonts w:cs="Arial"/>
                <w:bCs/>
                <w:color w:val="000000"/>
                <w:sz w:val="18"/>
                <w:szCs w:val="18"/>
                <w:lang w:eastAsia="en-GB" w:bidi="ar-SA"/>
              </w:rPr>
            </w:pPr>
            <w:r w:rsidRPr="002D2C2D">
              <w:rPr>
                <w:rFonts w:cs="Arial"/>
                <w:bCs/>
                <w:color w:val="000000"/>
                <w:sz w:val="18"/>
                <w:szCs w:val="18"/>
                <w:lang w:eastAsia="en-GB" w:bidi="ar-SA"/>
              </w:rPr>
              <w:t>All Fruit &amp; vegetables (including fungi/ nuts/ seeds/ herbs/ spices)</w:t>
            </w:r>
          </w:p>
        </w:tc>
        <w:tc>
          <w:tcPr>
            <w:tcW w:w="263" w:type="pct"/>
            <w:shd w:val="clear" w:color="auto" w:fill="auto"/>
            <w:vAlign w:val="center"/>
          </w:tcPr>
          <w:p w14:paraId="21463DBF" w14:textId="77777777" w:rsidR="001902D2" w:rsidRPr="002D2C2D" w:rsidRDefault="001902D2" w:rsidP="001902D2">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3</w:t>
            </w:r>
          </w:p>
        </w:tc>
        <w:tc>
          <w:tcPr>
            <w:tcW w:w="263" w:type="pct"/>
            <w:vAlign w:val="center"/>
          </w:tcPr>
          <w:p w14:paraId="1EBB956A" w14:textId="77777777" w:rsidR="001902D2" w:rsidRPr="002D2C2D" w:rsidRDefault="001902D2" w:rsidP="001902D2">
            <w:pPr>
              <w:keepNext/>
              <w:keepLines/>
              <w:widowControl/>
              <w:tabs>
                <w:tab w:val="decimal" w:pos="340"/>
              </w:tabs>
              <w:rPr>
                <w:rFonts w:cs="Arial"/>
                <w:bCs/>
                <w:color w:val="000000"/>
                <w:sz w:val="18"/>
                <w:szCs w:val="18"/>
              </w:rPr>
            </w:pPr>
            <w:r w:rsidRPr="002D2C2D">
              <w:rPr>
                <w:rFonts w:cs="Arial"/>
                <w:bCs/>
                <w:color w:val="000000"/>
                <w:sz w:val="18"/>
                <w:szCs w:val="18"/>
              </w:rPr>
              <w:t>3</w:t>
            </w:r>
          </w:p>
        </w:tc>
        <w:tc>
          <w:tcPr>
            <w:tcW w:w="264" w:type="pct"/>
            <w:shd w:val="clear" w:color="auto" w:fill="auto"/>
            <w:vAlign w:val="center"/>
          </w:tcPr>
          <w:p w14:paraId="1D5FD2DC" w14:textId="77777777" w:rsidR="001902D2" w:rsidRPr="002D2C2D" w:rsidRDefault="001902D2" w:rsidP="001902D2">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3" w:type="pct"/>
            <w:shd w:val="clear" w:color="auto" w:fill="auto"/>
            <w:vAlign w:val="center"/>
          </w:tcPr>
          <w:p w14:paraId="0029031D" w14:textId="77777777" w:rsidR="001902D2" w:rsidRPr="002D2C2D" w:rsidRDefault="001902D2" w:rsidP="001902D2">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2</w:t>
            </w:r>
          </w:p>
        </w:tc>
        <w:tc>
          <w:tcPr>
            <w:tcW w:w="263" w:type="pct"/>
            <w:vAlign w:val="center"/>
          </w:tcPr>
          <w:p w14:paraId="4069240F" w14:textId="77777777" w:rsidR="001902D2" w:rsidRPr="002D2C2D" w:rsidRDefault="001902D2" w:rsidP="001902D2">
            <w:pPr>
              <w:keepNext/>
              <w:keepLines/>
              <w:widowControl/>
              <w:tabs>
                <w:tab w:val="decimal" w:pos="340"/>
              </w:tabs>
              <w:rPr>
                <w:rFonts w:cs="Arial"/>
                <w:bCs/>
                <w:color w:val="000000"/>
                <w:sz w:val="18"/>
                <w:szCs w:val="18"/>
              </w:rPr>
            </w:pPr>
            <w:r w:rsidRPr="002D2C2D">
              <w:rPr>
                <w:rFonts w:cs="Arial"/>
                <w:bCs/>
                <w:color w:val="000000"/>
                <w:sz w:val="18"/>
                <w:szCs w:val="18"/>
              </w:rPr>
              <w:t>2</w:t>
            </w:r>
          </w:p>
        </w:tc>
        <w:tc>
          <w:tcPr>
            <w:tcW w:w="264" w:type="pct"/>
            <w:shd w:val="clear" w:color="auto" w:fill="auto"/>
            <w:vAlign w:val="center"/>
          </w:tcPr>
          <w:p w14:paraId="1C9939F4" w14:textId="77777777" w:rsidR="001902D2" w:rsidRPr="002D2C2D" w:rsidRDefault="001902D2" w:rsidP="001902D2">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3" w:type="pct"/>
            <w:shd w:val="clear" w:color="auto" w:fill="auto"/>
            <w:vAlign w:val="center"/>
          </w:tcPr>
          <w:p w14:paraId="3D511A16" w14:textId="77777777" w:rsidR="001902D2" w:rsidRPr="002D2C2D" w:rsidRDefault="001902D2" w:rsidP="001902D2">
            <w:pPr>
              <w:keepNext/>
              <w:keepLines/>
              <w:widowControl/>
              <w:tabs>
                <w:tab w:val="decimal" w:pos="340"/>
              </w:tabs>
              <w:rPr>
                <w:rFonts w:cs="Arial"/>
                <w:bCs/>
                <w:sz w:val="18"/>
                <w:szCs w:val="18"/>
                <w:highlight w:val="magenta"/>
                <w:lang w:eastAsia="en-GB" w:bidi="ar-SA"/>
              </w:rPr>
            </w:pPr>
            <w:r w:rsidRPr="002D2C2D">
              <w:rPr>
                <w:rFonts w:cs="Arial"/>
                <w:bCs/>
                <w:sz w:val="18"/>
                <w:szCs w:val="18"/>
              </w:rPr>
              <w:t>2</w:t>
            </w:r>
          </w:p>
        </w:tc>
        <w:tc>
          <w:tcPr>
            <w:tcW w:w="263" w:type="pct"/>
            <w:vAlign w:val="center"/>
          </w:tcPr>
          <w:p w14:paraId="6B628CAA" w14:textId="77777777" w:rsidR="001902D2" w:rsidRPr="002D2C2D" w:rsidRDefault="001902D2" w:rsidP="001902D2">
            <w:pPr>
              <w:keepNext/>
              <w:keepLines/>
              <w:widowControl/>
              <w:tabs>
                <w:tab w:val="decimal" w:pos="340"/>
              </w:tabs>
              <w:rPr>
                <w:rFonts w:cs="Arial"/>
                <w:bCs/>
                <w:sz w:val="18"/>
                <w:szCs w:val="18"/>
              </w:rPr>
            </w:pPr>
            <w:r w:rsidRPr="002D2C2D">
              <w:rPr>
                <w:rFonts w:cs="Arial"/>
                <w:bCs/>
                <w:sz w:val="18"/>
                <w:szCs w:val="18"/>
              </w:rPr>
              <w:t>2</w:t>
            </w:r>
          </w:p>
        </w:tc>
        <w:tc>
          <w:tcPr>
            <w:tcW w:w="264" w:type="pct"/>
            <w:shd w:val="clear" w:color="auto" w:fill="auto"/>
            <w:vAlign w:val="center"/>
          </w:tcPr>
          <w:p w14:paraId="3EBB4B52" w14:textId="77777777" w:rsidR="001902D2" w:rsidRPr="002D2C2D" w:rsidRDefault="001902D2" w:rsidP="001902D2">
            <w:pPr>
              <w:keepNext/>
              <w:keepLines/>
              <w:widowControl/>
              <w:tabs>
                <w:tab w:val="decimal" w:pos="340"/>
              </w:tabs>
              <w:rPr>
                <w:rFonts w:cs="Arial"/>
                <w:bCs/>
                <w:sz w:val="18"/>
                <w:szCs w:val="18"/>
                <w:highlight w:val="magenta"/>
                <w:lang w:eastAsia="en-GB" w:bidi="ar-SA"/>
              </w:rPr>
            </w:pPr>
            <w:r w:rsidRPr="002D2C2D">
              <w:rPr>
                <w:rFonts w:cs="Arial"/>
                <w:bCs/>
                <w:sz w:val="18"/>
                <w:szCs w:val="18"/>
              </w:rPr>
              <w:t>&lt;1</w:t>
            </w:r>
          </w:p>
        </w:tc>
        <w:tc>
          <w:tcPr>
            <w:tcW w:w="264" w:type="pct"/>
            <w:shd w:val="clear" w:color="auto" w:fill="auto"/>
            <w:vAlign w:val="center"/>
          </w:tcPr>
          <w:p w14:paraId="3245627B" w14:textId="77777777" w:rsidR="001902D2" w:rsidRPr="002D2C2D" w:rsidRDefault="001902D2" w:rsidP="001902D2">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2</w:t>
            </w:r>
          </w:p>
        </w:tc>
        <w:tc>
          <w:tcPr>
            <w:tcW w:w="264" w:type="pct"/>
            <w:vAlign w:val="center"/>
          </w:tcPr>
          <w:p w14:paraId="2ADFCC6C" w14:textId="77777777" w:rsidR="001902D2" w:rsidRPr="002D2C2D" w:rsidRDefault="001902D2" w:rsidP="001902D2">
            <w:pPr>
              <w:keepNext/>
              <w:keepLines/>
              <w:widowControl/>
              <w:tabs>
                <w:tab w:val="decimal" w:pos="340"/>
              </w:tabs>
              <w:rPr>
                <w:rFonts w:cs="Arial"/>
                <w:bCs/>
                <w:color w:val="000000"/>
                <w:sz w:val="18"/>
                <w:szCs w:val="18"/>
              </w:rPr>
            </w:pPr>
            <w:r w:rsidRPr="002D2C2D">
              <w:rPr>
                <w:rFonts w:cs="Arial"/>
                <w:bCs/>
                <w:color w:val="000000"/>
                <w:sz w:val="18"/>
                <w:szCs w:val="18"/>
              </w:rPr>
              <w:t>2</w:t>
            </w:r>
          </w:p>
        </w:tc>
        <w:tc>
          <w:tcPr>
            <w:tcW w:w="199" w:type="pct"/>
            <w:shd w:val="clear" w:color="auto" w:fill="auto"/>
            <w:vAlign w:val="center"/>
          </w:tcPr>
          <w:p w14:paraId="66B20680" w14:textId="77777777" w:rsidR="001902D2" w:rsidRPr="002D2C2D" w:rsidRDefault="001902D2" w:rsidP="001902D2">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r>
      <w:tr w:rsidR="001902D2" w:rsidRPr="002D2C2D" w14:paraId="6DCF0D99" w14:textId="77777777" w:rsidTr="001A319B">
        <w:trPr>
          <w:cantSplit/>
        </w:trPr>
        <w:tc>
          <w:tcPr>
            <w:tcW w:w="456" w:type="pct"/>
            <w:shd w:val="clear" w:color="auto" w:fill="D9D9D9" w:themeFill="background1" w:themeFillShade="D9"/>
            <w:vAlign w:val="center"/>
            <w:hideMark/>
          </w:tcPr>
          <w:p w14:paraId="48B555DA" w14:textId="77777777" w:rsidR="001902D2" w:rsidRPr="002D2C2D" w:rsidRDefault="001902D2" w:rsidP="001902D2">
            <w:pPr>
              <w:widowControl/>
              <w:rPr>
                <w:rFonts w:cs="Arial"/>
                <w:bCs/>
                <w:color w:val="000000"/>
                <w:sz w:val="18"/>
                <w:szCs w:val="18"/>
                <w:lang w:eastAsia="en-GB" w:bidi="ar-SA"/>
              </w:rPr>
            </w:pPr>
            <w:r w:rsidRPr="002D2C2D">
              <w:rPr>
                <w:rFonts w:cs="Arial"/>
                <w:bCs/>
                <w:color w:val="000000"/>
                <w:sz w:val="18"/>
                <w:szCs w:val="18"/>
                <w:lang w:eastAsia="en-GB" w:bidi="ar-SA"/>
              </w:rPr>
              <w:t>5</w:t>
            </w:r>
          </w:p>
        </w:tc>
        <w:tc>
          <w:tcPr>
            <w:tcW w:w="1450" w:type="pct"/>
            <w:tcBorders>
              <w:bottom w:val="single" w:sz="4" w:space="0" w:color="auto"/>
            </w:tcBorders>
            <w:shd w:val="clear" w:color="auto" w:fill="D9D9D9" w:themeFill="background1" w:themeFillShade="D9"/>
            <w:vAlign w:val="center"/>
          </w:tcPr>
          <w:p w14:paraId="6FAB57B8" w14:textId="77777777" w:rsidR="001902D2" w:rsidRPr="002D2C2D" w:rsidRDefault="001902D2" w:rsidP="001902D2">
            <w:pPr>
              <w:widowControl/>
              <w:rPr>
                <w:rFonts w:cs="Arial"/>
                <w:bCs/>
                <w:color w:val="000000"/>
                <w:sz w:val="18"/>
                <w:szCs w:val="18"/>
                <w:lang w:eastAsia="en-GB" w:bidi="ar-SA"/>
              </w:rPr>
            </w:pPr>
            <w:r w:rsidRPr="002D2C2D">
              <w:rPr>
                <w:rFonts w:cs="Arial"/>
                <w:bCs/>
                <w:color w:val="000000"/>
                <w:sz w:val="18"/>
                <w:szCs w:val="18"/>
                <w:lang w:eastAsia="en-GB" w:bidi="ar-SA"/>
              </w:rPr>
              <w:t>All Confectionery</w:t>
            </w:r>
          </w:p>
        </w:tc>
        <w:tc>
          <w:tcPr>
            <w:tcW w:w="263" w:type="pct"/>
            <w:shd w:val="clear" w:color="auto" w:fill="auto"/>
            <w:vAlign w:val="center"/>
          </w:tcPr>
          <w:p w14:paraId="1B5131A5"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3" w:type="pct"/>
            <w:vAlign w:val="center"/>
          </w:tcPr>
          <w:p w14:paraId="14EA4DE7" w14:textId="77777777" w:rsidR="001902D2" w:rsidRPr="002D2C2D" w:rsidRDefault="001902D2" w:rsidP="001902D2">
            <w:pPr>
              <w:widowControl/>
              <w:tabs>
                <w:tab w:val="decimal" w:pos="340"/>
              </w:tabs>
              <w:rPr>
                <w:rFonts w:cs="Arial"/>
                <w:bCs/>
                <w:color w:val="000000"/>
                <w:sz w:val="18"/>
                <w:szCs w:val="18"/>
              </w:rPr>
            </w:pPr>
            <w:r w:rsidRPr="002D2C2D">
              <w:rPr>
                <w:rFonts w:cs="Arial"/>
                <w:bCs/>
                <w:color w:val="000000"/>
                <w:sz w:val="18"/>
                <w:szCs w:val="18"/>
              </w:rPr>
              <w:t>&lt;1</w:t>
            </w:r>
          </w:p>
        </w:tc>
        <w:tc>
          <w:tcPr>
            <w:tcW w:w="264" w:type="pct"/>
            <w:tcBorders>
              <w:bottom w:val="single" w:sz="4" w:space="0" w:color="auto"/>
            </w:tcBorders>
            <w:shd w:val="clear" w:color="auto" w:fill="D9D9D9" w:themeFill="background1" w:themeFillShade="D9"/>
            <w:vAlign w:val="center"/>
          </w:tcPr>
          <w:p w14:paraId="7BBB4AEA"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5</w:t>
            </w:r>
          </w:p>
        </w:tc>
        <w:tc>
          <w:tcPr>
            <w:tcW w:w="263" w:type="pct"/>
            <w:shd w:val="clear" w:color="auto" w:fill="auto"/>
            <w:vAlign w:val="center"/>
          </w:tcPr>
          <w:p w14:paraId="5B35F575"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1</w:t>
            </w:r>
          </w:p>
        </w:tc>
        <w:tc>
          <w:tcPr>
            <w:tcW w:w="263" w:type="pct"/>
            <w:vAlign w:val="center"/>
          </w:tcPr>
          <w:p w14:paraId="40166C7C" w14:textId="77777777" w:rsidR="001902D2" w:rsidRPr="002D2C2D" w:rsidRDefault="001902D2" w:rsidP="001902D2">
            <w:pPr>
              <w:widowControl/>
              <w:tabs>
                <w:tab w:val="decimal" w:pos="340"/>
              </w:tabs>
              <w:rPr>
                <w:rFonts w:cs="Arial"/>
                <w:bCs/>
                <w:color w:val="000000"/>
                <w:sz w:val="18"/>
                <w:szCs w:val="18"/>
              </w:rPr>
            </w:pPr>
            <w:r w:rsidRPr="002D2C2D">
              <w:rPr>
                <w:rFonts w:cs="Arial"/>
                <w:bCs/>
                <w:color w:val="000000"/>
                <w:sz w:val="18"/>
                <w:szCs w:val="18"/>
              </w:rPr>
              <w:t>1</w:t>
            </w:r>
          </w:p>
        </w:tc>
        <w:tc>
          <w:tcPr>
            <w:tcW w:w="264" w:type="pct"/>
            <w:shd w:val="clear" w:color="auto" w:fill="D9D9D9" w:themeFill="background1" w:themeFillShade="D9"/>
            <w:vAlign w:val="center"/>
          </w:tcPr>
          <w:p w14:paraId="374CA8DD"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6</w:t>
            </w:r>
          </w:p>
        </w:tc>
        <w:tc>
          <w:tcPr>
            <w:tcW w:w="263" w:type="pct"/>
            <w:shd w:val="clear" w:color="auto" w:fill="auto"/>
            <w:vAlign w:val="center"/>
          </w:tcPr>
          <w:p w14:paraId="12F6FBA2" w14:textId="77777777" w:rsidR="001902D2" w:rsidRPr="002D2C2D" w:rsidRDefault="001902D2" w:rsidP="001902D2">
            <w:pPr>
              <w:widowControl/>
              <w:tabs>
                <w:tab w:val="decimal" w:pos="340"/>
              </w:tabs>
              <w:rPr>
                <w:rFonts w:cs="Arial"/>
                <w:bCs/>
                <w:sz w:val="18"/>
                <w:szCs w:val="18"/>
                <w:highlight w:val="magenta"/>
                <w:lang w:eastAsia="en-GB" w:bidi="ar-SA"/>
              </w:rPr>
            </w:pPr>
            <w:r w:rsidRPr="002D2C2D">
              <w:rPr>
                <w:rFonts w:cs="Arial"/>
                <w:bCs/>
                <w:sz w:val="18"/>
                <w:szCs w:val="18"/>
              </w:rPr>
              <w:t>&lt;1</w:t>
            </w:r>
          </w:p>
        </w:tc>
        <w:tc>
          <w:tcPr>
            <w:tcW w:w="263" w:type="pct"/>
            <w:vAlign w:val="center"/>
          </w:tcPr>
          <w:p w14:paraId="2820250F" w14:textId="77777777" w:rsidR="001902D2" w:rsidRPr="002D2C2D" w:rsidRDefault="001902D2" w:rsidP="001902D2">
            <w:pPr>
              <w:widowControl/>
              <w:tabs>
                <w:tab w:val="decimal" w:pos="340"/>
              </w:tabs>
              <w:rPr>
                <w:rFonts w:cs="Arial"/>
                <w:bCs/>
                <w:sz w:val="18"/>
                <w:szCs w:val="18"/>
              </w:rPr>
            </w:pPr>
            <w:r w:rsidRPr="002D2C2D">
              <w:rPr>
                <w:rFonts w:cs="Arial"/>
                <w:bCs/>
                <w:sz w:val="18"/>
                <w:szCs w:val="18"/>
              </w:rPr>
              <w:t>&lt;1</w:t>
            </w:r>
          </w:p>
        </w:tc>
        <w:tc>
          <w:tcPr>
            <w:tcW w:w="264" w:type="pct"/>
            <w:shd w:val="clear" w:color="auto" w:fill="auto"/>
            <w:vAlign w:val="center"/>
          </w:tcPr>
          <w:p w14:paraId="743A748E" w14:textId="77777777" w:rsidR="001902D2" w:rsidRPr="002D2C2D" w:rsidRDefault="001902D2" w:rsidP="001902D2">
            <w:pPr>
              <w:widowControl/>
              <w:tabs>
                <w:tab w:val="decimal" w:pos="340"/>
              </w:tabs>
              <w:rPr>
                <w:rFonts w:cs="Arial"/>
                <w:bCs/>
                <w:sz w:val="18"/>
                <w:szCs w:val="18"/>
                <w:highlight w:val="magenta"/>
                <w:lang w:eastAsia="en-GB" w:bidi="ar-SA"/>
              </w:rPr>
            </w:pPr>
            <w:r w:rsidRPr="002D2C2D">
              <w:rPr>
                <w:rFonts w:cs="Arial"/>
                <w:bCs/>
                <w:sz w:val="18"/>
                <w:szCs w:val="18"/>
              </w:rPr>
              <w:t>4</w:t>
            </w:r>
          </w:p>
        </w:tc>
        <w:tc>
          <w:tcPr>
            <w:tcW w:w="264" w:type="pct"/>
            <w:shd w:val="clear" w:color="auto" w:fill="auto"/>
            <w:vAlign w:val="center"/>
          </w:tcPr>
          <w:p w14:paraId="01967010"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0355CEB0" w14:textId="77777777" w:rsidR="001902D2" w:rsidRPr="002D2C2D" w:rsidRDefault="001902D2" w:rsidP="001902D2">
            <w:pPr>
              <w:widowControl/>
              <w:tabs>
                <w:tab w:val="decimal" w:pos="340"/>
              </w:tabs>
              <w:rPr>
                <w:rFonts w:cs="Arial"/>
                <w:bCs/>
                <w:color w:val="000000"/>
                <w:sz w:val="18"/>
                <w:szCs w:val="18"/>
              </w:rPr>
            </w:pPr>
            <w:r w:rsidRPr="002D2C2D">
              <w:rPr>
                <w:rFonts w:cs="Arial"/>
                <w:bCs/>
                <w:color w:val="000000"/>
                <w:sz w:val="18"/>
                <w:szCs w:val="18"/>
              </w:rPr>
              <w:t>&lt;1</w:t>
            </w:r>
          </w:p>
        </w:tc>
        <w:tc>
          <w:tcPr>
            <w:tcW w:w="199" w:type="pct"/>
            <w:shd w:val="clear" w:color="auto" w:fill="auto"/>
            <w:vAlign w:val="center"/>
          </w:tcPr>
          <w:p w14:paraId="0DE6E43F"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4</w:t>
            </w:r>
          </w:p>
        </w:tc>
      </w:tr>
      <w:tr w:rsidR="001902D2" w:rsidRPr="002D2C2D" w14:paraId="1645C4D0" w14:textId="77777777" w:rsidTr="001A319B">
        <w:trPr>
          <w:cantSplit/>
        </w:trPr>
        <w:tc>
          <w:tcPr>
            <w:tcW w:w="456" w:type="pct"/>
            <w:shd w:val="clear" w:color="auto" w:fill="D9D9D9" w:themeFill="background1" w:themeFillShade="D9"/>
            <w:vAlign w:val="center"/>
            <w:hideMark/>
          </w:tcPr>
          <w:p w14:paraId="00C42771" w14:textId="77777777" w:rsidR="001902D2" w:rsidRPr="002D2C2D" w:rsidRDefault="001902D2" w:rsidP="001902D2">
            <w:pPr>
              <w:widowControl/>
              <w:rPr>
                <w:rFonts w:cs="Arial"/>
                <w:bCs/>
                <w:color w:val="000000"/>
                <w:sz w:val="18"/>
                <w:szCs w:val="18"/>
                <w:lang w:eastAsia="en-GB" w:bidi="ar-SA"/>
              </w:rPr>
            </w:pPr>
            <w:r w:rsidRPr="002D2C2D">
              <w:rPr>
                <w:rFonts w:cs="Arial"/>
                <w:bCs/>
                <w:color w:val="000000"/>
                <w:sz w:val="18"/>
                <w:szCs w:val="18"/>
                <w:lang w:eastAsia="en-GB" w:bidi="ar-SA"/>
              </w:rPr>
              <w:t>6</w:t>
            </w:r>
          </w:p>
        </w:tc>
        <w:tc>
          <w:tcPr>
            <w:tcW w:w="1450" w:type="pct"/>
            <w:tcBorders>
              <w:bottom w:val="single" w:sz="4" w:space="0" w:color="auto"/>
            </w:tcBorders>
            <w:shd w:val="clear" w:color="auto" w:fill="D9D9D9" w:themeFill="background1" w:themeFillShade="D9"/>
            <w:vAlign w:val="center"/>
          </w:tcPr>
          <w:p w14:paraId="0029C48A" w14:textId="77777777" w:rsidR="001902D2" w:rsidRPr="002D2C2D" w:rsidRDefault="001902D2" w:rsidP="001902D2">
            <w:pPr>
              <w:widowControl/>
              <w:rPr>
                <w:rFonts w:cs="Arial"/>
                <w:bCs/>
                <w:color w:val="000000"/>
                <w:sz w:val="18"/>
                <w:szCs w:val="18"/>
                <w:lang w:eastAsia="en-GB" w:bidi="ar-SA"/>
              </w:rPr>
            </w:pPr>
            <w:r w:rsidRPr="002D2C2D">
              <w:rPr>
                <w:rFonts w:cs="Arial"/>
                <w:bCs/>
                <w:color w:val="000000"/>
                <w:sz w:val="18"/>
                <w:szCs w:val="18"/>
                <w:lang w:eastAsia="en-GB" w:bidi="ar-SA"/>
              </w:rPr>
              <w:t>All Cereals &amp; cereal products</w:t>
            </w:r>
          </w:p>
        </w:tc>
        <w:tc>
          <w:tcPr>
            <w:tcW w:w="263" w:type="pct"/>
            <w:shd w:val="clear" w:color="auto" w:fill="auto"/>
            <w:vAlign w:val="center"/>
          </w:tcPr>
          <w:p w14:paraId="5D65953C"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3" w:type="pct"/>
            <w:vAlign w:val="center"/>
          </w:tcPr>
          <w:p w14:paraId="1D1AFF7E" w14:textId="77777777" w:rsidR="001902D2" w:rsidRPr="002D2C2D" w:rsidRDefault="001902D2" w:rsidP="001902D2">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2FC846F0"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4</w:t>
            </w:r>
          </w:p>
        </w:tc>
        <w:tc>
          <w:tcPr>
            <w:tcW w:w="263" w:type="pct"/>
            <w:shd w:val="clear" w:color="auto" w:fill="auto"/>
            <w:vAlign w:val="center"/>
          </w:tcPr>
          <w:p w14:paraId="31562793"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3" w:type="pct"/>
            <w:vAlign w:val="center"/>
          </w:tcPr>
          <w:p w14:paraId="513909B1" w14:textId="77777777" w:rsidR="001902D2" w:rsidRPr="002D2C2D" w:rsidRDefault="001902D2" w:rsidP="001902D2">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1435BC98"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3</w:t>
            </w:r>
          </w:p>
        </w:tc>
        <w:tc>
          <w:tcPr>
            <w:tcW w:w="263" w:type="pct"/>
            <w:shd w:val="clear" w:color="auto" w:fill="auto"/>
            <w:vAlign w:val="center"/>
          </w:tcPr>
          <w:p w14:paraId="6C90DF45" w14:textId="77777777" w:rsidR="001902D2" w:rsidRPr="002D2C2D" w:rsidRDefault="001902D2" w:rsidP="001902D2">
            <w:pPr>
              <w:widowControl/>
              <w:tabs>
                <w:tab w:val="decimal" w:pos="340"/>
              </w:tabs>
              <w:rPr>
                <w:rFonts w:cs="Arial"/>
                <w:bCs/>
                <w:sz w:val="18"/>
                <w:szCs w:val="18"/>
                <w:highlight w:val="magenta"/>
                <w:lang w:eastAsia="en-GB" w:bidi="ar-SA"/>
              </w:rPr>
            </w:pPr>
            <w:r w:rsidRPr="002D2C2D">
              <w:rPr>
                <w:rFonts w:cs="Arial"/>
                <w:bCs/>
                <w:sz w:val="18"/>
                <w:szCs w:val="18"/>
              </w:rPr>
              <w:t>&lt;1</w:t>
            </w:r>
          </w:p>
        </w:tc>
        <w:tc>
          <w:tcPr>
            <w:tcW w:w="263" w:type="pct"/>
            <w:vAlign w:val="center"/>
          </w:tcPr>
          <w:p w14:paraId="0CD241EC" w14:textId="77777777" w:rsidR="001902D2" w:rsidRPr="002D2C2D" w:rsidRDefault="001902D2" w:rsidP="001902D2">
            <w:pPr>
              <w:widowControl/>
              <w:tabs>
                <w:tab w:val="decimal" w:pos="340"/>
              </w:tabs>
              <w:rPr>
                <w:rFonts w:cs="Arial"/>
                <w:bCs/>
                <w:sz w:val="18"/>
                <w:szCs w:val="18"/>
              </w:rPr>
            </w:pPr>
            <w:r w:rsidRPr="002D2C2D">
              <w:rPr>
                <w:rFonts w:cs="Arial"/>
                <w:bCs/>
                <w:sz w:val="18"/>
                <w:szCs w:val="18"/>
              </w:rPr>
              <w:t>&lt;1</w:t>
            </w:r>
          </w:p>
        </w:tc>
        <w:tc>
          <w:tcPr>
            <w:tcW w:w="264" w:type="pct"/>
            <w:shd w:val="clear" w:color="auto" w:fill="D9D9D9" w:themeFill="background1" w:themeFillShade="D9"/>
            <w:vAlign w:val="center"/>
          </w:tcPr>
          <w:p w14:paraId="7937A4EA" w14:textId="77777777" w:rsidR="001902D2" w:rsidRPr="002D2C2D" w:rsidRDefault="001902D2" w:rsidP="001902D2">
            <w:pPr>
              <w:widowControl/>
              <w:tabs>
                <w:tab w:val="decimal" w:pos="340"/>
              </w:tabs>
              <w:rPr>
                <w:rFonts w:cs="Arial"/>
                <w:bCs/>
                <w:sz w:val="18"/>
                <w:szCs w:val="18"/>
                <w:lang w:eastAsia="en-GB" w:bidi="ar-SA"/>
              </w:rPr>
            </w:pPr>
            <w:r w:rsidRPr="002D2C2D">
              <w:rPr>
                <w:rFonts w:cs="Arial"/>
                <w:bCs/>
                <w:sz w:val="18"/>
                <w:szCs w:val="18"/>
              </w:rPr>
              <w:t>6</w:t>
            </w:r>
          </w:p>
        </w:tc>
        <w:tc>
          <w:tcPr>
            <w:tcW w:w="264" w:type="pct"/>
            <w:shd w:val="clear" w:color="auto" w:fill="auto"/>
            <w:vAlign w:val="center"/>
          </w:tcPr>
          <w:p w14:paraId="66BEAF53"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3C58E8FB" w14:textId="77777777" w:rsidR="001902D2" w:rsidRPr="002D2C2D" w:rsidRDefault="001902D2" w:rsidP="001902D2">
            <w:pPr>
              <w:widowControl/>
              <w:tabs>
                <w:tab w:val="decimal" w:pos="340"/>
              </w:tabs>
              <w:rPr>
                <w:rFonts w:cs="Arial"/>
                <w:bCs/>
                <w:color w:val="000000"/>
                <w:sz w:val="18"/>
                <w:szCs w:val="18"/>
              </w:rPr>
            </w:pPr>
            <w:r w:rsidRPr="002D2C2D">
              <w:rPr>
                <w:rFonts w:cs="Arial"/>
                <w:bCs/>
                <w:color w:val="000000"/>
                <w:sz w:val="18"/>
                <w:szCs w:val="18"/>
              </w:rPr>
              <w:t>&lt;1</w:t>
            </w:r>
          </w:p>
        </w:tc>
        <w:tc>
          <w:tcPr>
            <w:tcW w:w="199" w:type="pct"/>
            <w:shd w:val="clear" w:color="auto" w:fill="D9D9D9" w:themeFill="background1" w:themeFillShade="D9"/>
            <w:vAlign w:val="center"/>
          </w:tcPr>
          <w:p w14:paraId="39EEB941" w14:textId="77777777" w:rsidR="001902D2" w:rsidRPr="002D2C2D" w:rsidRDefault="001902D2" w:rsidP="001902D2">
            <w:pPr>
              <w:widowControl/>
              <w:tabs>
                <w:tab w:val="decimal" w:pos="340"/>
              </w:tabs>
              <w:rPr>
                <w:rFonts w:cs="Arial"/>
                <w:bCs/>
                <w:color w:val="000000"/>
                <w:sz w:val="18"/>
                <w:szCs w:val="18"/>
                <w:lang w:eastAsia="en-GB" w:bidi="ar-SA"/>
              </w:rPr>
            </w:pPr>
            <w:r w:rsidRPr="002D2C2D">
              <w:rPr>
                <w:rFonts w:cs="Arial"/>
                <w:bCs/>
                <w:color w:val="000000"/>
                <w:sz w:val="18"/>
                <w:szCs w:val="18"/>
              </w:rPr>
              <w:t>6</w:t>
            </w:r>
          </w:p>
        </w:tc>
      </w:tr>
      <w:tr w:rsidR="001902D2" w:rsidRPr="002D2C2D" w14:paraId="7ECB858F" w14:textId="77777777" w:rsidTr="0075508C">
        <w:trPr>
          <w:cantSplit/>
        </w:trPr>
        <w:tc>
          <w:tcPr>
            <w:tcW w:w="456" w:type="pct"/>
            <w:shd w:val="clear" w:color="auto" w:fill="D9D9D9" w:themeFill="background1" w:themeFillShade="D9"/>
            <w:vAlign w:val="center"/>
          </w:tcPr>
          <w:p w14:paraId="129193DC" w14:textId="619E669C" w:rsidR="001902D2" w:rsidRPr="002D2C2D" w:rsidRDefault="001902D2" w:rsidP="001902D2">
            <w:pPr>
              <w:widowControl/>
              <w:rPr>
                <w:rFonts w:cs="Arial"/>
                <w:color w:val="000000"/>
                <w:sz w:val="18"/>
                <w:szCs w:val="18"/>
                <w:lang w:eastAsia="en-GB" w:bidi="ar-SA"/>
              </w:rPr>
            </w:pPr>
            <w:r>
              <w:rPr>
                <w:rFonts w:cs="Arial"/>
                <w:color w:val="000000"/>
                <w:sz w:val="18"/>
                <w:szCs w:val="18"/>
                <w:lang w:eastAsia="en-GB" w:bidi="ar-SA"/>
              </w:rPr>
              <w:t>6.1.1</w:t>
            </w:r>
          </w:p>
        </w:tc>
        <w:tc>
          <w:tcPr>
            <w:tcW w:w="1450" w:type="pct"/>
            <w:shd w:val="clear" w:color="auto" w:fill="D9D9D9" w:themeFill="background1" w:themeFillShade="D9"/>
            <w:vAlign w:val="center"/>
          </w:tcPr>
          <w:p w14:paraId="75E20BCD" w14:textId="5989AE20" w:rsidR="001902D2" w:rsidRPr="002D2C2D" w:rsidRDefault="001902D2" w:rsidP="001902D2">
            <w:pPr>
              <w:widowControl/>
              <w:ind w:left="567" w:hanging="567"/>
              <w:rPr>
                <w:rFonts w:cs="Arial"/>
                <w:color w:val="000000" w:themeColor="text1"/>
                <w:sz w:val="18"/>
                <w:szCs w:val="18"/>
                <w:lang w:eastAsia="en-GB" w:bidi="ar-SA"/>
              </w:rPr>
            </w:pPr>
            <w:r>
              <w:rPr>
                <w:rFonts w:cs="Arial"/>
                <w:color w:val="000000"/>
                <w:sz w:val="18"/>
                <w:szCs w:val="18"/>
              </w:rPr>
              <w:tab/>
            </w:r>
            <w:r w:rsidRPr="00B83846">
              <w:rPr>
                <w:rFonts w:cs="Arial"/>
                <w:color w:val="000000"/>
                <w:sz w:val="18"/>
                <w:szCs w:val="18"/>
                <w:lang w:eastAsia="en-GB" w:bidi="ar-SA"/>
              </w:rPr>
              <w:t>Plain oats, dry</w:t>
            </w:r>
          </w:p>
        </w:tc>
        <w:tc>
          <w:tcPr>
            <w:tcW w:w="263" w:type="pct"/>
            <w:shd w:val="clear" w:color="auto" w:fill="auto"/>
            <w:vAlign w:val="center"/>
          </w:tcPr>
          <w:p w14:paraId="7BEBB01B" w14:textId="0FA9958E"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3" w:type="pct"/>
            <w:shd w:val="clear" w:color="auto" w:fill="auto"/>
            <w:vAlign w:val="center"/>
          </w:tcPr>
          <w:p w14:paraId="1BCFE6BC" w14:textId="77DB12B1" w:rsidR="001902D2" w:rsidRPr="002D2C2D" w:rsidRDefault="001902D2" w:rsidP="001902D2">
            <w:pPr>
              <w:widowControl/>
              <w:tabs>
                <w:tab w:val="decimal" w:pos="340"/>
              </w:tabs>
              <w:rPr>
                <w:rFonts w:cs="Arial"/>
                <w:color w:val="000000"/>
                <w:sz w:val="18"/>
                <w:szCs w:val="18"/>
              </w:rPr>
            </w:pPr>
            <w:r w:rsidRPr="00B83846">
              <w:rPr>
                <w:rFonts w:cs="Arial"/>
                <w:b/>
                <w:bCs/>
                <w:color w:val="000000"/>
                <w:sz w:val="18"/>
                <w:szCs w:val="18"/>
              </w:rPr>
              <w:t>&lt;1</w:t>
            </w:r>
          </w:p>
        </w:tc>
        <w:tc>
          <w:tcPr>
            <w:tcW w:w="264" w:type="pct"/>
            <w:shd w:val="clear" w:color="auto" w:fill="auto"/>
            <w:vAlign w:val="center"/>
          </w:tcPr>
          <w:p w14:paraId="11D37591" w14:textId="2A6913A7"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4</w:t>
            </w:r>
          </w:p>
        </w:tc>
        <w:tc>
          <w:tcPr>
            <w:tcW w:w="263" w:type="pct"/>
            <w:shd w:val="clear" w:color="auto" w:fill="auto"/>
            <w:vAlign w:val="center"/>
          </w:tcPr>
          <w:p w14:paraId="78520926" w14:textId="1C23B12E"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3" w:type="pct"/>
            <w:vAlign w:val="center"/>
          </w:tcPr>
          <w:p w14:paraId="7E35EFF6" w14:textId="2050FE71" w:rsidR="001902D2" w:rsidRPr="002D2C2D" w:rsidRDefault="001902D2" w:rsidP="001902D2">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643A5A1" w14:textId="5E3DE886"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3</w:t>
            </w:r>
          </w:p>
        </w:tc>
        <w:tc>
          <w:tcPr>
            <w:tcW w:w="263" w:type="pct"/>
            <w:shd w:val="clear" w:color="auto" w:fill="auto"/>
            <w:vAlign w:val="center"/>
          </w:tcPr>
          <w:p w14:paraId="1C35F5AC" w14:textId="080E54B8"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3" w:type="pct"/>
            <w:vAlign w:val="center"/>
          </w:tcPr>
          <w:p w14:paraId="5D1E756A" w14:textId="28D4C9DF" w:rsidR="001902D2" w:rsidRPr="002D2C2D" w:rsidRDefault="001902D2" w:rsidP="001902D2">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D9D9D9" w:themeFill="background1" w:themeFillShade="D9"/>
            <w:vAlign w:val="center"/>
          </w:tcPr>
          <w:p w14:paraId="748B4A9B" w14:textId="06513E3E"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5</w:t>
            </w:r>
          </w:p>
        </w:tc>
        <w:tc>
          <w:tcPr>
            <w:tcW w:w="264" w:type="pct"/>
            <w:shd w:val="clear" w:color="auto" w:fill="auto"/>
            <w:vAlign w:val="center"/>
          </w:tcPr>
          <w:p w14:paraId="1EBA1A1E" w14:textId="75CD75E9"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vAlign w:val="center"/>
          </w:tcPr>
          <w:p w14:paraId="6488A379" w14:textId="66315DFC" w:rsidR="001902D2" w:rsidRPr="002D2C2D" w:rsidRDefault="001902D2" w:rsidP="001902D2">
            <w:pPr>
              <w:widowControl/>
              <w:tabs>
                <w:tab w:val="decimal" w:pos="340"/>
              </w:tabs>
              <w:rPr>
                <w:rFonts w:cs="Arial"/>
                <w:color w:val="000000"/>
                <w:sz w:val="18"/>
                <w:szCs w:val="18"/>
              </w:rPr>
            </w:pPr>
            <w:r w:rsidRPr="00B83846">
              <w:rPr>
                <w:rFonts w:cs="Arial"/>
                <w:color w:val="000000"/>
                <w:sz w:val="18"/>
                <w:szCs w:val="18"/>
              </w:rPr>
              <w:t>&lt;1</w:t>
            </w:r>
          </w:p>
        </w:tc>
        <w:tc>
          <w:tcPr>
            <w:tcW w:w="199" w:type="pct"/>
            <w:shd w:val="clear" w:color="auto" w:fill="D9D9D9" w:themeFill="background1" w:themeFillShade="D9"/>
            <w:vAlign w:val="center"/>
          </w:tcPr>
          <w:p w14:paraId="68F44A19" w14:textId="60D189C0"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5</w:t>
            </w:r>
          </w:p>
        </w:tc>
      </w:tr>
      <w:tr w:rsidR="001902D2" w:rsidRPr="002D2C2D" w14:paraId="588874CC" w14:textId="77777777" w:rsidTr="001A319B">
        <w:trPr>
          <w:cantSplit/>
        </w:trPr>
        <w:tc>
          <w:tcPr>
            <w:tcW w:w="456" w:type="pct"/>
            <w:shd w:val="clear" w:color="auto" w:fill="auto"/>
            <w:vAlign w:val="center"/>
            <w:hideMark/>
          </w:tcPr>
          <w:p w14:paraId="3E3F6F30" w14:textId="77777777" w:rsidR="001902D2" w:rsidRPr="002D2C2D" w:rsidRDefault="001902D2" w:rsidP="001902D2">
            <w:pPr>
              <w:widowControl/>
              <w:rPr>
                <w:rFonts w:cs="Arial"/>
                <w:bCs/>
                <w:color w:val="000000"/>
                <w:sz w:val="18"/>
                <w:szCs w:val="18"/>
                <w:lang w:eastAsia="en-GB" w:bidi="ar-SA"/>
              </w:rPr>
            </w:pPr>
            <w:r w:rsidRPr="002D2C2D">
              <w:rPr>
                <w:rFonts w:cs="Arial"/>
                <w:bCs/>
                <w:color w:val="000000"/>
                <w:sz w:val="18"/>
                <w:szCs w:val="18"/>
                <w:lang w:eastAsia="en-GB" w:bidi="ar-SA"/>
              </w:rPr>
              <w:t>7</w:t>
            </w:r>
          </w:p>
        </w:tc>
        <w:tc>
          <w:tcPr>
            <w:tcW w:w="1450" w:type="pct"/>
            <w:tcBorders>
              <w:bottom w:val="single" w:sz="4" w:space="0" w:color="auto"/>
            </w:tcBorders>
            <w:shd w:val="clear" w:color="auto" w:fill="auto"/>
            <w:vAlign w:val="center"/>
          </w:tcPr>
          <w:p w14:paraId="22995729" w14:textId="77777777" w:rsidR="001902D2" w:rsidRPr="002D2C2D" w:rsidRDefault="001902D2" w:rsidP="001902D2">
            <w:pPr>
              <w:widowControl/>
              <w:rPr>
                <w:rFonts w:cs="Arial"/>
                <w:bCs/>
                <w:color w:val="000000"/>
                <w:sz w:val="18"/>
                <w:szCs w:val="18"/>
                <w:lang w:eastAsia="en-GB" w:bidi="ar-SA"/>
              </w:rPr>
            </w:pPr>
            <w:r w:rsidRPr="002D2C2D">
              <w:rPr>
                <w:rFonts w:cs="Arial"/>
                <w:bCs/>
                <w:color w:val="000000"/>
                <w:sz w:val="18"/>
                <w:szCs w:val="18"/>
                <w:lang w:eastAsia="en-GB" w:bidi="ar-SA"/>
              </w:rPr>
              <w:t>All Breads &amp; bakery products</w:t>
            </w:r>
          </w:p>
        </w:tc>
        <w:tc>
          <w:tcPr>
            <w:tcW w:w="263" w:type="pct"/>
            <w:shd w:val="clear" w:color="auto" w:fill="auto"/>
            <w:vAlign w:val="center"/>
          </w:tcPr>
          <w:p w14:paraId="6FB187C0"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3" w:type="pct"/>
            <w:vAlign w:val="center"/>
          </w:tcPr>
          <w:p w14:paraId="08B1B203" w14:textId="77777777" w:rsidR="001902D2" w:rsidRPr="002D2C2D" w:rsidRDefault="001902D2" w:rsidP="001902D2">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2406C7E0"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3" w:type="pct"/>
            <w:shd w:val="clear" w:color="auto" w:fill="auto"/>
            <w:vAlign w:val="center"/>
          </w:tcPr>
          <w:p w14:paraId="332EAB5A"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3" w:type="pct"/>
            <w:vAlign w:val="center"/>
          </w:tcPr>
          <w:p w14:paraId="20706068" w14:textId="77777777" w:rsidR="001902D2" w:rsidRPr="002D2C2D" w:rsidRDefault="001902D2" w:rsidP="001902D2">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122F3EEA"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3" w:type="pct"/>
            <w:shd w:val="clear" w:color="auto" w:fill="auto"/>
            <w:vAlign w:val="center"/>
          </w:tcPr>
          <w:p w14:paraId="398D5546" w14:textId="77777777" w:rsidR="001902D2" w:rsidRPr="002D2C2D" w:rsidRDefault="001902D2" w:rsidP="001902D2">
            <w:pPr>
              <w:widowControl/>
              <w:tabs>
                <w:tab w:val="decimal" w:pos="340"/>
              </w:tabs>
              <w:rPr>
                <w:rFonts w:cs="Arial"/>
                <w:bCs/>
                <w:sz w:val="18"/>
                <w:szCs w:val="18"/>
                <w:highlight w:val="magenta"/>
                <w:lang w:eastAsia="en-GB" w:bidi="ar-SA"/>
              </w:rPr>
            </w:pPr>
            <w:r w:rsidRPr="002D2C2D">
              <w:rPr>
                <w:rFonts w:cs="Arial"/>
                <w:bCs/>
                <w:sz w:val="18"/>
                <w:szCs w:val="18"/>
              </w:rPr>
              <w:t>&lt;1</w:t>
            </w:r>
          </w:p>
        </w:tc>
        <w:tc>
          <w:tcPr>
            <w:tcW w:w="263" w:type="pct"/>
            <w:vAlign w:val="center"/>
          </w:tcPr>
          <w:p w14:paraId="7E0D3618" w14:textId="77777777" w:rsidR="001902D2" w:rsidRPr="002D2C2D" w:rsidRDefault="001902D2" w:rsidP="001902D2">
            <w:pPr>
              <w:widowControl/>
              <w:tabs>
                <w:tab w:val="decimal" w:pos="340"/>
              </w:tabs>
              <w:rPr>
                <w:rFonts w:cs="Arial"/>
                <w:bCs/>
                <w:sz w:val="18"/>
                <w:szCs w:val="18"/>
              </w:rPr>
            </w:pPr>
            <w:r w:rsidRPr="002D2C2D">
              <w:rPr>
                <w:rFonts w:cs="Arial"/>
                <w:bCs/>
                <w:sz w:val="18"/>
                <w:szCs w:val="18"/>
              </w:rPr>
              <w:t>&lt;1</w:t>
            </w:r>
          </w:p>
        </w:tc>
        <w:tc>
          <w:tcPr>
            <w:tcW w:w="264" w:type="pct"/>
            <w:shd w:val="clear" w:color="auto" w:fill="auto"/>
            <w:vAlign w:val="center"/>
          </w:tcPr>
          <w:p w14:paraId="5BE1247D" w14:textId="77777777" w:rsidR="001902D2" w:rsidRPr="002D2C2D" w:rsidRDefault="001902D2" w:rsidP="001902D2">
            <w:pPr>
              <w:widowControl/>
              <w:tabs>
                <w:tab w:val="decimal" w:pos="340"/>
              </w:tabs>
              <w:rPr>
                <w:rFonts w:cs="Arial"/>
                <w:bCs/>
                <w:sz w:val="18"/>
                <w:szCs w:val="18"/>
                <w:highlight w:val="magenta"/>
                <w:lang w:eastAsia="en-GB" w:bidi="ar-SA"/>
              </w:rPr>
            </w:pPr>
            <w:r w:rsidRPr="002D2C2D">
              <w:rPr>
                <w:rFonts w:cs="Arial"/>
                <w:bCs/>
                <w:sz w:val="18"/>
                <w:szCs w:val="18"/>
              </w:rPr>
              <w:t>&lt;1</w:t>
            </w:r>
          </w:p>
        </w:tc>
        <w:tc>
          <w:tcPr>
            <w:tcW w:w="264" w:type="pct"/>
            <w:shd w:val="clear" w:color="auto" w:fill="auto"/>
            <w:vAlign w:val="center"/>
          </w:tcPr>
          <w:p w14:paraId="6741AD4B"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5DA206F0" w14:textId="77777777" w:rsidR="001902D2" w:rsidRPr="002D2C2D" w:rsidRDefault="001902D2" w:rsidP="001902D2">
            <w:pPr>
              <w:widowControl/>
              <w:tabs>
                <w:tab w:val="decimal" w:pos="340"/>
              </w:tabs>
              <w:rPr>
                <w:rFonts w:cs="Arial"/>
                <w:bCs/>
                <w:color w:val="000000"/>
                <w:sz w:val="18"/>
                <w:szCs w:val="18"/>
              </w:rPr>
            </w:pPr>
            <w:r w:rsidRPr="002D2C2D">
              <w:rPr>
                <w:rFonts w:cs="Arial"/>
                <w:bCs/>
                <w:color w:val="000000"/>
                <w:sz w:val="18"/>
                <w:szCs w:val="18"/>
              </w:rPr>
              <w:t>&lt;1</w:t>
            </w:r>
          </w:p>
        </w:tc>
        <w:tc>
          <w:tcPr>
            <w:tcW w:w="199" w:type="pct"/>
            <w:shd w:val="clear" w:color="auto" w:fill="auto"/>
            <w:vAlign w:val="center"/>
          </w:tcPr>
          <w:p w14:paraId="2BF10639" w14:textId="77777777" w:rsidR="001902D2" w:rsidRPr="002D2C2D" w:rsidRDefault="001902D2" w:rsidP="001902D2">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r>
      <w:tr w:rsidR="001902D2" w:rsidRPr="002D2C2D" w14:paraId="06C39EE7" w14:textId="77777777" w:rsidTr="001A319B">
        <w:trPr>
          <w:cantSplit/>
        </w:trPr>
        <w:tc>
          <w:tcPr>
            <w:tcW w:w="456" w:type="pct"/>
            <w:shd w:val="clear" w:color="auto" w:fill="D9D9D9" w:themeFill="background1" w:themeFillShade="D9"/>
            <w:vAlign w:val="center"/>
            <w:hideMark/>
          </w:tcPr>
          <w:p w14:paraId="7DB65519" w14:textId="77777777" w:rsidR="001902D2" w:rsidRPr="002D2C2D" w:rsidRDefault="001902D2" w:rsidP="001902D2">
            <w:pPr>
              <w:rPr>
                <w:rFonts w:cs="Arial"/>
                <w:bCs/>
                <w:color w:val="000000"/>
                <w:sz w:val="18"/>
                <w:szCs w:val="18"/>
                <w:lang w:eastAsia="en-GB" w:bidi="ar-SA"/>
              </w:rPr>
            </w:pPr>
            <w:r w:rsidRPr="002D2C2D">
              <w:rPr>
                <w:rFonts w:cs="Arial"/>
                <w:bCs/>
                <w:color w:val="000000"/>
                <w:sz w:val="18"/>
                <w:szCs w:val="18"/>
                <w:lang w:eastAsia="en-GB" w:bidi="ar-SA"/>
              </w:rPr>
              <w:t>8</w:t>
            </w:r>
          </w:p>
        </w:tc>
        <w:tc>
          <w:tcPr>
            <w:tcW w:w="1450" w:type="pct"/>
            <w:tcBorders>
              <w:bottom w:val="single" w:sz="4" w:space="0" w:color="auto"/>
            </w:tcBorders>
            <w:shd w:val="clear" w:color="auto" w:fill="D9D9D9" w:themeFill="background1" w:themeFillShade="D9"/>
            <w:vAlign w:val="center"/>
          </w:tcPr>
          <w:p w14:paraId="56EB8F0D" w14:textId="77777777" w:rsidR="001902D2" w:rsidRPr="002D2C2D" w:rsidRDefault="001902D2" w:rsidP="001902D2">
            <w:pPr>
              <w:rPr>
                <w:rFonts w:cs="Arial"/>
                <w:bCs/>
                <w:color w:val="000000"/>
                <w:sz w:val="18"/>
                <w:szCs w:val="18"/>
                <w:lang w:eastAsia="en-GB" w:bidi="ar-SA"/>
              </w:rPr>
            </w:pPr>
            <w:r w:rsidRPr="002D2C2D">
              <w:rPr>
                <w:rFonts w:cs="Arial"/>
                <w:bCs/>
                <w:color w:val="000000"/>
                <w:sz w:val="18"/>
                <w:szCs w:val="18"/>
                <w:lang w:eastAsia="en-GB" w:bidi="ar-SA"/>
              </w:rPr>
              <w:t>All Meat &amp; meat products (including poultry &amp; game)</w:t>
            </w:r>
          </w:p>
        </w:tc>
        <w:tc>
          <w:tcPr>
            <w:tcW w:w="263" w:type="pct"/>
            <w:shd w:val="clear" w:color="auto" w:fill="D9D9D9" w:themeFill="background1" w:themeFillShade="D9"/>
            <w:vAlign w:val="center"/>
          </w:tcPr>
          <w:p w14:paraId="25DBC003" w14:textId="77777777" w:rsidR="001902D2" w:rsidRPr="002D2C2D" w:rsidRDefault="001902D2" w:rsidP="001902D2">
            <w:pPr>
              <w:tabs>
                <w:tab w:val="decimal" w:pos="340"/>
              </w:tabs>
              <w:rPr>
                <w:rFonts w:cs="Arial"/>
                <w:bCs/>
                <w:color w:val="000000"/>
                <w:sz w:val="18"/>
                <w:szCs w:val="18"/>
                <w:lang w:eastAsia="en-GB" w:bidi="ar-SA"/>
              </w:rPr>
            </w:pPr>
            <w:r w:rsidRPr="002D2C2D">
              <w:rPr>
                <w:rFonts w:cs="Arial"/>
                <w:bCs/>
                <w:color w:val="000000"/>
                <w:sz w:val="18"/>
                <w:szCs w:val="18"/>
              </w:rPr>
              <w:t>57</w:t>
            </w:r>
          </w:p>
        </w:tc>
        <w:tc>
          <w:tcPr>
            <w:tcW w:w="263" w:type="pct"/>
            <w:tcBorders>
              <w:bottom w:val="single" w:sz="4" w:space="0" w:color="auto"/>
            </w:tcBorders>
            <w:shd w:val="clear" w:color="auto" w:fill="D9D9D9" w:themeFill="background1" w:themeFillShade="D9"/>
            <w:vAlign w:val="center"/>
          </w:tcPr>
          <w:p w14:paraId="7A620835" w14:textId="77777777" w:rsidR="001902D2" w:rsidRPr="002D2C2D" w:rsidRDefault="001902D2" w:rsidP="001902D2">
            <w:pPr>
              <w:tabs>
                <w:tab w:val="decimal" w:pos="340"/>
              </w:tabs>
              <w:rPr>
                <w:rFonts w:cs="Arial"/>
                <w:bCs/>
                <w:color w:val="000000"/>
                <w:sz w:val="18"/>
                <w:szCs w:val="18"/>
              </w:rPr>
            </w:pPr>
            <w:r w:rsidRPr="002D2C2D">
              <w:rPr>
                <w:rFonts w:cs="Arial"/>
                <w:bCs/>
                <w:color w:val="000000"/>
                <w:sz w:val="18"/>
                <w:szCs w:val="18"/>
              </w:rPr>
              <w:t>56</w:t>
            </w:r>
          </w:p>
        </w:tc>
        <w:tc>
          <w:tcPr>
            <w:tcW w:w="264" w:type="pct"/>
            <w:shd w:val="clear" w:color="auto" w:fill="D9D9D9" w:themeFill="background1" w:themeFillShade="D9"/>
            <w:vAlign w:val="center"/>
          </w:tcPr>
          <w:p w14:paraId="1DE1C048" w14:textId="77777777" w:rsidR="001902D2" w:rsidRPr="002D2C2D" w:rsidRDefault="001902D2" w:rsidP="001902D2">
            <w:pPr>
              <w:tabs>
                <w:tab w:val="decimal" w:pos="340"/>
              </w:tabs>
              <w:rPr>
                <w:rFonts w:cs="Arial"/>
                <w:bCs/>
                <w:color w:val="000000"/>
                <w:sz w:val="18"/>
                <w:szCs w:val="18"/>
                <w:lang w:eastAsia="en-GB" w:bidi="ar-SA"/>
              </w:rPr>
            </w:pPr>
            <w:r w:rsidRPr="002D2C2D">
              <w:rPr>
                <w:rFonts w:cs="Arial"/>
                <w:bCs/>
                <w:color w:val="000000"/>
                <w:sz w:val="18"/>
                <w:szCs w:val="18"/>
              </w:rPr>
              <w:t>8</w:t>
            </w:r>
          </w:p>
        </w:tc>
        <w:tc>
          <w:tcPr>
            <w:tcW w:w="263" w:type="pct"/>
            <w:shd w:val="clear" w:color="auto" w:fill="D9D9D9" w:themeFill="background1" w:themeFillShade="D9"/>
            <w:vAlign w:val="center"/>
          </w:tcPr>
          <w:p w14:paraId="789A5AB3" w14:textId="77777777" w:rsidR="001902D2" w:rsidRPr="002D2C2D" w:rsidRDefault="001902D2" w:rsidP="001902D2">
            <w:pPr>
              <w:tabs>
                <w:tab w:val="decimal" w:pos="340"/>
              </w:tabs>
              <w:rPr>
                <w:rFonts w:cs="Arial"/>
                <w:bCs/>
                <w:color w:val="000000"/>
                <w:sz w:val="18"/>
                <w:szCs w:val="18"/>
                <w:lang w:eastAsia="en-GB" w:bidi="ar-SA"/>
              </w:rPr>
            </w:pPr>
            <w:r w:rsidRPr="002D2C2D">
              <w:rPr>
                <w:rFonts w:cs="Arial"/>
                <w:bCs/>
                <w:color w:val="000000"/>
                <w:sz w:val="18"/>
                <w:szCs w:val="18"/>
              </w:rPr>
              <w:t>68</w:t>
            </w:r>
          </w:p>
        </w:tc>
        <w:tc>
          <w:tcPr>
            <w:tcW w:w="263" w:type="pct"/>
            <w:tcBorders>
              <w:bottom w:val="single" w:sz="4" w:space="0" w:color="auto"/>
            </w:tcBorders>
            <w:shd w:val="clear" w:color="auto" w:fill="D9D9D9" w:themeFill="background1" w:themeFillShade="D9"/>
            <w:vAlign w:val="center"/>
          </w:tcPr>
          <w:p w14:paraId="54968F58" w14:textId="77777777" w:rsidR="001902D2" w:rsidRPr="002D2C2D" w:rsidRDefault="001902D2" w:rsidP="001902D2">
            <w:pPr>
              <w:tabs>
                <w:tab w:val="decimal" w:pos="340"/>
              </w:tabs>
              <w:rPr>
                <w:rFonts w:cs="Arial"/>
                <w:bCs/>
                <w:color w:val="000000"/>
                <w:sz w:val="18"/>
                <w:szCs w:val="18"/>
              </w:rPr>
            </w:pPr>
            <w:r w:rsidRPr="002D2C2D">
              <w:rPr>
                <w:rFonts w:cs="Arial"/>
                <w:bCs/>
                <w:color w:val="000000"/>
                <w:sz w:val="18"/>
                <w:szCs w:val="18"/>
              </w:rPr>
              <w:t>59</w:t>
            </w:r>
          </w:p>
        </w:tc>
        <w:tc>
          <w:tcPr>
            <w:tcW w:w="264" w:type="pct"/>
            <w:shd w:val="clear" w:color="auto" w:fill="D9D9D9" w:themeFill="background1" w:themeFillShade="D9"/>
            <w:vAlign w:val="center"/>
          </w:tcPr>
          <w:p w14:paraId="2F0608CC" w14:textId="77777777" w:rsidR="001902D2" w:rsidRPr="002D2C2D" w:rsidRDefault="001902D2" w:rsidP="001902D2">
            <w:pPr>
              <w:tabs>
                <w:tab w:val="decimal" w:pos="340"/>
              </w:tabs>
              <w:rPr>
                <w:rFonts w:cs="Arial"/>
                <w:bCs/>
                <w:color w:val="000000"/>
                <w:sz w:val="18"/>
                <w:szCs w:val="18"/>
                <w:lang w:eastAsia="en-GB" w:bidi="ar-SA"/>
              </w:rPr>
            </w:pPr>
            <w:r w:rsidRPr="002D2C2D">
              <w:rPr>
                <w:rFonts w:cs="Arial"/>
                <w:bCs/>
                <w:color w:val="000000"/>
                <w:sz w:val="18"/>
                <w:szCs w:val="18"/>
              </w:rPr>
              <w:t>9</w:t>
            </w:r>
          </w:p>
        </w:tc>
        <w:tc>
          <w:tcPr>
            <w:tcW w:w="263" w:type="pct"/>
            <w:shd w:val="clear" w:color="auto" w:fill="D9D9D9" w:themeFill="background1" w:themeFillShade="D9"/>
            <w:vAlign w:val="center"/>
          </w:tcPr>
          <w:p w14:paraId="158C4E2F" w14:textId="77777777" w:rsidR="001902D2" w:rsidRPr="002D2C2D" w:rsidRDefault="001902D2" w:rsidP="001902D2">
            <w:pPr>
              <w:tabs>
                <w:tab w:val="decimal" w:pos="340"/>
              </w:tabs>
              <w:rPr>
                <w:rFonts w:cs="Arial"/>
                <w:bCs/>
                <w:sz w:val="18"/>
                <w:szCs w:val="18"/>
                <w:lang w:eastAsia="en-GB" w:bidi="ar-SA"/>
              </w:rPr>
            </w:pPr>
            <w:r w:rsidRPr="002D2C2D">
              <w:rPr>
                <w:rFonts w:cs="Arial"/>
                <w:bCs/>
                <w:sz w:val="18"/>
                <w:szCs w:val="18"/>
              </w:rPr>
              <w:t>72</w:t>
            </w:r>
          </w:p>
        </w:tc>
        <w:tc>
          <w:tcPr>
            <w:tcW w:w="263" w:type="pct"/>
            <w:tcBorders>
              <w:bottom w:val="single" w:sz="4" w:space="0" w:color="auto"/>
            </w:tcBorders>
            <w:shd w:val="clear" w:color="auto" w:fill="D9D9D9" w:themeFill="background1" w:themeFillShade="D9"/>
            <w:vAlign w:val="center"/>
          </w:tcPr>
          <w:p w14:paraId="42A00CE8" w14:textId="77777777" w:rsidR="001902D2" w:rsidRPr="002D2C2D" w:rsidRDefault="001902D2" w:rsidP="001902D2">
            <w:pPr>
              <w:tabs>
                <w:tab w:val="decimal" w:pos="340"/>
              </w:tabs>
              <w:rPr>
                <w:rFonts w:cs="Arial"/>
                <w:bCs/>
                <w:sz w:val="18"/>
                <w:szCs w:val="18"/>
              </w:rPr>
            </w:pPr>
            <w:r w:rsidRPr="002D2C2D">
              <w:rPr>
                <w:rFonts w:cs="Arial"/>
                <w:bCs/>
                <w:sz w:val="18"/>
                <w:szCs w:val="18"/>
              </w:rPr>
              <w:t>59</w:t>
            </w:r>
          </w:p>
        </w:tc>
        <w:tc>
          <w:tcPr>
            <w:tcW w:w="264" w:type="pct"/>
            <w:shd w:val="clear" w:color="auto" w:fill="D9D9D9" w:themeFill="background1" w:themeFillShade="D9"/>
            <w:vAlign w:val="center"/>
          </w:tcPr>
          <w:p w14:paraId="111C0417" w14:textId="77777777" w:rsidR="001902D2" w:rsidRPr="002D2C2D" w:rsidRDefault="001902D2" w:rsidP="001902D2">
            <w:pPr>
              <w:tabs>
                <w:tab w:val="decimal" w:pos="340"/>
              </w:tabs>
              <w:rPr>
                <w:rFonts w:cs="Arial"/>
                <w:bCs/>
                <w:sz w:val="18"/>
                <w:szCs w:val="18"/>
                <w:lang w:eastAsia="en-GB" w:bidi="ar-SA"/>
              </w:rPr>
            </w:pPr>
            <w:r w:rsidRPr="002D2C2D">
              <w:rPr>
                <w:rFonts w:cs="Arial"/>
                <w:bCs/>
                <w:sz w:val="18"/>
                <w:szCs w:val="18"/>
              </w:rPr>
              <w:t>11</w:t>
            </w:r>
          </w:p>
        </w:tc>
        <w:tc>
          <w:tcPr>
            <w:tcW w:w="264" w:type="pct"/>
            <w:shd w:val="clear" w:color="auto" w:fill="D9D9D9" w:themeFill="background1" w:themeFillShade="D9"/>
            <w:vAlign w:val="center"/>
          </w:tcPr>
          <w:p w14:paraId="7AD597BB" w14:textId="77777777" w:rsidR="001902D2" w:rsidRPr="002D2C2D" w:rsidRDefault="001902D2" w:rsidP="001902D2">
            <w:pPr>
              <w:tabs>
                <w:tab w:val="decimal" w:pos="340"/>
              </w:tabs>
              <w:rPr>
                <w:rFonts w:cs="Arial"/>
                <w:bCs/>
                <w:color w:val="000000"/>
                <w:sz w:val="18"/>
                <w:szCs w:val="18"/>
                <w:lang w:eastAsia="en-GB" w:bidi="ar-SA"/>
              </w:rPr>
            </w:pPr>
            <w:r w:rsidRPr="002D2C2D">
              <w:rPr>
                <w:rFonts w:cs="Arial"/>
                <w:bCs/>
                <w:color w:val="000000"/>
                <w:sz w:val="18"/>
                <w:szCs w:val="18"/>
              </w:rPr>
              <w:t>71</w:t>
            </w:r>
          </w:p>
        </w:tc>
        <w:tc>
          <w:tcPr>
            <w:tcW w:w="264" w:type="pct"/>
            <w:shd w:val="clear" w:color="auto" w:fill="D9D9D9" w:themeFill="background1" w:themeFillShade="D9"/>
            <w:vAlign w:val="center"/>
          </w:tcPr>
          <w:p w14:paraId="6F2AD5AB" w14:textId="77777777" w:rsidR="001902D2" w:rsidRPr="002D2C2D" w:rsidRDefault="001902D2" w:rsidP="001902D2">
            <w:pPr>
              <w:tabs>
                <w:tab w:val="decimal" w:pos="340"/>
              </w:tabs>
              <w:rPr>
                <w:rFonts w:cs="Arial"/>
                <w:bCs/>
                <w:color w:val="000000"/>
                <w:sz w:val="18"/>
                <w:szCs w:val="18"/>
              </w:rPr>
            </w:pPr>
            <w:r w:rsidRPr="002D2C2D">
              <w:rPr>
                <w:rFonts w:cs="Arial"/>
                <w:bCs/>
                <w:color w:val="000000"/>
                <w:sz w:val="18"/>
                <w:szCs w:val="18"/>
              </w:rPr>
              <w:t>60</w:t>
            </w:r>
          </w:p>
        </w:tc>
        <w:tc>
          <w:tcPr>
            <w:tcW w:w="199" w:type="pct"/>
            <w:shd w:val="clear" w:color="auto" w:fill="D9D9D9" w:themeFill="background1" w:themeFillShade="D9"/>
            <w:vAlign w:val="center"/>
          </w:tcPr>
          <w:p w14:paraId="59540152" w14:textId="77777777" w:rsidR="001902D2" w:rsidRPr="002D2C2D" w:rsidRDefault="001902D2" w:rsidP="001902D2">
            <w:pPr>
              <w:tabs>
                <w:tab w:val="decimal" w:pos="340"/>
              </w:tabs>
              <w:rPr>
                <w:rFonts w:cs="Arial"/>
                <w:bCs/>
                <w:color w:val="000000"/>
                <w:sz w:val="18"/>
                <w:szCs w:val="18"/>
                <w:lang w:eastAsia="en-GB" w:bidi="ar-SA"/>
              </w:rPr>
            </w:pPr>
            <w:r w:rsidRPr="002D2C2D">
              <w:rPr>
                <w:rFonts w:cs="Arial"/>
                <w:bCs/>
                <w:color w:val="000000"/>
                <w:sz w:val="18"/>
                <w:szCs w:val="18"/>
              </w:rPr>
              <w:t>11</w:t>
            </w:r>
          </w:p>
        </w:tc>
      </w:tr>
      <w:tr w:rsidR="001902D2" w:rsidRPr="002D2C2D" w14:paraId="6C52E28D" w14:textId="77777777" w:rsidTr="0075508C">
        <w:trPr>
          <w:cantSplit/>
        </w:trPr>
        <w:tc>
          <w:tcPr>
            <w:tcW w:w="456" w:type="pct"/>
            <w:shd w:val="clear" w:color="auto" w:fill="D9D9D9" w:themeFill="background1" w:themeFillShade="D9"/>
            <w:vAlign w:val="center"/>
          </w:tcPr>
          <w:p w14:paraId="5624A258" w14:textId="19C281C8" w:rsidR="001902D2" w:rsidRPr="002D2C2D" w:rsidRDefault="001902D2" w:rsidP="001902D2">
            <w:pPr>
              <w:widowControl/>
              <w:rPr>
                <w:rFonts w:cs="Arial"/>
                <w:color w:val="000000"/>
                <w:sz w:val="18"/>
                <w:szCs w:val="18"/>
                <w:lang w:eastAsia="en-GB" w:bidi="ar-SA"/>
              </w:rPr>
            </w:pPr>
            <w:r w:rsidRPr="00B83846">
              <w:rPr>
                <w:rFonts w:cs="Arial"/>
                <w:color w:val="000000"/>
                <w:sz w:val="18"/>
                <w:szCs w:val="18"/>
                <w:lang w:eastAsia="en-GB" w:bidi="ar-SA"/>
              </w:rPr>
              <w:t>8.1.1</w:t>
            </w:r>
          </w:p>
        </w:tc>
        <w:tc>
          <w:tcPr>
            <w:tcW w:w="1450" w:type="pct"/>
            <w:shd w:val="clear" w:color="auto" w:fill="D9D9D9" w:themeFill="background1" w:themeFillShade="D9"/>
            <w:vAlign w:val="center"/>
          </w:tcPr>
          <w:p w14:paraId="5674E83A" w14:textId="7416E85D" w:rsidR="001902D2" w:rsidRPr="002D2C2D" w:rsidRDefault="001902D2" w:rsidP="001902D2">
            <w:pPr>
              <w:widowControl/>
              <w:ind w:left="567" w:hanging="567"/>
              <w:rPr>
                <w:rFonts w:cs="Arial"/>
                <w:color w:val="000000" w:themeColor="text1"/>
                <w:sz w:val="18"/>
                <w:szCs w:val="18"/>
                <w:lang w:eastAsia="en-GB" w:bidi="ar-SA"/>
              </w:rPr>
            </w:pPr>
            <w:r>
              <w:rPr>
                <w:rFonts w:cs="Arial"/>
                <w:color w:val="000000"/>
                <w:sz w:val="18"/>
                <w:szCs w:val="18"/>
                <w:lang w:eastAsia="en-GB" w:bidi="ar-SA"/>
              </w:rPr>
              <w:tab/>
            </w:r>
            <w:r w:rsidRPr="00B83846">
              <w:rPr>
                <w:rFonts w:cs="Arial"/>
                <w:color w:val="000000"/>
                <w:sz w:val="18"/>
                <w:szCs w:val="18"/>
                <w:lang w:eastAsia="en-GB" w:bidi="ar-SA"/>
              </w:rPr>
              <w:t>Poultry (excluding duck)</w:t>
            </w:r>
          </w:p>
        </w:tc>
        <w:tc>
          <w:tcPr>
            <w:tcW w:w="263" w:type="pct"/>
            <w:shd w:val="clear" w:color="auto" w:fill="D9D9D9" w:themeFill="background1" w:themeFillShade="D9"/>
            <w:vAlign w:val="center"/>
          </w:tcPr>
          <w:p w14:paraId="5DFDE63D" w14:textId="01BF4E5E" w:rsidR="001902D2" w:rsidRPr="002D2C2D" w:rsidRDefault="001902D2" w:rsidP="001902D2">
            <w:pPr>
              <w:widowControl/>
              <w:tabs>
                <w:tab w:val="decimal" w:pos="340"/>
              </w:tabs>
              <w:rPr>
                <w:rFonts w:cs="Arial"/>
                <w:color w:val="000000"/>
                <w:sz w:val="18"/>
                <w:szCs w:val="18"/>
                <w:lang w:eastAsia="en-GB" w:bidi="ar-SA"/>
              </w:rPr>
            </w:pPr>
            <w:r w:rsidRPr="003A7740">
              <w:rPr>
                <w:rFonts w:cs="Arial"/>
                <w:color w:val="000000"/>
                <w:sz w:val="18"/>
                <w:szCs w:val="18"/>
              </w:rPr>
              <w:t>6</w:t>
            </w:r>
          </w:p>
        </w:tc>
        <w:tc>
          <w:tcPr>
            <w:tcW w:w="263" w:type="pct"/>
            <w:shd w:val="clear" w:color="auto" w:fill="D9D9D9" w:themeFill="background1" w:themeFillShade="D9"/>
            <w:vAlign w:val="center"/>
          </w:tcPr>
          <w:p w14:paraId="7076A4F3" w14:textId="232E2A91" w:rsidR="001902D2" w:rsidRPr="002D2C2D" w:rsidRDefault="001902D2" w:rsidP="001902D2">
            <w:pPr>
              <w:widowControl/>
              <w:tabs>
                <w:tab w:val="decimal" w:pos="340"/>
              </w:tabs>
              <w:rPr>
                <w:rFonts w:cs="Arial"/>
                <w:color w:val="000000"/>
                <w:sz w:val="18"/>
                <w:szCs w:val="18"/>
              </w:rPr>
            </w:pPr>
            <w:r w:rsidRPr="003A7740">
              <w:rPr>
                <w:rFonts w:cs="Arial"/>
                <w:color w:val="000000"/>
                <w:sz w:val="18"/>
                <w:szCs w:val="18"/>
              </w:rPr>
              <w:t>6</w:t>
            </w:r>
          </w:p>
        </w:tc>
        <w:tc>
          <w:tcPr>
            <w:tcW w:w="264" w:type="pct"/>
            <w:shd w:val="clear" w:color="auto" w:fill="auto"/>
            <w:vAlign w:val="center"/>
          </w:tcPr>
          <w:p w14:paraId="12A2E29C" w14:textId="3D23BBEB" w:rsidR="001902D2" w:rsidRPr="002D2C2D" w:rsidRDefault="001902D2" w:rsidP="001902D2">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63" w:type="pct"/>
            <w:shd w:val="clear" w:color="auto" w:fill="D9D9D9" w:themeFill="background1" w:themeFillShade="D9"/>
            <w:vAlign w:val="center"/>
          </w:tcPr>
          <w:p w14:paraId="0DDC368B" w14:textId="1EECFC8A" w:rsidR="001902D2" w:rsidRPr="002D2C2D" w:rsidRDefault="001902D2" w:rsidP="001902D2">
            <w:pPr>
              <w:widowControl/>
              <w:tabs>
                <w:tab w:val="decimal" w:pos="340"/>
              </w:tabs>
              <w:rPr>
                <w:rFonts w:cs="Arial"/>
                <w:color w:val="000000"/>
                <w:sz w:val="18"/>
                <w:szCs w:val="18"/>
                <w:lang w:eastAsia="en-GB" w:bidi="ar-SA"/>
              </w:rPr>
            </w:pPr>
            <w:r w:rsidRPr="003A7740">
              <w:rPr>
                <w:rFonts w:cs="Arial"/>
                <w:color w:val="000000"/>
                <w:sz w:val="18"/>
                <w:szCs w:val="18"/>
              </w:rPr>
              <w:t>7</w:t>
            </w:r>
          </w:p>
        </w:tc>
        <w:tc>
          <w:tcPr>
            <w:tcW w:w="263" w:type="pct"/>
            <w:shd w:val="clear" w:color="auto" w:fill="D9D9D9" w:themeFill="background1" w:themeFillShade="D9"/>
            <w:vAlign w:val="center"/>
          </w:tcPr>
          <w:p w14:paraId="54252AFE" w14:textId="04A10FA1" w:rsidR="001902D2" w:rsidRPr="002D2C2D" w:rsidRDefault="001902D2" w:rsidP="001902D2">
            <w:pPr>
              <w:widowControl/>
              <w:tabs>
                <w:tab w:val="decimal" w:pos="340"/>
              </w:tabs>
              <w:rPr>
                <w:rFonts w:cs="Arial"/>
                <w:color w:val="000000"/>
                <w:sz w:val="18"/>
                <w:szCs w:val="18"/>
              </w:rPr>
            </w:pPr>
            <w:r w:rsidRPr="003A7740">
              <w:rPr>
                <w:rFonts w:cs="Arial"/>
                <w:color w:val="000000"/>
                <w:sz w:val="18"/>
                <w:szCs w:val="18"/>
              </w:rPr>
              <w:t>6</w:t>
            </w:r>
          </w:p>
        </w:tc>
        <w:tc>
          <w:tcPr>
            <w:tcW w:w="264" w:type="pct"/>
            <w:shd w:val="clear" w:color="auto" w:fill="auto"/>
            <w:vAlign w:val="center"/>
          </w:tcPr>
          <w:p w14:paraId="30EF2A77" w14:textId="31E150A2" w:rsidR="001902D2" w:rsidRPr="002D2C2D" w:rsidRDefault="001902D2" w:rsidP="001902D2">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63" w:type="pct"/>
            <w:shd w:val="clear" w:color="auto" w:fill="D9D9D9" w:themeFill="background1" w:themeFillShade="D9"/>
            <w:vAlign w:val="center"/>
          </w:tcPr>
          <w:p w14:paraId="623CE90D" w14:textId="2BDF12B9" w:rsidR="001902D2" w:rsidRPr="002D2C2D" w:rsidRDefault="001902D2" w:rsidP="001902D2">
            <w:pPr>
              <w:widowControl/>
              <w:tabs>
                <w:tab w:val="decimal" w:pos="340"/>
              </w:tabs>
              <w:rPr>
                <w:rFonts w:cs="Arial"/>
                <w:color w:val="000000"/>
                <w:sz w:val="18"/>
                <w:szCs w:val="18"/>
                <w:lang w:eastAsia="en-GB" w:bidi="ar-SA"/>
              </w:rPr>
            </w:pPr>
            <w:r w:rsidRPr="003A7740">
              <w:rPr>
                <w:rFonts w:cs="Arial"/>
                <w:color w:val="000000"/>
                <w:sz w:val="18"/>
                <w:szCs w:val="18"/>
              </w:rPr>
              <w:t>7</w:t>
            </w:r>
          </w:p>
        </w:tc>
        <w:tc>
          <w:tcPr>
            <w:tcW w:w="263" w:type="pct"/>
            <w:shd w:val="clear" w:color="auto" w:fill="D9D9D9" w:themeFill="background1" w:themeFillShade="D9"/>
            <w:vAlign w:val="center"/>
          </w:tcPr>
          <w:p w14:paraId="55C57F0C" w14:textId="27DDFBB4" w:rsidR="001902D2" w:rsidRPr="002D2C2D" w:rsidRDefault="001902D2" w:rsidP="001902D2">
            <w:pPr>
              <w:widowControl/>
              <w:tabs>
                <w:tab w:val="decimal" w:pos="340"/>
              </w:tabs>
              <w:rPr>
                <w:rFonts w:cs="Arial"/>
                <w:color w:val="000000"/>
                <w:sz w:val="18"/>
                <w:szCs w:val="18"/>
              </w:rPr>
            </w:pPr>
            <w:r w:rsidRPr="003A7740">
              <w:rPr>
                <w:rFonts w:cs="Arial"/>
                <w:color w:val="000000"/>
                <w:sz w:val="18"/>
                <w:szCs w:val="18"/>
              </w:rPr>
              <w:t>6</w:t>
            </w:r>
          </w:p>
        </w:tc>
        <w:tc>
          <w:tcPr>
            <w:tcW w:w="264" w:type="pct"/>
            <w:shd w:val="clear" w:color="auto" w:fill="auto"/>
            <w:vAlign w:val="center"/>
          </w:tcPr>
          <w:p w14:paraId="14A7DBB5" w14:textId="0A0E0096"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1</w:t>
            </w:r>
          </w:p>
        </w:tc>
        <w:tc>
          <w:tcPr>
            <w:tcW w:w="264" w:type="pct"/>
            <w:shd w:val="clear" w:color="auto" w:fill="D9D9D9" w:themeFill="background1" w:themeFillShade="D9"/>
            <w:vAlign w:val="center"/>
          </w:tcPr>
          <w:p w14:paraId="06A47B42" w14:textId="563925F3" w:rsidR="001902D2" w:rsidRPr="002D2C2D" w:rsidRDefault="001902D2" w:rsidP="001902D2">
            <w:pPr>
              <w:widowControl/>
              <w:tabs>
                <w:tab w:val="decimal" w:pos="340"/>
              </w:tabs>
              <w:rPr>
                <w:rFonts w:cs="Arial"/>
                <w:color w:val="000000"/>
                <w:sz w:val="18"/>
                <w:szCs w:val="18"/>
                <w:lang w:eastAsia="en-GB" w:bidi="ar-SA"/>
              </w:rPr>
            </w:pPr>
            <w:r w:rsidRPr="003A7740">
              <w:rPr>
                <w:rFonts w:cs="Arial"/>
                <w:color w:val="000000"/>
                <w:sz w:val="18"/>
                <w:szCs w:val="18"/>
              </w:rPr>
              <w:t>7</w:t>
            </w:r>
          </w:p>
        </w:tc>
        <w:tc>
          <w:tcPr>
            <w:tcW w:w="264" w:type="pct"/>
            <w:shd w:val="clear" w:color="auto" w:fill="D9D9D9" w:themeFill="background1" w:themeFillShade="D9"/>
            <w:vAlign w:val="center"/>
          </w:tcPr>
          <w:p w14:paraId="6F1957E8" w14:textId="6971C29A" w:rsidR="001902D2" w:rsidRPr="002D2C2D" w:rsidRDefault="001902D2" w:rsidP="001902D2">
            <w:pPr>
              <w:widowControl/>
              <w:tabs>
                <w:tab w:val="decimal" w:pos="340"/>
              </w:tabs>
              <w:rPr>
                <w:rFonts w:cs="Arial"/>
                <w:color w:val="000000"/>
                <w:sz w:val="18"/>
                <w:szCs w:val="18"/>
              </w:rPr>
            </w:pPr>
            <w:r w:rsidRPr="003A7740">
              <w:rPr>
                <w:rFonts w:cs="Arial"/>
                <w:color w:val="000000"/>
                <w:sz w:val="18"/>
                <w:szCs w:val="18"/>
              </w:rPr>
              <w:t>6</w:t>
            </w:r>
          </w:p>
        </w:tc>
        <w:tc>
          <w:tcPr>
            <w:tcW w:w="199" w:type="pct"/>
            <w:shd w:val="clear" w:color="auto" w:fill="auto"/>
            <w:vAlign w:val="center"/>
          </w:tcPr>
          <w:p w14:paraId="3A4E63AE" w14:textId="30F2F9F6" w:rsidR="001902D2" w:rsidRPr="002D2C2D" w:rsidRDefault="001902D2" w:rsidP="001902D2">
            <w:pPr>
              <w:widowControl/>
              <w:tabs>
                <w:tab w:val="decimal" w:pos="340"/>
              </w:tabs>
              <w:rPr>
                <w:rFonts w:cs="Arial"/>
                <w:color w:val="000000"/>
                <w:sz w:val="18"/>
                <w:szCs w:val="18"/>
                <w:lang w:eastAsia="en-GB" w:bidi="ar-SA"/>
              </w:rPr>
            </w:pPr>
            <w:r w:rsidRPr="00B83846">
              <w:rPr>
                <w:rFonts w:cs="Arial"/>
                <w:color w:val="000000"/>
                <w:sz w:val="18"/>
                <w:szCs w:val="18"/>
              </w:rPr>
              <w:t>1</w:t>
            </w:r>
          </w:p>
        </w:tc>
      </w:tr>
      <w:tr w:rsidR="001902D2" w:rsidRPr="002D2C2D" w14:paraId="3E2B4211" w14:textId="77777777" w:rsidTr="00221A11">
        <w:trPr>
          <w:cantSplit/>
        </w:trPr>
        <w:tc>
          <w:tcPr>
            <w:tcW w:w="456" w:type="pct"/>
            <w:shd w:val="clear" w:color="auto" w:fill="D9D9D9" w:themeFill="background1" w:themeFillShade="D9"/>
            <w:vAlign w:val="center"/>
          </w:tcPr>
          <w:p w14:paraId="7606DD6C" w14:textId="635F39F4" w:rsidR="001902D2" w:rsidRDefault="001902D2" w:rsidP="001902D2">
            <w:pPr>
              <w:widowControl/>
              <w:rPr>
                <w:rFonts w:cs="Arial"/>
                <w:color w:val="000000"/>
                <w:sz w:val="18"/>
                <w:szCs w:val="18"/>
                <w:lang w:eastAsia="en-GB" w:bidi="ar-SA"/>
              </w:rPr>
            </w:pPr>
            <w:r w:rsidRPr="00B83846">
              <w:rPr>
                <w:rFonts w:cs="Arial"/>
                <w:color w:val="000000"/>
                <w:sz w:val="18"/>
                <w:szCs w:val="18"/>
                <w:lang w:eastAsia="en-GB" w:bidi="ar-SA"/>
              </w:rPr>
              <w:t>8.1.3.2</w:t>
            </w:r>
          </w:p>
        </w:tc>
        <w:tc>
          <w:tcPr>
            <w:tcW w:w="1450" w:type="pct"/>
            <w:shd w:val="clear" w:color="auto" w:fill="D9D9D9" w:themeFill="background1" w:themeFillShade="D9"/>
            <w:vAlign w:val="center"/>
          </w:tcPr>
          <w:p w14:paraId="00696E2D" w14:textId="044C504A" w:rsidR="001902D2" w:rsidRDefault="001902D2" w:rsidP="001902D2">
            <w:pPr>
              <w:widowControl/>
              <w:ind w:left="567" w:hanging="567"/>
              <w:rPr>
                <w:rFonts w:cs="Arial"/>
                <w:color w:val="000000"/>
                <w:sz w:val="18"/>
                <w:szCs w:val="18"/>
              </w:rPr>
            </w:pPr>
            <w:r>
              <w:rPr>
                <w:rFonts w:cs="Arial"/>
                <w:color w:val="000000"/>
                <w:sz w:val="18"/>
                <w:szCs w:val="18"/>
              </w:rPr>
              <w:tab/>
            </w:r>
            <w:r w:rsidRPr="00B83846">
              <w:rPr>
                <w:rFonts w:cs="Arial"/>
                <w:color w:val="000000"/>
                <w:sz w:val="18"/>
                <w:szCs w:val="18"/>
                <w:lang w:eastAsia="en-GB" w:bidi="ar-SA"/>
              </w:rPr>
              <w:t>Red meat, excluding game</w:t>
            </w:r>
          </w:p>
        </w:tc>
        <w:tc>
          <w:tcPr>
            <w:tcW w:w="263" w:type="pct"/>
            <w:shd w:val="clear" w:color="auto" w:fill="D9D9D9" w:themeFill="background1" w:themeFillShade="D9"/>
            <w:vAlign w:val="center"/>
          </w:tcPr>
          <w:p w14:paraId="67B4643A" w14:textId="1012632A" w:rsidR="001902D2" w:rsidRPr="00B83846" w:rsidRDefault="001902D2" w:rsidP="001902D2">
            <w:pPr>
              <w:widowControl/>
              <w:tabs>
                <w:tab w:val="decimal" w:pos="340"/>
              </w:tabs>
              <w:rPr>
                <w:rFonts w:cs="Arial"/>
                <w:color w:val="000000"/>
                <w:sz w:val="18"/>
                <w:szCs w:val="18"/>
              </w:rPr>
            </w:pPr>
            <w:r w:rsidRPr="003A7740">
              <w:rPr>
                <w:rFonts w:cs="Arial"/>
                <w:color w:val="000000"/>
                <w:sz w:val="18"/>
                <w:szCs w:val="18"/>
              </w:rPr>
              <w:t>40</w:t>
            </w:r>
          </w:p>
        </w:tc>
        <w:tc>
          <w:tcPr>
            <w:tcW w:w="263" w:type="pct"/>
            <w:shd w:val="clear" w:color="auto" w:fill="D9D9D9" w:themeFill="background1" w:themeFillShade="D9"/>
            <w:vAlign w:val="center"/>
          </w:tcPr>
          <w:p w14:paraId="0E75E189" w14:textId="2C72F729" w:rsidR="001902D2" w:rsidRPr="00B83846" w:rsidRDefault="001902D2" w:rsidP="001902D2">
            <w:pPr>
              <w:widowControl/>
              <w:tabs>
                <w:tab w:val="decimal" w:pos="340"/>
              </w:tabs>
              <w:rPr>
                <w:rFonts w:cs="Arial"/>
                <w:b/>
                <w:bCs/>
                <w:color w:val="000000"/>
                <w:sz w:val="18"/>
                <w:szCs w:val="18"/>
              </w:rPr>
            </w:pPr>
            <w:r w:rsidRPr="003A7740">
              <w:rPr>
                <w:rFonts w:cs="Arial"/>
                <w:color w:val="000000"/>
                <w:sz w:val="18"/>
                <w:szCs w:val="18"/>
              </w:rPr>
              <w:t>40</w:t>
            </w:r>
          </w:p>
        </w:tc>
        <w:tc>
          <w:tcPr>
            <w:tcW w:w="264" w:type="pct"/>
            <w:shd w:val="clear" w:color="auto" w:fill="D9D9D9" w:themeFill="background1" w:themeFillShade="D9"/>
            <w:vAlign w:val="center"/>
          </w:tcPr>
          <w:p w14:paraId="5B5A0C2D" w14:textId="51809C83" w:rsidR="001902D2" w:rsidRPr="00B83846" w:rsidRDefault="001902D2" w:rsidP="001902D2">
            <w:pPr>
              <w:widowControl/>
              <w:tabs>
                <w:tab w:val="decimal" w:pos="340"/>
              </w:tabs>
              <w:rPr>
                <w:rFonts w:cs="Arial"/>
                <w:color w:val="000000"/>
                <w:sz w:val="18"/>
                <w:szCs w:val="18"/>
              </w:rPr>
            </w:pPr>
            <w:r w:rsidRPr="003A7740">
              <w:rPr>
                <w:rFonts w:cs="Arial"/>
                <w:color w:val="000000"/>
                <w:sz w:val="18"/>
                <w:szCs w:val="18"/>
              </w:rPr>
              <w:t>5</w:t>
            </w:r>
          </w:p>
        </w:tc>
        <w:tc>
          <w:tcPr>
            <w:tcW w:w="263" w:type="pct"/>
            <w:shd w:val="clear" w:color="auto" w:fill="D9D9D9" w:themeFill="background1" w:themeFillShade="D9"/>
            <w:vAlign w:val="center"/>
          </w:tcPr>
          <w:p w14:paraId="2891F829" w14:textId="4E012568" w:rsidR="001902D2" w:rsidRPr="00B83846" w:rsidRDefault="001902D2" w:rsidP="001902D2">
            <w:pPr>
              <w:widowControl/>
              <w:tabs>
                <w:tab w:val="decimal" w:pos="340"/>
              </w:tabs>
              <w:rPr>
                <w:rFonts w:cs="Arial"/>
                <w:color w:val="000000"/>
                <w:sz w:val="18"/>
                <w:szCs w:val="18"/>
              </w:rPr>
            </w:pPr>
            <w:r w:rsidRPr="003A7740">
              <w:rPr>
                <w:rFonts w:cs="Arial"/>
                <w:color w:val="000000"/>
                <w:sz w:val="18"/>
                <w:szCs w:val="18"/>
              </w:rPr>
              <w:t>48</w:t>
            </w:r>
          </w:p>
        </w:tc>
        <w:tc>
          <w:tcPr>
            <w:tcW w:w="263" w:type="pct"/>
            <w:shd w:val="clear" w:color="auto" w:fill="D9D9D9" w:themeFill="background1" w:themeFillShade="D9"/>
            <w:vAlign w:val="center"/>
          </w:tcPr>
          <w:p w14:paraId="02EA0042" w14:textId="1D04DC21" w:rsidR="001902D2" w:rsidRPr="00B83846" w:rsidRDefault="001902D2" w:rsidP="001902D2">
            <w:pPr>
              <w:widowControl/>
              <w:tabs>
                <w:tab w:val="decimal" w:pos="340"/>
              </w:tabs>
              <w:rPr>
                <w:rFonts w:cs="Arial"/>
                <w:color w:val="000000"/>
                <w:sz w:val="18"/>
                <w:szCs w:val="18"/>
              </w:rPr>
            </w:pPr>
            <w:r w:rsidRPr="003A7740">
              <w:rPr>
                <w:rFonts w:cs="Arial"/>
                <w:color w:val="000000"/>
                <w:sz w:val="18"/>
                <w:szCs w:val="18"/>
              </w:rPr>
              <w:t>42</w:t>
            </w:r>
          </w:p>
        </w:tc>
        <w:tc>
          <w:tcPr>
            <w:tcW w:w="264" w:type="pct"/>
            <w:shd w:val="clear" w:color="auto" w:fill="D9D9D9" w:themeFill="background1" w:themeFillShade="D9"/>
            <w:vAlign w:val="center"/>
          </w:tcPr>
          <w:p w14:paraId="6618A2C4" w14:textId="5E7D8D31" w:rsidR="001902D2" w:rsidRPr="00B83846" w:rsidRDefault="001902D2" w:rsidP="001902D2">
            <w:pPr>
              <w:widowControl/>
              <w:tabs>
                <w:tab w:val="decimal" w:pos="340"/>
              </w:tabs>
              <w:rPr>
                <w:rFonts w:cs="Arial"/>
                <w:color w:val="000000"/>
                <w:sz w:val="18"/>
                <w:szCs w:val="18"/>
              </w:rPr>
            </w:pPr>
            <w:r w:rsidRPr="003A7740">
              <w:rPr>
                <w:rFonts w:cs="Arial"/>
                <w:color w:val="000000"/>
                <w:sz w:val="18"/>
                <w:szCs w:val="18"/>
              </w:rPr>
              <w:t>6</w:t>
            </w:r>
          </w:p>
        </w:tc>
        <w:tc>
          <w:tcPr>
            <w:tcW w:w="263" w:type="pct"/>
            <w:shd w:val="clear" w:color="auto" w:fill="D9D9D9" w:themeFill="background1" w:themeFillShade="D9"/>
            <w:vAlign w:val="center"/>
          </w:tcPr>
          <w:p w14:paraId="5A291B49" w14:textId="119E7B47" w:rsidR="001902D2" w:rsidRPr="00B83846" w:rsidRDefault="001902D2" w:rsidP="001902D2">
            <w:pPr>
              <w:widowControl/>
              <w:tabs>
                <w:tab w:val="decimal" w:pos="340"/>
              </w:tabs>
              <w:rPr>
                <w:rFonts w:cs="Arial"/>
                <w:color w:val="000000"/>
                <w:sz w:val="18"/>
                <w:szCs w:val="18"/>
              </w:rPr>
            </w:pPr>
            <w:r w:rsidRPr="003A7740">
              <w:rPr>
                <w:rFonts w:cs="Arial"/>
                <w:color w:val="000000"/>
                <w:sz w:val="18"/>
                <w:szCs w:val="18"/>
              </w:rPr>
              <w:t>54</w:t>
            </w:r>
          </w:p>
        </w:tc>
        <w:tc>
          <w:tcPr>
            <w:tcW w:w="263" w:type="pct"/>
            <w:shd w:val="clear" w:color="auto" w:fill="D9D9D9" w:themeFill="background1" w:themeFillShade="D9"/>
            <w:vAlign w:val="center"/>
          </w:tcPr>
          <w:p w14:paraId="7608A771" w14:textId="07EC0A8B" w:rsidR="001902D2" w:rsidRPr="00B83846" w:rsidRDefault="001902D2" w:rsidP="001902D2">
            <w:pPr>
              <w:widowControl/>
              <w:tabs>
                <w:tab w:val="decimal" w:pos="340"/>
              </w:tabs>
              <w:rPr>
                <w:rFonts w:cs="Arial"/>
                <w:color w:val="000000"/>
                <w:sz w:val="18"/>
                <w:szCs w:val="18"/>
              </w:rPr>
            </w:pPr>
            <w:r w:rsidRPr="003A7740">
              <w:rPr>
                <w:rFonts w:cs="Arial"/>
                <w:color w:val="000000"/>
                <w:sz w:val="18"/>
                <w:szCs w:val="18"/>
              </w:rPr>
              <w:t>44</w:t>
            </w:r>
          </w:p>
        </w:tc>
        <w:tc>
          <w:tcPr>
            <w:tcW w:w="264" w:type="pct"/>
            <w:shd w:val="clear" w:color="auto" w:fill="D9D9D9" w:themeFill="background1" w:themeFillShade="D9"/>
            <w:vAlign w:val="center"/>
          </w:tcPr>
          <w:p w14:paraId="450C97C8" w14:textId="055D2F5F" w:rsidR="001902D2" w:rsidRPr="00B83846" w:rsidRDefault="001902D2" w:rsidP="001902D2">
            <w:pPr>
              <w:widowControl/>
              <w:tabs>
                <w:tab w:val="decimal" w:pos="340"/>
              </w:tabs>
              <w:rPr>
                <w:rFonts w:cs="Arial"/>
                <w:color w:val="000000"/>
                <w:sz w:val="18"/>
                <w:szCs w:val="18"/>
              </w:rPr>
            </w:pPr>
            <w:r w:rsidRPr="00B83846">
              <w:rPr>
                <w:rFonts w:cs="Arial"/>
                <w:color w:val="000000"/>
                <w:sz w:val="18"/>
                <w:szCs w:val="18"/>
              </w:rPr>
              <w:t>8</w:t>
            </w:r>
          </w:p>
        </w:tc>
        <w:tc>
          <w:tcPr>
            <w:tcW w:w="264" w:type="pct"/>
            <w:shd w:val="clear" w:color="auto" w:fill="D9D9D9" w:themeFill="background1" w:themeFillShade="D9"/>
            <w:vAlign w:val="center"/>
          </w:tcPr>
          <w:p w14:paraId="0F27A5B5" w14:textId="62EEFDD1" w:rsidR="001902D2" w:rsidRPr="00B83846" w:rsidRDefault="001902D2" w:rsidP="001902D2">
            <w:pPr>
              <w:widowControl/>
              <w:tabs>
                <w:tab w:val="decimal" w:pos="340"/>
              </w:tabs>
              <w:rPr>
                <w:rFonts w:cs="Arial"/>
                <w:color w:val="000000"/>
                <w:sz w:val="18"/>
                <w:szCs w:val="18"/>
              </w:rPr>
            </w:pPr>
            <w:r w:rsidRPr="003A7740">
              <w:rPr>
                <w:rFonts w:cs="Arial"/>
                <w:color w:val="000000"/>
                <w:sz w:val="18"/>
                <w:szCs w:val="18"/>
              </w:rPr>
              <w:t>53</w:t>
            </w:r>
          </w:p>
        </w:tc>
        <w:tc>
          <w:tcPr>
            <w:tcW w:w="264" w:type="pct"/>
            <w:shd w:val="clear" w:color="auto" w:fill="D9D9D9" w:themeFill="background1" w:themeFillShade="D9"/>
            <w:vAlign w:val="center"/>
          </w:tcPr>
          <w:p w14:paraId="7F0CC041" w14:textId="058C1E82" w:rsidR="001902D2" w:rsidRPr="00B83846" w:rsidRDefault="001902D2" w:rsidP="001902D2">
            <w:pPr>
              <w:widowControl/>
              <w:tabs>
                <w:tab w:val="decimal" w:pos="340"/>
              </w:tabs>
              <w:rPr>
                <w:rFonts w:cs="Arial"/>
                <w:color w:val="000000"/>
                <w:sz w:val="18"/>
                <w:szCs w:val="18"/>
              </w:rPr>
            </w:pPr>
            <w:r w:rsidRPr="003A7740">
              <w:rPr>
                <w:rFonts w:cs="Arial"/>
                <w:color w:val="000000"/>
                <w:sz w:val="18"/>
                <w:szCs w:val="18"/>
              </w:rPr>
              <w:t>44</w:t>
            </w:r>
          </w:p>
        </w:tc>
        <w:tc>
          <w:tcPr>
            <w:tcW w:w="199" w:type="pct"/>
            <w:shd w:val="clear" w:color="auto" w:fill="D9D9D9" w:themeFill="background1" w:themeFillShade="D9"/>
            <w:vAlign w:val="center"/>
          </w:tcPr>
          <w:p w14:paraId="273883F6" w14:textId="343E9793" w:rsidR="001902D2" w:rsidRPr="00B83846" w:rsidRDefault="001902D2" w:rsidP="001902D2">
            <w:pPr>
              <w:widowControl/>
              <w:tabs>
                <w:tab w:val="decimal" w:pos="340"/>
              </w:tabs>
              <w:rPr>
                <w:rFonts w:cs="Arial"/>
                <w:color w:val="000000"/>
                <w:sz w:val="18"/>
                <w:szCs w:val="18"/>
              </w:rPr>
            </w:pPr>
            <w:r w:rsidRPr="003A7740">
              <w:rPr>
                <w:rFonts w:cs="Arial"/>
                <w:color w:val="000000"/>
                <w:sz w:val="18"/>
                <w:szCs w:val="18"/>
              </w:rPr>
              <w:t>8</w:t>
            </w:r>
          </w:p>
        </w:tc>
      </w:tr>
      <w:tr w:rsidR="0075508C" w:rsidRPr="002D2C2D" w14:paraId="748961F5" w14:textId="77777777" w:rsidTr="00221A11">
        <w:trPr>
          <w:cantSplit/>
        </w:trPr>
        <w:tc>
          <w:tcPr>
            <w:tcW w:w="456" w:type="pct"/>
            <w:shd w:val="clear" w:color="auto" w:fill="D9D9D9" w:themeFill="background1" w:themeFillShade="D9"/>
            <w:vAlign w:val="center"/>
          </w:tcPr>
          <w:p w14:paraId="6ABBAF72" w14:textId="5F6869BE" w:rsidR="0075508C" w:rsidRDefault="0075508C" w:rsidP="0075508C">
            <w:pPr>
              <w:widowControl/>
              <w:rPr>
                <w:rFonts w:cs="Arial"/>
                <w:color w:val="000000"/>
                <w:sz w:val="18"/>
                <w:szCs w:val="18"/>
                <w:lang w:eastAsia="en-GB" w:bidi="ar-SA"/>
              </w:rPr>
            </w:pPr>
            <w:r>
              <w:rPr>
                <w:rFonts w:cs="Arial"/>
                <w:color w:val="000000"/>
                <w:sz w:val="18"/>
                <w:szCs w:val="18"/>
                <w:lang w:eastAsia="en-GB" w:bidi="ar-SA"/>
              </w:rPr>
              <w:t>8.2</w:t>
            </w:r>
          </w:p>
        </w:tc>
        <w:tc>
          <w:tcPr>
            <w:tcW w:w="1450" w:type="pct"/>
            <w:shd w:val="clear" w:color="auto" w:fill="D9D9D9" w:themeFill="background1" w:themeFillShade="D9"/>
            <w:vAlign w:val="center"/>
          </w:tcPr>
          <w:p w14:paraId="3D4686D3" w14:textId="27ECDA4A" w:rsidR="0075508C" w:rsidRDefault="0075508C" w:rsidP="0075508C">
            <w:pPr>
              <w:widowControl/>
              <w:ind w:left="567" w:hanging="567"/>
              <w:rPr>
                <w:rFonts w:cs="Arial"/>
                <w:color w:val="000000"/>
                <w:sz w:val="18"/>
                <w:szCs w:val="18"/>
              </w:rPr>
            </w:pPr>
            <w:r>
              <w:rPr>
                <w:rFonts w:cs="Arial"/>
                <w:color w:val="000000"/>
                <w:sz w:val="18"/>
                <w:szCs w:val="18"/>
              </w:rPr>
              <w:tab/>
            </w:r>
            <w:r w:rsidRPr="00B83846">
              <w:rPr>
                <w:rFonts w:cs="Arial"/>
                <w:color w:val="000000"/>
                <w:sz w:val="18"/>
                <w:szCs w:val="18"/>
                <w:lang w:eastAsia="en-GB" w:bidi="ar-SA"/>
              </w:rPr>
              <w:t>Processed meat/ poultry/ game products in whole/ cut pieces (e.g. ham, bacon, smoked chicken)</w:t>
            </w:r>
          </w:p>
        </w:tc>
        <w:tc>
          <w:tcPr>
            <w:tcW w:w="263" w:type="pct"/>
            <w:shd w:val="clear" w:color="auto" w:fill="auto"/>
            <w:vAlign w:val="center"/>
          </w:tcPr>
          <w:p w14:paraId="55AF2165" w14:textId="003F7C92" w:rsidR="0075508C" w:rsidRPr="003A7740" w:rsidRDefault="0075508C" w:rsidP="0075508C">
            <w:pPr>
              <w:widowControl/>
              <w:tabs>
                <w:tab w:val="decimal" w:pos="340"/>
              </w:tabs>
              <w:rPr>
                <w:rFonts w:cs="Arial"/>
                <w:color w:val="000000"/>
                <w:sz w:val="18"/>
                <w:szCs w:val="18"/>
              </w:rPr>
            </w:pPr>
            <w:r w:rsidRPr="003A7740">
              <w:rPr>
                <w:rFonts w:cs="Arial"/>
                <w:color w:val="000000"/>
                <w:sz w:val="18"/>
                <w:szCs w:val="18"/>
              </w:rPr>
              <w:t>4</w:t>
            </w:r>
          </w:p>
        </w:tc>
        <w:tc>
          <w:tcPr>
            <w:tcW w:w="263" w:type="pct"/>
            <w:shd w:val="clear" w:color="auto" w:fill="auto"/>
            <w:vAlign w:val="center"/>
          </w:tcPr>
          <w:p w14:paraId="3AA10A3D" w14:textId="1E9AA862" w:rsidR="0075508C" w:rsidRPr="003A7740" w:rsidRDefault="0075508C" w:rsidP="0075508C">
            <w:pPr>
              <w:widowControl/>
              <w:tabs>
                <w:tab w:val="decimal" w:pos="340"/>
              </w:tabs>
              <w:rPr>
                <w:rFonts w:cs="Arial"/>
                <w:color w:val="000000"/>
                <w:sz w:val="18"/>
                <w:szCs w:val="18"/>
              </w:rPr>
            </w:pPr>
            <w:r w:rsidRPr="003A7740">
              <w:rPr>
                <w:rFonts w:cs="Arial"/>
                <w:color w:val="000000"/>
                <w:sz w:val="18"/>
                <w:szCs w:val="18"/>
              </w:rPr>
              <w:t>4</w:t>
            </w:r>
          </w:p>
        </w:tc>
        <w:tc>
          <w:tcPr>
            <w:tcW w:w="264" w:type="pct"/>
            <w:shd w:val="clear" w:color="auto" w:fill="auto"/>
            <w:vAlign w:val="center"/>
          </w:tcPr>
          <w:p w14:paraId="4F12AB3D" w14:textId="2E3A8C0C" w:rsidR="0075508C" w:rsidRPr="003A7740" w:rsidRDefault="0075508C" w:rsidP="0075508C">
            <w:pPr>
              <w:widowControl/>
              <w:tabs>
                <w:tab w:val="decimal" w:pos="340"/>
              </w:tabs>
              <w:rPr>
                <w:rFonts w:cs="Arial"/>
                <w:color w:val="000000"/>
                <w:sz w:val="18"/>
                <w:szCs w:val="18"/>
              </w:rPr>
            </w:pPr>
            <w:r w:rsidRPr="003A7740">
              <w:rPr>
                <w:rFonts w:cs="Arial"/>
                <w:color w:val="000000"/>
                <w:sz w:val="18"/>
                <w:szCs w:val="18"/>
              </w:rPr>
              <w:t>&lt;1</w:t>
            </w:r>
          </w:p>
        </w:tc>
        <w:tc>
          <w:tcPr>
            <w:tcW w:w="263" w:type="pct"/>
            <w:shd w:val="clear" w:color="auto" w:fill="D9D9D9" w:themeFill="background1" w:themeFillShade="D9"/>
            <w:vAlign w:val="center"/>
          </w:tcPr>
          <w:p w14:paraId="1A401E47" w14:textId="171B856C" w:rsidR="0075508C" w:rsidRPr="003A7740" w:rsidRDefault="0075508C" w:rsidP="0075508C">
            <w:pPr>
              <w:widowControl/>
              <w:tabs>
                <w:tab w:val="decimal" w:pos="340"/>
              </w:tabs>
              <w:rPr>
                <w:rFonts w:cs="Arial"/>
                <w:color w:val="000000"/>
                <w:sz w:val="18"/>
                <w:szCs w:val="18"/>
              </w:rPr>
            </w:pPr>
            <w:r w:rsidRPr="003A7740">
              <w:rPr>
                <w:rFonts w:cs="Arial"/>
                <w:color w:val="000000"/>
                <w:sz w:val="18"/>
                <w:szCs w:val="18"/>
              </w:rPr>
              <w:t>5</w:t>
            </w:r>
          </w:p>
        </w:tc>
        <w:tc>
          <w:tcPr>
            <w:tcW w:w="263" w:type="pct"/>
            <w:shd w:val="clear" w:color="auto" w:fill="auto"/>
            <w:vAlign w:val="center"/>
          </w:tcPr>
          <w:p w14:paraId="28D6387A" w14:textId="15DA4AA4" w:rsidR="0075508C" w:rsidRPr="003A7740" w:rsidRDefault="0075508C" w:rsidP="0075508C">
            <w:pPr>
              <w:widowControl/>
              <w:tabs>
                <w:tab w:val="decimal" w:pos="340"/>
              </w:tabs>
              <w:rPr>
                <w:rFonts w:cs="Arial"/>
                <w:color w:val="000000"/>
                <w:sz w:val="18"/>
                <w:szCs w:val="18"/>
              </w:rPr>
            </w:pPr>
            <w:r w:rsidRPr="003A7740">
              <w:rPr>
                <w:rFonts w:cs="Arial"/>
                <w:color w:val="000000"/>
                <w:sz w:val="18"/>
                <w:szCs w:val="18"/>
              </w:rPr>
              <w:t>4</w:t>
            </w:r>
          </w:p>
        </w:tc>
        <w:tc>
          <w:tcPr>
            <w:tcW w:w="264" w:type="pct"/>
            <w:shd w:val="clear" w:color="auto" w:fill="auto"/>
            <w:vAlign w:val="center"/>
          </w:tcPr>
          <w:p w14:paraId="3D415A04" w14:textId="726E3736" w:rsidR="0075508C" w:rsidRPr="003A7740" w:rsidRDefault="0075508C" w:rsidP="0075508C">
            <w:pPr>
              <w:widowControl/>
              <w:tabs>
                <w:tab w:val="decimal" w:pos="340"/>
              </w:tabs>
              <w:rPr>
                <w:rFonts w:cs="Arial"/>
                <w:color w:val="000000"/>
                <w:sz w:val="18"/>
                <w:szCs w:val="18"/>
              </w:rPr>
            </w:pPr>
            <w:r w:rsidRPr="003A7740">
              <w:rPr>
                <w:rFonts w:cs="Arial"/>
                <w:color w:val="000000"/>
                <w:sz w:val="18"/>
                <w:szCs w:val="18"/>
              </w:rPr>
              <w:t>&lt;1</w:t>
            </w:r>
          </w:p>
        </w:tc>
        <w:tc>
          <w:tcPr>
            <w:tcW w:w="263" w:type="pct"/>
            <w:shd w:val="clear" w:color="auto" w:fill="auto"/>
            <w:vAlign w:val="center"/>
          </w:tcPr>
          <w:p w14:paraId="0F27200D" w14:textId="09491752" w:rsidR="0075508C" w:rsidRPr="003A7740" w:rsidRDefault="0075508C" w:rsidP="0075508C">
            <w:pPr>
              <w:widowControl/>
              <w:tabs>
                <w:tab w:val="decimal" w:pos="340"/>
              </w:tabs>
              <w:rPr>
                <w:rFonts w:cs="Arial"/>
                <w:color w:val="000000"/>
                <w:sz w:val="18"/>
                <w:szCs w:val="18"/>
              </w:rPr>
            </w:pPr>
            <w:r w:rsidRPr="003A7740">
              <w:rPr>
                <w:rFonts w:cs="Arial"/>
                <w:color w:val="000000"/>
                <w:sz w:val="18"/>
                <w:szCs w:val="18"/>
              </w:rPr>
              <w:t>4</w:t>
            </w:r>
          </w:p>
        </w:tc>
        <w:tc>
          <w:tcPr>
            <w:tcW w:w="263" w:type="pct"/>
            <w:shd w:val="clear" w:color="auto" w:fill="auto"/>
            <w:vAlign w:val="center"/>
          </w:tcPr>
          <w:p w14:paraId="6B0548F8" w14:textId="54104C46" w:rsidR="0075508C" w:rsidRPr="003A7740" w:rsidRDefault="0075508C" w:rsidP="0075508C">
            <w:pPr>
              <w:widowControl/>
              <w:tabs>
                <w:tab w:val="decimal" w:pos="340"/>
              </w:tabs>
              <w:rPr>
                <w:rFonts w:cs="Arial"/>
                <w:color w:val="000000"/>
                <w:sz w:val="18"/>
                <w:szCs w:val="18"/>
              </w:rPr>
            </w:pPr>
            <w:r w:rsidRPr="003A7740">
              <w:rPr>
                <w:rFonts w:cs="Arial"/>
                <w:color w:val="000000"/>
                <w:sz w:val="18"/>
                <w:szCs w:val="18"/>
              </w:rPr>
              <w:t>3</w:t>
            </w:r>
          </w:p>
        </w:tc>
        <w:tc>
          <w:tcPr>
            <w:tcW w:w="264" w:type="pct"/>
            <w:shd w:val="clear" w:color="auto" w:fill="auto"/>
            <w:vAlign w:val="center"/>
          </w:tcPr>
          <w:p w14:paraId="44CD3F6A" w14:textId="104B0F12" w:rsidR="0075508C" w:rsidRPr="00B83846" w:rsidRDefault="0075508C" w:rsidP="0075508C">
            <w:pPr>
              <w:widowControl/>
              <w:tabs>
                <w:tab w:val="decimal" w:pos="340"/>
              </w:tabs>
              <w:rPr>
                <w:rFonts w:cs="Arial"/>
                <w:color w:val="000000"/>
                <w:sz w:val="18"/>
                <w:szCs w:val="18"/>
              </w:rPr>
            </w:pPr>
            <w:r w:rsidRPr="003A7740">
              <w:rPr>
                <w:rFonts w:cs="Arial"/>
                <w:color w:val="000000"/>
                <w:sz w:val="18"/>
                <w:szCs w:val="18"/>
              </w:rPr>
              <w:t>&lt;1</w:t>
            </w:r>
          </w:p>
        </w:tc>
        <w:tc>
          <w:tcPr>
            <w:tcW w:w="264" w:type="pct"/>
            <w:shd w:val="clear" w:color="auto" w:fill="auto"/>
            <w:vAlign w:val="center"/>
          </w:tcPr>
          <w:p w14:paraId="11069FF3" w14:textId="2A8DDFC3" w:rsidR="0075508C" w:rsidRPr="003A7740" w:rsidRDefault="0075508C" w:rsidP="0075508C">
            <w:pPr>
              <w:widowControl/>
              <w:tabs>
                <w:tab w:val="decimal" w:pos="340"/>
              </w:tabs>
              <w:rPr>
                <w:rFonts w:cs="Arial"/>
                <w:color w:val="000000"/>
                <w:sz w:val="18"/>
                <w:szCs w:val="18"/>
              </w:rPr>
            </w:pPr>
            <w:r w:rsidRPr="003A7740">
              <w:rPr>
                <w:rFonts w:cs="Arial"/>
                <w:color w:val="000000"/>
                <w:sz w:val="18"/>
                <w:szCs w:val="18"/>
              </w:rPr>
              <w:t>4</w:t>
            </w:r>
          </w:p>
        </w:tc>
        <w:tc>
          <w:tcPr>
            <w:tcW w:w="264" w:type="pct"/>
            <w:shd w:val="clear" w:color="auto" w:fill="auto"/>
            <w:vAlign w:val="center"/>
          </w:tcPr>
          <w:p w14:paraId="4632E9F8" w14:textId="1FCDF47D" w:rsidR="0075508C" w:rsidRPr="003A7740" w:rsidRDefault="0075508C" w:rsidP="0075508C">
            <w:pPr>
              <w:widowControl/>
              <w:tabs>
                <w:tab w:val="decimal" w:pos="340"/>
              </w:tabs>
              <w:rPr>
                <w:rFonts w:cs="Arial"/>
                <w:color w:val="000000"/>
                <w:sz w:val="18"/>
                <w:szCs w:val="18"/>
              </w:rPr>
            </w:pPr>
            <w:r w:rsidRPr="003A7740">
              <w:rPr>
                <w:rFonts w:cs="Arial"/>
                <w:color w:val="000000"/>
                <w:sz w:val="18"/>
                <w:szCs w:val="18"/>
              </w:rPr>
              <w:t>3</w:t>
            </w:r>
          </w:p>
        </w:tc>
        <w:tc>
          <w:tcPr>
            <w:tcW w:w="199" w:type="pct"/>
            <w:shd w:val="clear" w:color="auto" w:fill="auto"/>
            <w:vAlign w:val="center"/>
          </w:tcPr>
          <w:p w14:paraId="2A46ADE1" w14:textId="270E01D1" w:rsidR="0075508C" w:rsidRPr="003A7740" w:rsidRDefault="0075508C" w:rsidP="0075508C">
            <w:pPr>
              <w:widowControl/>
              <w:tabs>
                <w:tab w:val="decimal" w:pos="340"/>
              </w:tabs>
              <w:rPr>
                <w:rFonts w:cs="Arial"/>
                <w:color w:val="000000"/>
                <w:sz w:val="18"/>
                <w:szCs w:val="18"/>
              </w:rPr>
            </w:pPr>
            <w:r w:rsidRPr="003A7740">
              <w:rPr>
                <w:rFonts w:cs="Arial"/>
                <w:color w:val="000000"/>
                <w:sz w:val="18"/>
                <w:szCs w:val="18"/>
              </w:rPr>
              <w:t>&lt;1</w:t>
            </w:r>
          </w:p>
        </w:tc>
      </w:tr>
      <w:tr w:rsidR="0075508C" w:rsidRPr="002D2C2D" w14:paraId="76EDA540" w14:textId="77777777" w:rsidTr="001A319B">
        <w:trPr>
          <w:cantSplit/>
        </w:trPr>
        <w:tc>
          <w:tcPr>
            <w:tcW w:w="456" w:type="pct"/>
            <w:shd w:val="clear" w:color="auto" w:fill="auto"/>
            <w:vAlign w:val="center"/>
            <w:hideMark/>
          </w:tcPr>
          <w:p w14:paraId="5FB6163E" w14:textId="0443008B" w:rsidR="0075508C" w:rsidRPr="002D2C2D" w:rsidRDefault="0075508C" w:rsidP="0075508C">
            <w:pPr>
              <w:widowControl/>
              <w:rPr>
                <w:rFonts w:cs="Arial"/>
                <w:bCs/>
                <w:color w:val="000000"/>
                <w:sz w:val="18"/>
                <w:szCs w:val="18"/>
                <w:lang w:eastAsia="en-GB" w:bidi="ar-SA"/>
              </w:rPr>
            </w:pPr>
            <w:r w:rsidRPr="002D2C2D">
              <w:rPr>
                <w:rFonts w:cs="Arial"/>
                <w:bCs/>
                <w:color w:val="000000"/>
                <w:sz w:val="18"/>
                <w:szCs w:val="18"/>
                <w:lang w:eastAsia="en-GB" w:bidi="ar-SA"/>
              </w:rPr>
              <w:t>9</w:t>
            </w:r>
          </w:p>
        </w:tc>
        <w:tc>
          <w:tcPr>
            <w:tcW w:w="1450" w:type="pct"/>
            <w:tcBorders>
              <w:bottom w:val="single" w:sz="4" w:space="0" w:color="auto"/>
            </w:tcBorders>
            <w:shd w:val="clear" w:color="auto" w:fill="auto"/>
            <w:vAlign w:val="center"/>
          </w:tcPr>
          <w:p w14:paraId="67803B50" w14:textId="77777777" w:rsidR="0075508C" w:rsidRPr="002D2C2D" w:rsidRDefault="0075508C" w:rsidP="0075508C">
            <w:pPr>
              <w:widowControl/>
              <w:rPr>
                <w:rFonts w:cs="Arial"/>
                <w:bCs/>
                <w:color w:val="000000"/>
                <w:sz w:val="18"/>
                <w:szCs w:val="18"/>
                <w:lang w:eastAsia="en-GB" w:bidi="ar-SA"/>
              </w:rPr>
            </w:pPr>
            <w:r w:rsidRPr="002D2C2D">
              <w:rPr>
                <w:rFonts w:cs="Arial"/>
                <w:bCs/>
                <w:color w:val="000000"/>
                <w:sz w:val="18"/>
                <w:szCs w:val="18"/>
                <w:lang w:eastAsia="en-GB" w:bidi="ar-SA"/>
              </w:rPr>
              <w:t>All Fish &amp; fish products</w:t>
            </w:r>
          </w:p>
        </w:tc>
        <w:tc>
          <w:tcPr>
            <w:tcW w:w="263" w:type="pct"/>
            <w:shd w:val="clear" w:color="auto" w:fill="auto"/>
            <w:vAlign w:val="center"/>
          </w:tcPr>
          <w:p w14:paraId="3D705BDB" w14:textId="77777777" w:rsidR="0075508C" w:rsidRPr="002D2C2D" w:rsidRDefault="0075508C" w:rsidP="0075508C">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3" w:type="pct"/>
            <w:vAlign w:val="center"/>
          </w:tcPr>
          <w:p w14:paraId="1A80BAB3" w14:textId="77777777" w:rsidR="0075508C" w:rsidRPr="002D2C2D" w:rsidRDefault="0075508C" w:rsidP="0075508C">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57872C35" w14:textId="77777777" w:rsidR="0075508C" w:rsidRPr="002D2C2D" w:rsidRDefault="0075508C" w:rsidP="0075508C">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3" w:type="pct"/>
            <w:shd w:val="clear" w:color="auto" w:fill="auto"/>
            <w:vAlign w:val="center"/>
          </w:tcPr>
          <w:p w14:paraId="77B7DC85" w14:textId="77777777" w:rsidR="0075508C" w:rsidRPr="002D2C2D" w:rsidRDefault="0075508C" w:rsidP="0075508C">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3" w:type="pct"/>
            <w:vAlign w:val="center"/>
          </w:tcPr>
          <w:p w14:paraId="6393D067" w14:textId="77777777" w:rsidR="0075508C" w:rsidRPr="002D2C2D" w:rsidRDefault="0075508C" w:rsidP="0075508C">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38AEE373" w14:textId="77777777" w:rsidR="0075508C" w:rsidRPr="002D2C2D" w:rsidRDefault="0075508C" w:rsidP="0075508C">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3" w:type="pct"/>
            <w:shd w:val="clear" w:color="auto" w:fill="auto"/>
            <w:vAlign w:val="center"/>
          </w:tcPr>
          <w:p w14:paraId="28587910" w14:textId="77777777" w:rsidR="0075508C" w:rsidRPr="002D2C2D" w:rsidRDefault="0075508C" w:rsidP="0075508C">
            <w:pPr>
              <w:widowControl/>
              <w:tabs>
                <w:tab w:val="decimal" w:pos="340"/>
              </w:tabs>
              <w:rPr>
                <w:rFonts w:cs="Arial"/>
                <w:bCs/>
                <w:sz w:val="18"/>
                <w:szCs w:val="18"/>
                <w:lang w:eastAsia="en-GB" w:bidi="ar-SA"/>
              </w:rPr>
            </w:pPr>
            <w:r w:rsidRPr="002D2C2D">
              <w:rPr>
                <w:rFonts w:cs="Arial"/>
                <w:bCs/>
                <w:sz w:val="18"/>
                <w:szCs w:val="18"/>
              </w:rPr>
              <w:t>1</w:t>
            </w:r>
          </w:p>
        </w:tc>
        <w:tc>
          <w:tcPr>
            <w:tcW w:w="263" w:type="pct"/>
            <w:vAlign w:val="center"/>
          </w:tcPr>
          <w:p w14:paraId="65291CD3" w14:textId="77777777" w:rsidR="0075508C" w:rsidRPr="002D2C2D" w:rsidRDefault="0075508C" w:rsidP="0075508C">
            <w:pPr>
              <w:widowControl/>
              <w:tabs>
                <w:tab w:val="decimal" w:pos="340"/>
              </w:tabs>
              <w:rPr>
                <w:rFonts w:cs="Arial"/>
                <w:bCs/>
                <w:sz w:val="18"/>
                <w:szCs w:val="18"/>
              </w:rPr>
            </w:pPr>
            <w:r w:rsidRPr="002D2C2D">
              <w:rPr>
                <w:rFonts w:cs="Arial"/>
                <w:bCs/>
                <w:sz w:val="18"/>
                <w:szCs w:val="18"/>
              </w:rPr>
              <w:t>&lt;1</w:t>
            </w:r>
          </w:p>
        </w:tc>
        <w:tc>
          <w:tcPr>
            <w:tcW w:w="264" w:type="pct"/>
            <w:shd w:val="clear" w:color="auto" w:fill="auto"/>
            <w:vAlign w:val="center"/>
          </w:tcPr>
          <w:p w14:paraId="7543A576" w14:textId="77777777" w:rsidR="0075508C" w:rsidRPr="002D2C2D" w:rsidRDefault="0075508C" w:rsidP="0075508C">
            <w:pPr>
              <w:widowControl/>
              <w:tabs>
                <w:tab w:val="decimal" w:pos="340"/>
              </w:tabs>
              <w:rPr>
                <w:rFonts w:cs="Arial"/>
                <w:bCs/>
                <w:sz w:val="18"/>
                <w:szCs w:val="18"/>
                <w:lang w:eastAsia="en-GB" w:bidi="ar-SA"/>
              </w:rPr>
            </w:pPr>
            <w:r w:rsidRPr="002D2C2D">
              <w:rPr>
                <w:rFonts w:cs="Arial"/>
                <w:bCs/>
                <w:sz w:val="18"/>
                <w:szCs w:val="18"/>
              </w:rPr>
              <w:t>&lt;1</w:t>
            </w:r>
          </w:p>
        </w:tc>
        <w:tc>
          <w:tcPr>
            <w:tcW w:w="264" w:type="pct"/>
            <w:shd w:val="clear" w:color="auto" w:fill="auto"/>
            <w:vAlign w:val="center"/>
          </w:tcPr>
          <w:p w14:paraId="3F2FA5C4" w14:textId="77777777" w:rsidR="0075508C" w:rsidRPr="002D2C2D" w:rsidRDefault="0075508C" w:rsidP="0075508C">
            <w:pPr>
              <w:widowControl/>
              <w:tabs>
                <w:tab w:val="decimal" w:pos="340"/>
              </w:tabs>
              <w:rPr>
                <w:rFonts w:cs="Arial"/>
                <w:bCs/>
                <w:color w:val="000000"/>
                <w:sz w:val="18"/>
                <w:szCs w:val="18"/>
                <w:lang w:eastAsia="en-GB" w:bidi="ar-SA"/>
              </w:rPr>
            </w:pPr>
            <w:r w:rsidRPr="002D2C2D">
              <w:rPr>
                <w:rFonts w:cs="Arial"/>
                <w:bCs/>
                <w:color w:val="000000"/>
                <w:sz w:val="18"/>
                <w:szCs w:val="18"/>
              </w:rPr>
              <w:t>1</w:t>
            </w:r>
          </w:p>
        </w:tc>
        <w:tc>
          <w:tcPr>
            <w:tcW w:w="264" w:type="pct"/>
            <w:vAlign w:val="center"/>
          </w:tcPr>
          <w:p w14:paraId="21F71A76" w14:textId="77777777" w:rsidR="0075508C" w:rsidRPr="002D2C2D" w:rsidRDefault="0075508C" w:rsidP="0075508C">
            <w:pPr>
              <w:widowControl/>
              <w:tabs>
                <w:tab w:val="decimal" w:pos="340"/>
              </w:tabs>
              <w:rPr>
                <w:rFonts w:cs="Arial"/>
                <w:bCs/>
                <w:color w:val="000000"/>
                <w:sz w:val="18"/>
                <w:szCs w:val="18"/>
              </w:rPr>
            </w:pPr>
            <w:r w:rsidRPr="002D2C2D">
              <w:rPr>
                <w:rFonts w:cs="Arial"/>
                <w:bCs/>
                <w:color w:val="000000"/>
                <w:sz w:val="18"/>
                <w:szCs w:val="18"/>
              </w:rPr>
              <w:t>&lt;1</w:t>
            </w:r>
          </w:p>
        </w:tc>
        <w:tc>
          <w:tcPr>
            <w:tcW w:w="199" w:type="pct"/>
            <w:shd w:val="clear" w:color="auto" w:fill="auto"/>
            <w:vAlign w:val="center"/>
          </w:tcPr>
          <w:p w14:paraId="1FBED492" w14:textId="3BD562FB" w:rsidR="0075508C" w:rsidRPr="002D2C2D" w:rsidRDefault="0075508C" w:rsidP="0075508C">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r>
      <w:tr w:rsidR="0075508C" w:rsidRPr="002D2C2D" w14:paraId="29EBEC82" w14:textId="77777777" w:rsidTr="001A319B">
        <w:trPr>
          <w:cantSplit/>
        </w:trPr>
        <w:tc>
          <w:tcPr>
            <w:tcW w:w="456" w:type="pct"/>
            <w:shd w:val="clear" w:color="auto" w:fill="auto"/>
            <w:vAlign w:val="center"/>
            <w:hideMark/>
          </w:tcPr>
          <w:p w14:paraId="368121CF" w14:textId="73C3DBD5" w:rsidR="0075508C" w:rsidRPr="002D2C2D" w:rsidRDefault="0075508C" w:rsidP="0075508C">
            <w:pPr>
              <w:widowControl/>
              <w:rPr>
                <w:rFonts w:cs="Arial"/>
                <w:bCs/>
                <w:color w:val="000000"/>
                <w:sz w:val="18"/>
                <w:szCs w:val="18"/>
                <w:lang w:eastAsia="en-GB" w:bidi="ar-SA"/>
              </w:rPr>
            </w:pPr>
            <w:r w:rsidRPr="002D2C2D">
              <w:rPr>
                <w:rFonts w:cs="Arial"/>
                <w:bCs/>
                <w:color w:val="000000"/>
                <w:sz w:val="18"/>
                <w:szCs w:val="18"/>
                <w:lang w:eastAsia="en-GB" w:bidi="ar-SA"/>
              </w:rPr>
              <w:t>10</w:t>
            </w:r>
          </w:p>
        </w:tc>
        <w:tc>
          <w:tcPr>
            <w:tcW w:w="1450" w:type="pct"/>
            <w:tcBorders>
              <w:bottom w:val="single" w:sz="4" w:space="0" w:color="auto"/>
            </w:tcBorders>
            <w:shd w:val="clear" w:color="auto" w:fill="auto"/>
            <w:vAlign w:val="center"/>
          </w:tcPr>
          <w:p w14:paraId="12FAC0C4" w14:textId="77777777" w:rsidR="0075508C" w:rsidRPr="002D2C2D" w:rsidRDefault="0075508C" w:rsidP="0075508C">
            <w:pPr>
              <w:widowControl/>
              <w:rPr>
                <w:rFonts w:cs="Arial"/>
                <w:bCs/>
                <w:color w:val="000000"/>
                <w:sz w:val="18"/>
                <w:szCs w:val="18"/>
                <w:lang w:eastAsia="en-GB" w:bidi="ar-SA"/>
              </w:rPr>
            </w:pPr>
            <w:r w:rsidRPr="002D2C2D">
              <w:rPr>
                <w:rFonts w:cs="Arial"/>
                <w:bCs/>
                <w:color w:val="000000"/>
                <w:sz w:val="18"/>
                <w:szCs w:val="18"/>
                <w:lang w:eastAsia="en-GB" w:bidi="ar-SA"/>
              </w:rPr>
              <w:t>All Egg &amp; egg products</w:t>
            </w:r>
          </w:p>
        </w:tc>
        <w:tc>
          <w:tcPr>
            <w:tcW w:w="263" w:type="pct"/>
            <w:shd w:val="clear" w:color="auto" w:fill="auto"/>
            <w:vAlign w:val="center"/>
          </w:tcPr>
          <w:p w14:paraId="38C1EC61" w14:textId="77777777" w:rsidR="0075508C" w:rsidRPr="002D2C2D" w:rsidRDefault="0075508C" w:rsidP="0075508C">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3" w:type="pct"/>
            <w:vAlign w:val="center"/>
          </w:tcPr>
          <w:p w14:paraId="02962287" w14:textId="77777777" w:rsidR="0075508C" w:rsidRPr="002D2C2D" w:rsidRDefault="0075508C" w:rsidP="0075508C">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54B74DFD" w14:textId="77777777" w:rsidR="0075508C" w:rsidRPr="002D2C2D" w:rsidRDefault="0075508C" w:rsidP="0075508C">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3" w:type="pct"/>
            <w:shd w:val="clear" w:color="auto" w:fill="auto"/>
            <w:vAlign w:val="center"/>
          </w:tcPr>
          <w:p w14:paraId="1737BE8D" w14:textId="77777777" w:rsidR="0075508C" w:rsidRPr="002D2C2D" w:rsidRDefault="0075508C" w:rsidP="0075508C">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3" w:type="pct"/>
            <w:vAlign w:val="center"/>
          </w:tcPr>
          <w:p w14:paraId="5095F752" w14:textId="77777777" w:rsidR="0075508C" w:rsidRPr="002D2C2D" w:rsidRDefault="0075508C" w:rsidP="0075508C">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243DE54C" w14:textId="77777777" w:rsidR="0075508C" w:rsidRPr="002D2C2D" w:rsidRDefault="0075508C" w:rsidP="0075508C">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3" w:type="pct"/>
            <w:shd w:val="clear" w:color="auto" w:fill="auto"/>
            <w:vAlign w:val="center"/>
          </w:tcPr>
          <w:p w14:paraId="75926CA6" w14:textId="77777777" w:rsidR="0075508C" w:rsidRPr="002D2C2D" w:rsidRDefault="0075508C" w:rsidP="0075508C">
            <w:pPr>
              <w:widowControl/>
              <w:tabs>
                <w:tab w:val="decimal" w:pos="340"/>
              </w:tabs>
              <w:rPr>
                <w:rFonts w:cs="Arial"/>
                <w:bCs/>
                <w:sz w:val="18"/>
                <w:szCs w:val="18"/>
                <w:highlight w:val="magenta"/>
                <w:lang w:eastAsia="en-GB" w:bidi="ar-SA"/>
              </w:rPr>
            </w:pPr>
            <w:r w:rsidRPr="002D2C2D">
              <w:rPr>
                <w:rFonts w:cs="Arial"/>
                <w:bCs/>
                <w:sz w:val="18"/>
                <w:szCs w:val="18"/>
              </w:rPr>
              <w:t>&lt;1</w:t>
            </w:r>
          </w:p>
        </w:tc>
        <w:tc>
          <w:tcPr>
            <w:tcW w:w="263" w:type="pct"/>
            <w:vAlign w:val="center"/>
          </w:tcPr>
          <w:p w14:paraId="0D5F068E" w14:textId="77777777" w:rsidR="0075508C" w:rsidRPr="002D2C2D" w:rsidRDefault="0075508C" w:rsidP="0075508C">
            <w:pPr>
              <w:widowControl/>
              <w:tabs>
                <w:tab w:val="decimal" w:pos="340"/>
              </w:tabs>
              <w:rPr>
                <w:rFonts w:cs="Arial"/>
                <w:bCs/>
                <w:sz w:val="18"/>
                <w:szCs w:val="18"/>
              </w:rPr>
            </w:pPr>
            <w:r w:rsidRPr="002D2C2D">
              <w:rPr>
                <w:rFonts w:cs="Arial"/>
                <w:bCs/>
                <w:sz w:val="18"/>
                <w:szCs w:val="18"/>
              </w:rPr>
              <w:t>&lt;1</w:t>
            </w:r>
          </w:p>
        </w:tc>
        <w:tc>
          <w:tcPr>
            <w:tcW w:w="264" w:type="pct"/>
            <w:shd w:val="clear" w:color="auto" w:fill="auto"/>
            <w:vAlign w:val="center"/>
          </w:tcPr>
          <w:p w14:paraId="118B3EF2" w14:textId="77777777" w:rsidR="0075508C" w:rsidRPr="002D2C2D" w:rsidRDefault="0075508C" w:rsidP="0075508C">
            <w:pPr>
              <w:widowControl/>
              <w:tabs>
                <w:tab w:val="decimal" w:pos="340"/>
              </w:tabs>
              <w:rPr>
                <w:rFonts w:cs="Arial"/>
                <w:bCs/>
                <w:sz w:val="18"/>
                <w:szCs w:val="18"/>
                <w:highlight w:val="magenta"/>
                <w:lang w:eastAsia="en-GB" w:bidi="ar-SA"/>
              </w:rPr>
            </w:pPr>
            <w:r w:rsidRPr="002D2C2D">
              <w:rPr>
                <w:rFonts w:cs="Arial"/>
                <w:bCs/>
                <w:sz w:val="18"/>
                <w:szCs w:val="18"/>
              </w:rPr>
              <w:t>&lt;1</w:t>
            </w:r>
          </w:p>
        </w:tc>
        <w:tc>
          <w:tcPr>
            <w:tcW w:w="264" w:type="pct"/>
            <w:shd w:val="clear" w:color="auto" w:fill="auto"/>
            <w:vAlign w:val="center"/>
          </w:tcPr>
          <w:p w14:paraId="25FA76B9" w14:textId="77777777" w:rsidR="0075508C" w:rsidRPr="002D2C2D" w:rsidRDefault="0075508C" w:rsidP="0075508C">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14A96283" w14:textId="77777777" w:rsidR="0075508C" w:rsidRPr="002D2C2D" w:rsidRDefault="0075508C" w:rsidP="0075508C">
            <w:pPr>
              <w:widowControl/>
              <w:tabs>
                <w:tab w:val="decimal" w:pos="340"/>
              </w:tabs>
              <w:rPr>
                <w:rFonts w:cs="Arial"/>
                <w:bCs/>
                <w:color w:val="000000"/>
                <w:sz w:val="18"/>
                <w:szCs w:val="18"/>
              </w:rPr>
            </w:pPr>
            <w:r w:rsidRPr="002D2C2D">
              <w:rPr>
                <w:rFonts w:cs="Arial"/>
                <w:bCs/>
                <w:color w:val="000000"/>
                <w:sz w:val="18"/>
                <w:szCs w:val="18"/>
              </w:rPr>
              <w:t>&lt;1</w:t>
            </w:r>
          </w:p>
        </w:tc>
        <w:tc>
          <w:tcPr>
            <w:tcW w:w="199" w:type="pct"/>
            <w:shd w:val="clear" w:color="auto" w:fill="auto"/>
            <w:vAlign w:val="center"/>
          </w:tcPr>
          <w:p w14:paraId="4135041F" w14:textId="063D2BBE" w:rsidR="0075508C" w:rsidRPr="002D2C2D" w:rsidRDefault="0075508C" w:rsidP="0075508C">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r>
      <w:tr w:rsidR="0075508C" w:rsidRPr="002D2C2D" w14:paraId="284F497F" w14:textId="77777777" w:rsidTr="001A319B">
        <w:trPr>
          <w:cantSplit/>
        </w:trPr>
        <w:tc>
          <w:tcPr>
            <w:tcW w:w="456" w:type="pct"/>
            <w:shd w:val="clear" w:color="auto" w:fill="auto"/>
            <w:vAlign w:val="center"/>
            <w:hideMark/>
          </w:tcPr>
          <w:p w14:paraId="39293A79" w14:textId="43AAB060" w:rsidR="0075508C" w:rsidRPr="002D2C2D" w:rsidRDefault="0075508C" w:rsidP="0075508C">
            <w:pPr>
              <w:widowControl/>
              <w:rPr>
                <w:rFonts w:cs="Arial"/>
                <w:bCs/>
                <w:color w:val="000000"/>
                <w:sz w:val="18"/>
                <w:szCs w:val="18"/>
                <w:lang w:eastAsia="en-GB" w:bidi="ar-SA"/>
              </w:rPr>
            </w:pPr>
            <w:r w:rsidRPr="002D2C2D">
              <w:rPr>
                <w:rFonts w:cs="Arial"/>
                <w:bCs/>
                <w:color w:val="000000"/>
                <w:sz w:val="18"/>
                <w:szCs w:val="18"/>
                <w:lang w:eastAsia="en-GB" w:bidi="ar-SA"/>
              </w:rPr>
              <w:t>12</w:t>
            </w:r>
          </w:p>
        </w:tc>
        <w:tc>
          <w:tcPr>
            <w:tcW w:w="1450" w:type="pct"/>
            <w:tcBorders>
              <w:bottom w:val="single" w:sz="4" w:space="0" w:color="auto"/>
            </w:tcBorders>
            <w:shd w:val="clear" w:color="auto" w:fill="auto"/>
            <w:vAlign w:val="center"/>
          </w:tcPr>
          <w:p w14:paraId="7DB50C98" w14:textId="77777777" w:rsidR="0075508C" w:rsidRPr="002D2C2D" w:rsidRDefault="0075508C" w:rsidP="0075508C">
            <w:pPr>
              <w:widowControl/>
              <w:rPr>
                <w:rFonts w:cs="Arial"/>
                <w:bCs/>
                <w:color w:val="000000"/>
                <w:sz w:val="18"/>
                <w:szCs w:val="18"/>
                <w:lang w:eastAsia="en-GB" w:bidi="ar-SA"/>
              </w:rPr>
            </w:pPr>
            <w:r w:rsidRPr="002D2C2D">
              <w:rPr>
                <w:rFonts w:cs="Arial"/>
                <w:bCs/>
                <w:color w:val="000000"/>
                <w:sz w:val="18"/>
                <w:szCs w:val="18"/>
                <w:lang w:eastAsia="en-GB" w:bidi="ar-SA"/>
              </w:rPr>
              <w:t>All Salts &amp; condiments</w:t>
            </w:r>
          </w:p>
        </w:tc>
        <w:tc>
          <w:tcPr>
            <w:tcW w:w="263" w:type="pct"/>
            <w:shd w:val="clear" w:color="auto" w:fill="auto"/>
            <w:vAlign w:val="center"/>
          </w:tcPr>
          <w:p w14:paraId="25B11EDA" w14:textId="77777777" w:rsidR="0075508C" w:rsidRPr="002D2C2D" w:rsidRDefault="0075508C" w:rsidP="0075508C">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3" w:type="pct"/>
            <w:vAlign w:val="center"/>
          </w:tcPr>
          <w:p w14:paraId="16F95FF3" w14:textId="77777777" w:rsidR="0075508C" w:rsidRPr="002D2C2D" w:rsidRDefault="0075508C" w:rsidP="0075508C">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77E29D14" w14:textId="77777777" w:rsidR="0075508C" w:rsidRPr="002D2C2D" w:rsidRDefault="0075508C" w:rsidP="0075508C">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3" w:type="pct"/>
            <w:shd w:val="clear" w:color="auto" w:fill="auto"/>
            <w:vAlign w:val="center"/>
          </w:tcPr>
          <w:p w14:paraId="4BB1041F" w14:textId="77777777" w:rsidR="0075508C" w:rsidRPr="002D2C2D" w:rsidRDefault="0075508C" w:rsidP="0075508C">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3" w:type="pct"/>
            <w:vAlign w:val="center"/>
          </w:tcPr>
          <w:p w14:paraId="60F7FCD7" w14:textId="77777777" w:rsidR="0075508C" w:rsidRPr="002D2C2D" w:rsidRDefault="0075508C" w:rsidP="0075508C">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24ABAD4F" w14:textId="77777777" w:rsidR="0075508C" w:rsidRPr="002D2C2D" w:rsidRDefault="0075508C" w:rsidP="0075508C">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3" w:type="pct"/>
            <w:shd w:val="clear" w:color="auto" w:fill="auto"/>
            <w:vAlign w:val="center"/>
          </w:tcPr>
          <w:p w14:paraId="69246412" w14:textId="77777777" w:rsidR="0075508C" w:rsidRPr="002D2C2D" w:rsidRDefault="0075508C" w:rsidP="0075508C">
            <w:pPr>
              <w:widowControl/>
              <w:tabs>
                <w:tab w:val="decimal" w:pos="340"/>
              </w:tabs>
              <w:rPr>
                <w:rFonts w:cs="Arial"/>
                <w:bCs/>
                <w:sz w:val="18"/>
                <w:szCs w:val="18"/>
                <w:lang w:eastAsia="en-GB" w:bidi="ar-SA"/>
              </w:rPr>
            </w:pPr>
            <w:r w:rsidRPr="002D2C2D">
              <w:rPr>
                <w:rFonts w:cs="Arial"/>
                <w:bCs/>
                <w:sz w:val="18"/>
                <w:szCs w:val="18"/>
              </w:rPr>
              <w:t>&lt;1</w:t>
            </w:r>
          </w:p>
        </w:tc>
        <w:tc>
          <w:tcPr>
            <w:tcW w:w="263" w:type="pct"/>
            <w:vAlign w:val="center"/>
          </w:tcPr>
          <w:p w14:paraId="34200578" w14:textId="77777777" w:rsidR="0075508C" w:rsidRPr="002D2C2D" w:rsidRDefault="0075508C" w:rsidP="0075508C">
            <w:pPr>
              <w:widowControl/>
              <w:tabs>
                <w:tab w:val="decimal" w:pos="340"/>
              </w:tabs>
              <w:rPr>
                <w:rFonts w:cs="Arial"/>
                <w:bCs/>
                <w:sz w:val="18"/>
                <w:szCs w:val="18"/>
              </w:rPr>
            </w:pPr>
            <w:r w:rsidRPr="002D2C2D">
              <w:rPr>
                <w:rFonts w:cs="Arial"/>
                <w:bCs/>
                <w:sz w:val="18"/>
                <w:szCs w:val="18"/>
              </w:rPr>
              <w:t>&lt;1</w:t>
            </w:r>
          </w:p>
        </w:tc>
        <w:tc>
          <w:tcPr>
            <w:tcW w:w="264" w:type="pct"/>
            <w:shd w:val="clear" w:color="auto" w:fill="auto"/>
            <w:vAlign w:val="center"/>
          </w:tcPr>
          <w:p w14:paraId="4B7E9AE5" w14:textId="77777777" w:rsidR="0075508C" w:rsidRPr="002D2C2D" w:rsidRDefault="0075508C" w:rsidP="0075508C">
            <w:pPr>
              <w:widowControl/>
              <w:tabs>
                <w:tab w:val="decimal" w:pos="340"/>
              </w:tabs>
              <w:rPr>
                <w:rFonts w:cs="Arial"/>
                <w:bCs/>
                <w:sz w:val="18"/>
                <w:szCs w:val="18"/>
                <w:lang w:eastAsia="en-GB" w:bidi="ar-SA"/>
              </w:rPr>
            </w:pPr>
            <w:r w:rsidRPr="002D2C2D">
              <w:rPr>
                <w:rFonts w:cs="Arial"/>
                <w:bCs/>
                <w:sz w:val="18"/>
                <w:szCs w:val="18"/>
              </w:rPr>
              <w:t>&lt;1</w:t>
            </w:r>
          </w:p>
        </w:tc>
        <w:tc>
          <w:tcPr>
            <w:tcW w:w="264" w:type="pct"/>
            <w:shd w:val="clear" w:color="auto" w:fill="auto"/>
            <w:vAlign w:val="center"/>
          </w:tcPr>
          <w:p w14:paraId="530915E9" w14:textId="77777777" w:rsidR="0075508C" w:rsidRPr="002D2C2D" w:rsidRDefault="0075508C" w:rsidP="0075508C">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4" w:type="pct"/>
            <w:vAlign w:val="center"/>
          </w:tcPr>
          <w:p w14:paraId="1E9A79DE" w14:textId="77777777" w:rsidR="0075508C" w:rsidRPr="002D2C2D" w:rsidRDefault="0075508C" w:rsidP="0075508C">
            <w:pPr>
              <w:widowControl/>
              <w:tabs>
                <w:tab w:val="decimal" w:pos="340"/>
              </w:tabs>
              <w:rPr>
                <w:rFonts w:cs="Arial"/>
                <w:bCs/>
                <w:color w:val="000000"/>
                <w:sz w:val="18"/>
                <w:szCs w:val="18"/>
              </w:rPr>
            </w:pPr>
            <w:r w:rsidRPr="002D2C2D">
              <w:rPr>
                <w:rFonts w:cs="Arial"/>
                <w:bCs/>
                <w:color w:val="000000"/>
                <w:sz w:val="18"/>
                <w:szCs w:val="18"/>
              </w:rPr>
              <w:t>&lt;1</w:t>
            </w:r>
          </w:p>
        </w:tc>
        <w:tc>
          <w:tcPr>
            <w:tcW w:w="199" w:type="pct"/>
            <w:shd w:val="clear" w:color="auto" w:fill="auto"/>
            <w:vAlign w:val="center"/>
          </w:tcPr>
          <w:p w14:paraId="2741F48B" w14:textId="4A65EFBB" w:rsidR="0075508C" w:rsidRPr="002D2C2D" w:rsidRDefault="0075508C" w:rsidP="0075508C">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r>
      <w:tr w:rsidR="0075508C" w:rsidRPr="002D2C2D" w14:paraId="6686CC79" w14:textId="77777777" w:rsidTr="001A319B">
        <w:trPr>
          <w:cantSplit/>
        </w:trPr>
        <w:tc>
          <w:tcPr>
            <w:tcW w:w="456" w:type="pct"/>
            <w:shd w:val="clear" w:color="auto" w:fill="D9D9D9" w:themeFill="background1" w:themeFillShade="D9"/>
            <w:vAlign w:val="center"/>
            <w:hideMark/>
          </w:tcPr>
          <w:p w14:paraId="39B7809C" w14:textId="75293F15" w:rsidR="0075508C" w:rsidRPr="002D2C2D" w:rsidRDefault="0075508C" w:rsidP="00221A11">
            <w:pPr>
              <w:keepNext/>
              <w:keepLines/>
              <w:widowControl/>
              <w:rPr>
                <w:rFonts w:cs="Arial"/>
                <w:bCs/>
                <w:color w:val="000000"/>
                <w:sz w:val="18"/>
                <w:szCs w:val="18"/>
                <w:lang w:eastAsia="en-GB" w:bidi="ar-SA"/>
              </w:rPr>
            </w:pPr>
            <w:r w:rsidRPr="002D2C2D">
              <w:rPr>
                <w:rFonts w:cs="Arial"/>
                <w:bCs/>
                <w:color w:val="000000"/>
                <w:sz w:val="18"/>
                <w:szCs w:val="18"/>
                <w:lang w:eastAsia="en-GB" w:bidi="ar-SA"/>
              </w:rPr>
              <w:lastRenderedPageBreak/>
              <w:t>13</w:t>
            </w:r>
          </w:p>
        </w:tc>
        <w:tc>
          <w:tcPr>
            <w:tcW w:w="1450" w:type="pct"/>
            <w:tcBorders>
              <w:bottom w:val="single" w:sz="4" w:space="0" w:color="auto"/>
            </w:tcBorders>
            <w:shd w:val="clear" w:color="auto" w:fill="D9D9D9" w:themeFill="background1" w:themeFillShade="D9"/>
            <w:vAlign w:val="center"/>
          </w:tcPr>
          <w:p w14:paraId="4FCDB39E" w14:textId="77777777" w:rsidR="0075508C" w:rsidRPr="002D2C2D" w:rsidRDefault="0075508C" w:rsidP="00221A11">
            <w:pPr>
              <w:keepNext/>
              <w:keepLines/>
              <w:widowControl/>
              <w:rPr>
                <w:rFonts w:cs="Arial"/>
                <w:bCs/>
                <w:color w:val="000000"/>
                <w:sz w:val="18"/>
                <w:szCs w:val="18"/>
                <w:lang w:eastAsia="en-GB" w:bidi="ar-SA"/>
              </w:rPr>
            </w:pPr>
            <w:r w:rsidRPr="002D2C2D">
              <w:rPr>
                <w:rFonts w:cs="Arial"/>
                <w:bCs/>
                <w:color w:val="000000"/>
                <w:sz w:val="18"/>
                <w:szCs w:val="18"/>
                <w:lang w:eastAsia="en-GB" w:bidi="ar-SA"/>
              </w:rPr>
              <w:t>All Foods intended for particular dietary uses</w:t>
            </w:r>
          </w:p>
        </w:tc>
        <w:tc>
          <w:tcPr>
            <w:tcW w:w="263" w:type="pct"/>
            <w:vAlign w:val="center"/>
          </w:tcPr>
          <w:p w14:paraId="21709129" w14:textId="77777777" w:rsidR="0075508C" w:rsidRPr="002D2C2D" w:rsidRDefault="0075508C" w:rsidP="00221A11">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2</w:t>
            </w:r>
          </w:p>
        </w:tc>
        <w:tc>
          <w:tcPr>
            <w:tcW w:w="263" w:type="pct"/>
            <w:vAlign w:val="center"/>
          </w:tcPr>
          <w:p w14:paraId="767DA6C9" w14:textId="77777777" w:rsidR="0075508C" w:rsidRPr="002D2C2D" w:rsidRDefault="0075508C" w:rsidP="00221A11">
            <w:pPr>
              <w:keepNext/>
              <w:keepLines/>
              <w:widowControl/>
              <w:tabs>
                <w:tab w:val="decimal" w:pos="340"/>
              </w:tabs>
              <w:rPr>
                <w:rFonts w:cs="Arial"/>
                <w:bCs/>
                <w:color w:val="000000"/>
                <w:sz w:val="18"/>
                <w:szCs w:val="18"/>
              </w:rPr>
            </w:pPr>
            <w:r w:rsidRPr="002D2C2D">
              <w:rPr>
                <w:rFonts w:cs="Arial"/>
                <w:bCs/>
                <w:color w:val="000000"/>
                <w:sz w:val="18"/>
                <w:szCs w:val="18"/>
              </w:rPr>
              <w:t>3</w:t>
            </w:r>
          </w:p>
        </w:tc>
        <w:tc>
          <w:tcPr>
            <w:tcW w:w="264" w:type="pct"/>
            <w:shd w:val="clear" w:color="auto" w:fill="D9D9D9" w:themeFill="background1" w:themeFillShade="D9"/>
            <w:vAlign w:val="center"/>
          </w:tcPr>
          <w:p w14:paraId="4D746581" w14:textId="77777777" w:rsidR="0075508C" w:rsidRPr="002D2C2D" w:rsidRDefault="0075508C" w:rsidP="00221A11">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5</w:t>
            </w:r>
          </w:p>
        </w:tc>
        <w:tc>
          <w:tcPr>
            <w:tcW w:w="263" w:type="pct"/>
            <w:shd w:val="clear" w:color="auto" w:fill="D9D9D9" w:themeFill="background1" w:themeFillShade="D9"/>
            <w:vAlign w:val="center"/>
          </w:tcPr>
          <w:p w14:paraId="0566E2B4" w14:textId="77777777" w:rsidR="0075508C" w:rsidRPr="002D2C2D" w:rsidRDefault="0075508C" w:rsidP="00221A11">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5</w:t>
            </w:r>
          </w:p>
        </w:tc>
        <w:tc>
          <w:tcPr>
            <w:tcW w:w="263" w:type="pct"/>
            <w:shd w:val="clear" w:color="auto" w:fill="D9D9D9" w:themeFill="background1" w:themeFillShade="D9"/>
            <w:vAlign w:val="center"/>
          </w:tcPr>
          <w:p w14:paraId="5713C8E3" w14:textId="77777777" w:rsidR="0075508C" w:rsidRPr="002D2C2D" w:rsidRDefault="0075508C" w:rsidP="00221A11">
            <w:pPr>
              <w:keepNext/>
              <w:keepLines/>
              <w:widowControl/>
              <w:tabs>
                <w:tab w:val="decimal" w:pos="340"/>
              </w:tabs>
              <w:rPr>
                <w:rFonts w:cs="Arial"/>
                <w:bCs/>
                <w:color w:val="000000"/>
                <w:sz w:val="18"/>
                <w:szCs w:val="18"/>
              </w:rPr>
            </w:pPr>
            <w:r w:rsidRPr="002D2C2D">
              <w:rPr>
                <w:rFonts w:cs="Arial"/>
                <w:bCs/>
                <w:color w:val="000000"/>
                <w:sz w:val="18"/>
                <w:szCs w:val="18"/>
              </w:rPr>
              <w:t>17</w:t>
            </w:r>
          </w:p>
        </w:tc>
        <w:tc>
          <w:tcPr>
            <w:tcW w:w="264" w:type="pct"/>
            <w:shd w:val="clear" w:color="auto" w:fill="D9D9D9" w:themeFill="background1" w:themeFillShade="D9"/>
            <w:vAlign w:val="center"/>
          </w:tcPr>
          <w:p w14:paraId="2D0EA0D4" w14:textId="77777777" w:rsidR="0075508C" w:rsidRPr="002D2C2D" w:rsidRDefault="0075508C" w:rsidP="00221A11">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7</w:t>
            </w:r>
          </w:p>
        </w:tc>
        <w:tc>
          <w:tcPr>
            <w:tcW w:w="263" w:type="pct"/>
            <w:shd w:val="clear" w:color="auto" w:fill="D9D9D9" w:themeFill="background1" w:themeFillShade="D9"/>
            <w:vAlign w:val="center"/>
          </w:tcPr>
          <w:p w14:paraId="253CC23A" w14:textId="77777777" w:rsidR="0075508C" w:rsidRPr="002D2C2D" w:rsidRDefault="0075508C" w:rsidP="00221A11">
            <w:pPr>
              <w:keepNext/>
              <w:keepLines/>
              <w:widowControl/>
              <w:tabs>
                <w:tab w:val="decimal" w:pos="340"/>
              </w:tabs>
              <w:rPr>
                <w:rFonts w:cs="Arial"/>
                <w:bCs/>
                <w:sz w:val="18"/>
                <w:szCs w:val="18"/>
                <w:lang w:eastAsia="en-GB" w:bidi="ar-SA"/>
              </w:rPr>
            </w:pPr>
            <w:r w:rsidRPr="002D2C2D">
              <w:rPr>
                <w:rFonts w:cs="Arial"/>
                <w:bCs/>
                <w:sz w:val="18"/>
                <w:szCs w:val="18"/>
              </w:rPr>
              <w:t>6</w:t>
            </w:r>
          </w:p>
        </w:tc>
        <w:tc>
          <w:tcPr>
            <w:tcW w:w="263" w:type="pct"/>
            <w:shd w:val="clear" w:color="auto" w:fill="D9D9D9" w:themeFill="background1" w:themeFillShade="D9"/>
            <w:vAlign w:val="center"/>
          </w:tcPr>
          <w:p w14:paraId="26F4036A" w14:textId="77777777" w:rsidR="0075508C" w:rsidRPr="002D2C2D" w:rsidRDefault="0075508C" w:rsidP="00221A11">
            <w:pPr>
              <w:keepNext/>
              <w:keepLines/>
              <w:widowControl/>
              <w:tabs>
                <w:tab w:val="decimal" w:pos="340"/>
              </w:tabs>
              <w:rPr>
                <w:rFonts w:cs="Arial"/>
                <w:bCs/>
                <w:sz w:val="18"/>
                <w:szCs w:val="18"/>
              </w:rPr>
            </w:pPr>
            <w:r w:rsidRPr="002D2C2D">
              <w:rPr>
                <w:rFonts w:cs="Arial"/>
                <w:bCs/>
                <w:sz w:val="18"/>
                <w:szCs w:val="18"/>
              </w:rPr>
              <w:t>24</w:t>
            </w:r>
          </w:p>
        </w:tc>
        <w:tc>
          <w:tcPr>
            <w:tcW w:w="264" w:type="pct"/>
            <w:shd w:val="clear" w:color="auto" w:fill="D9D9D9" w:themeFill="background1" w:themeFillShade="D9"/>
            <w:vAlign w:val="center"/>
          </w:tcPr>
          <w:p w14:paraId="7A33B2E6" w14:textId="77777777" w:rsidR="0075508C" w:rsidRPr="002D2C2D" w:rsidRDefault="0075508C" w:rsidP="00221A11">
            <w:pPr>
              <w:keepNext/>
              <w:keepLines/>
              <w:widowControl/>
              <w:tabs>
                <w:tab w:val="decimal" w:pos="340"/>
              </w:tabs>
              <w:rPr>
                <w:rFonts w:cs="Arial"/>
                <w:bCs/>
                <w:sz w:val="18"/>
                <w:szCs w:val="18"/>
                <w:lang w:eastAsia="en-GB" w:bidi="ar-SA"/>
              </w:rPr>
            </w:pPr>
            <w:r w:rsidRPr="002D2C2D">
              <w:rPr>
                <w:rFonts w:cs="Arial"/>
                <w:bCs/>
                <w:sz w:val="18"/>
                <w:szCs w:val="18"/>
              </w:rPr>
              <w:t>7</w:t>
            </w:r>
          </w:p>
        </w:tc>
        <w:tc>
          <w:tcPr>
            <w:tcW w:w="264" w:type="pct"/>
            <w:shd w:val="clear" w:color="auto" w:fill="D9D9D9" w:themeFill="background1" w:themeFillShade="D9"/>
            <w:vAlign w:val="center"/>
          </w:tcPr>
          <w:p w14:paraId="2C632701" w14:textId="77777777" w:rsidR="0075508C" w:rsidRPr="002D2C2D" w:rsidRDefault="0075508C" w:rsidP="00221A11">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6</w:t>
            </w:r>
          </w:p>
        </w:tc>
        <w:tc>
          <w:tcPr>
            <w:tcW w:w="264" w:type="pct"/>
            <w:shd w:val="clear" w:color="auto" w:fill="D9D9D9" w:themeFill="background1" w:themeFillShade="D9"/>
            <w:vAlign w:val="center"/>
          </w:tcPr>
          <w:p w14:paraId="72DC182B" w14:textId="77777777" w:rsidR="0075508C" w:rsidRPr="002D2C2D" w:rsidRDefault="0075508C" w:rsidP="00221A11">
            <w:pPr>
              <w:keepNext/>
              <w:keepLines/>
              <w:widowControl/>
              <w:tabs>
                <w:tab w:val="decimal" w:pos="340"/>
              </w:tabs>
              <w:rPr>
                <w:rFonts w:cs="Arial"/>
                <w:bCs/>
                <w:color w:val="000000"/>
                <w:sz w:val="18"/>
                <w:szCs w:val="18"/>
              </w:rPr>
            </w:pPr>
            <w:r w:rsidRPr="002D2C2D">
              <w:rPr>
                <w:rFonts w:cs="Arial"/>
                <w:bCs/>
                <w:color w:val="000000"/>
                <w:sz w:val="18"/>
                <w:szCs w:val="18"/>
              </w:rPr>
              <w:t>21</w:t>
            </w:r>
          </w:p>
        </w:tc>
        <w:tc>
          <w:tcPr>
            <w:tcW w:w="199" w:type="pct"/>
            <w:shd w:val="clear" w:color="auto" w:fill="D9D9D9" w:themeFill="background1" w:themeFillShade="D9"/>
            <w:vAlign w:val="center"/>
          </w:tcPr>
          <w:p w14:paraId="00981C6A" w14:textId="1EEC9552" w:rsidR="0075508C" w:rsidRPr="002D2C2D" w:rsidRDefault="0075508C" w:rsidP="00221A11">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7</w:t>
            </w:r>
          </w:p>
        </w:tc>
      </w:tr>
      <w:tr w:rsidR="0075508C" w:rsidRPr="002D2C2D" w14:paraId="589D5B39" w14:textId="77777777" w:rsidTr="001A319B">
        <w:trPr>
          <w:cantSplit/>
        </w:trPr>
        <w:tc>
          <w:tcPr>
            <w:tcW w:w="456" w:type="pct"/>
            <w:tcBorders>
              <w:bottom w:val="single" w:sz="4" w:space="0" w:color="auto"/>
            </w:tcBorders>
            <w:shd w:val="clear" w:color="auto" w:fill="auto"/>
            <w:vAlign w:val="center"/>
            <w:hideMark/>
          </w:tcPr>
          <w:p w14:paraId="2E0BFB8C" w14:textId="50CE8C63" w:rsidR="0075508C" w:rsidRPr="002D2C2D" w:rsidRDefault="0075508C" w:rsidP="00221A11">
            <w:pPr>
              <w:keepNext/>
              <w:keepLines/>
              <w:widowControl/>
              <w:rPr>
                <w:rFonts w:cs="Arial"/>
                <w:color w:val="000000"/>
                <w:sz w:val="18"/>
                <w:szCs w:val="18"/>
                <w:lang w:eastAsia="en-GB" w:bidi="ar-SA"/>
              </w:rPr>
            </w:pPr>
            <w:r w:rsidRPr="002D2C2D">
              <w:rPr>
                <w:rFonts w:cs="Arial"/>
                <w:color w:val="000000"/>
                <w:sz w:val="18"/>
                <w:szCs w:val="18"/>
                <w:lang w:eastAsia="en-GB" w:bidi="ar-SA"/>
              </w:rPr>
              <w:t>13.3.1</w:t>
            </w:r>
          </w:p>
        </w:tc>
        <w:tc>
          <w:tcPr>
            <w:tcW w:w="1450" w:type="pct"/>
            <w:tcBorders>
              <w:bottom w:val="single" w:sz="4" w:space="0" w:color="auto"/>
            </w:tcBorders>
            <w:shd w:val="clear" w:color="auto" w:fill="auto"/>
            <w:vAlign w:val="center"/>
          </w:tcPr>
          <w:p w14:paraId="3F0B6DEF" w14:textId="2C525F49" w:rsidR="0075508C" w:rsidRPr="002D2C2D" w:rsidRDefault="0075508C" w:rsidP="00221A11">
            <w:pPr>
              <w:keepNext/>
              <w:keepLines/>
              <w:widowControl/>
              <w:ind w:left="567" w:hanging="567"/>
              <w:rPr>
                <w:rFonts w:cs="Arial"/>
                <w:color w:val="000000" w:themeColor="text1"/>
                <w:sz w:val="18"/>
                <w:szCs w:val="18"/>
                <w:highlight w:val="magenta"/>
                <w:lang w:eastAsia="en-GB" w:bidi="ar-SA"/>
              </w:rPr>
            </w:pPr>
            <w:r>
              <w:rPr>
                <w:rFonts w:cs="Arial"/>
                <w:color w:val="000000"/>
                <w:sz w:val="18"/>
                <w:szCs w:val="18"/>
              </w:rPr>
              <w:tab/>
            </w:r>
            <w:r w:rsidRPr="002D2C2D">
              <w:rPr>
                <w:rFonts w:cs="Arial"/>
                <w:color w:val="000000"/>
                <w:sz w:val="18"/>
                <w:szCs w:val="18"/>
              </w:rPr>
              <w:t>S</w:t>
            </w:r>
            <w:r>
              <w:rPr>
                <w:rFonts w:cs="Arial"/>
                <w:color w:val="000000"/>
                <w:sz w:val="18"/>
                <w:szCs w:val="18"/>
              </w:rPr>
              <w:t xml:space="preserve">olid formula meal replacement &amp; formulated supplementary </w:t>
            </w:r>
            <w:r w:rsidRPr="002D2C2D">
              <w:rPr>
                <w:rFonts w:cs="Arial"/>
                <w:color w:val="000000"/>
                <w:sz w:val="18"/>
                <w:szCs w:val="18"/>
              </w:rPr>
              <w:t>foods</w:t>
            </w:r>
          </w:p>
        </w:tc>
        <w:tc>
          <w:tcPr>
            <w:tcW w:w="263" w:type="pct"/>
            <w:shd w:val="clear" w:color="auto" w:fill="auto"/>
            <w:vAlign w:val="center"/>
          </w:tcPr>
          <w:p w14:paraId="348548D6" w14:textId="77777777" w:rsidR="0075508C" w:rsidRPr="002D2C2D" w:rsidRDefault="0075508C" w:rsidP="00221A11">
            <w:pPr>
              <w:keepNext/>
              <w:keepLines/>
              <w:widowControl/>
              <w:tabs>
                <w:tab w:val="decimal" w:pos="340"/>
              </w:tabs>
              <w:rPr>
                <w:rFonts w:cs="Arial"/>
                <w:color w:val="000000"/>
                <w:sz w:val="18"/>
                <w:szCs w:val="18"/>
                <w:highlight w:val="magenta"/>
                <w:lang w:eastAsia="en-GB" w:bidi="ar-SA"/>
              </w:rPr>
            </w:pPr>
            <w:r w:rsidRPr="002D2C2D">
              <w:rPr>
                <w:rFonts w:cs="Arial"/>
                <w:color w:val="000000"/>
                <w:sz w:val="18"/>
                <w:szCs w:val="18"/>
              </w:rPr>
              <w:t>&lt;1</w:t>
            </w:r>
          </w:p>
        </w:tc>
        <w:tc>
          <w:tcPr>
            <w:tcW w:w="263" w:type="pct"/>
            <w:shd w:val="clear" w:color="auto" w:fill="auto"/>
            <w:vAlign w:val="center"/>
          </w:tcPr>
          <w:p w14:paraId="7847F981" w14:textId="77777777" w:rsidR="0075508C" w:rsidRPr="002D2C2D" w:rsidRDefault="0075508C" w:rsidP="00221A11">
            <w:pPr>
              <w:keepNext/>
              <w:keepLines/>
              <w:widowControl/>
              <w:tabs>
                <w:tab w:val="decimal" w:pos="340"/>
              </w:tabs>
              <w:rPr>
                <w:rFonts w:cs="Arial"/>
                <w:color w:val="000000"/>
                <w:sz w:val="18"/>
                <w:szCs w:val="18"/>
              </w:rPr>
            </w:pPr>
            <w:r w:rsidRPr="002D2C2D">
              <w:rPr>
                <w:rFonts w:cs="Arial"/>
                <w:color w:val="000000"/>
                <w:sz w:val="18"/>
                <w:szCs w:val="18"/>
              </w:rPr>
              <w:t>&lt;1</w:t>
            </w:r>
          </w:p>
        </w:tc>
        <w:tc>
          <w:tcPr>
            <w:tcW w:w="264" w:type="pct"/>
            <w:tcBorders>
              <w:bottom w:val="single" w:sz="4" w:space="0" w:color="auto"/>
            </w:tcBorders>
            <w:shd w:val="clear" w:color="auto" w:fill="auto"/>
            <w:vAlign w:val="center"/>
          </w:tcPr>
          <w:p w14:paraId="7C3BB9CE" w14:textId="77777777" w:rsidR="0075508C" w:rsidRPr="002D2C2D" w:rsidRDefault="0075508C" w:rsidP="00221A11">
            <w:pPr>
              <w:keepNext/>
              <w:keepLines/>
              <w:widowControl/>
              <w:tabs>
                <w:tab w:val="decimal" w:pos="340"/>
              </w:tabs>
              <w:rPr>
                <w:rFonts w:cs="Arial"/>
                <w:color w:val="000000"/>
                <w:sz w:val="18"/>
                <w:szCs w:val="18"/>
                <w:highlight w:val="magenta"/>
                <w:lang w:eastAsia="en-GB" w:bidi="ar-SA"/>
              </w:rPr>
            </w:pPr>
            <w:r w:rsidRPr="002D2C2D">
              <w:rPr>
                <w:rFonts w:cs="Arial"/>
                <w:color w:val="000000"/>
                <w:sz w:val="18"/>
                <w:szCs w:val="18"/>
              </w:rPr>
              <w:t>&lt;1</w:t>
            </w:r>
          </w:p>
        </w:tc>
        <w:tc>
          <w:tcPr>
            <w:tcW w:w="263" w:type="pct"/>
            <w:shd w:val="clear" w:color="auto" w:fill="auto"/>
            <w:vAlign w:val="center"/>
          </w:tcPr>
          <w:p w14:paraId="1A53FC10" w14:textId="77777777" w:rsidR="0075508C" w:rsidRPr="002D2C2D" w:rsidRDefault="0075508C" w:rsidP="00221A11">
            <w:pPr>
              <w:keepNext/>
              <w:keepLines/>
              <w:widowControl/>
              <w:tabs>
                <w:tab w:val="decimal" w:pos="340"/>
              </w:tabs>
              <w:rPr>
                <w:rFonts w:cs="Arial"/>
                <w:color w:val="000000"/>
                <w:sz w:val="18"/>
                <w:szCs w:val="18"/>
                <w:highlight w:val="magenta"/>
                <w:lang w:eastAsia="en-GB" w:bidi="ar-SA"/>
              </w:rPr>
            </w:pPr>
            <w:r w:rsidRPr="002D2C2D">
              <w:rPr>
                <w:rFonts w:cs="Arial"/>
                <w:color w:val="000000"/>
                <w:sz w:val="18"/>
                <w:szCs w:val="18"/>
              </w:rPr>
              <w:t>&lt;1</w:t>
            </w:r>
          </w:p>
        </w:tc>
        <w:tc>
          <w:tcPr>
            <w:tcW w:w="263" w:type="pct"/>
            <w:shd w:val="clear" w:color="auto" w:fill="auto"/>
            <w:vAlign w:val="center"/>
          </w:tcPr>
          <w:p w14:paraId="22F9BEC4" w14:textId="77777777" w:rsidR="0075508C" w:rsidRPr="002D2C2D" w:rsidRDefault="0075508C" w:rsidP="00221A11">
            <w:pPr>
              <w:keepNext/>
              <w:keepLines/>
              <w:widowControl/>
              <w:tabs>
                <w:tab w:val="decimal" w:pos="340"/>
              </w:tabs>
              <w:rPr>
                <w:rFonts w:cs="Arial"/>
                <w:color w:val="000000"/>
                <w:sz w:val="18"/>
                <w:szCs w:val="18"/>
              </w:rPr>
            </w:pPr>
            <w:r w:rsidRPr="002D2C2D">
              <w:rPr>
                <w:rFonts w:cs="Arial"/>
                <w:color w:val="000000"/>
                <w:sz w:val="18"/>
                <w:szCs w:val="18"/>
              </w:rPr>
              <w:t>&lt;1</w:t>
            </w:r>
          </w:p>
        </w:tc>
        <w:tc>
          <w:tcPr>
            <w:tcW w:w="264" w:type="pct"/>
            <w:tcBorders>
              <w:bottom w:val="single" w:sz="4" w:space="0" w:color="auto"/>
            </w:tcBorders>
            <w:shd w:val="clear" w:color="auto" w:fill="auto"/>
            <w:vAlign w:val="center"/>
          </w:tcPr>
          <w:p w14:paraId="62182D95" w14:textId="77777777" w:rsidR="0075508C" w:rsidRPr="002D2C2D" w:rsidRDefault="0075508C" w:rsidP="00221A11">
            <w:pPr>
              <w:keepNext/>
              <w:keepLines/>
              <w:widowControl/>
              <w:tabs>
                <w:tab w:val="decimal" w:pos="340"/>
              </w:tabs>
              <w:rPr>
                <w:rFonts w:cs="Arial"/>
                <w:color w:val="000000"/>
                <w:sz w:val="18"/>
                <w:szCs w:val="18"/>
                <w:highlight w:val="magenta"/>
                <w:lang w:eastAsia="en-GB" w:bidi="ar-SA"/>
              </w:rPr>
            </w:pPr>
            <w:r w:rsidRPr="002D2C2D">
              <w:rPr>
                <w:rFonts w:cs="Arial"/>
                <w:color w:val="000000"/>
                <w:sz w:val="18"/>
                <w:szCs w:val="18"/>
              </w:rPr>
              <w:t>&lt;1</w:t>
            </w:r>
          </w:p>
        </w:tc>
        <w:tc>
          <w:tcPr>
            <w:tcW w:w="263" w:type="pct"/>
            <w:shd w:val="clear" w:color="auto" w:fill="auto"/>
            <w:vAlign w:val="center"/>
          </w:tcPr>
          <w:p w14:paraId="549998CD" w14:textId="77777777" w:rsidR="0075508C" w:rsidRPr="002D2C2D" w:rsidRDefault="0075508C" w:rsidP="00221A11">
            <w:pPr>
              <w:keepNext/>
              <w:keepLines/>
              <w:widowControl/>
              <w:tabs>
                <w:tab w:val="decimal" w:pos="340"/>
              </w:tabs>
              <w:rPr>
                <w:rFonts w:cs="Arial"/>
                <w:color w:val="000000"/>
                <w:sz w:val="18"/>
                <w:szCs w:val="18"/>
                <w:highlight w:val="magenta"/>
                <w:lang w:eastAsia="en-GB" w:bidi="ar-SA"/>
              </w:rPr>
            </w:pPr>
            <w:r w:rsidRPr="002D2C2D">
              <w:rPr>
                <w:rFonts w:cs="Arial"/>
                <w:color w:val="000000"/>
                <w:sz w:val="18"/>
                <w:szCs w:val="18"/>
              </w:rPr>
              <w:t>&lt;1</w:t>
            </w:r>
          </w:p>
        </w:tc>
        <w:tc>
          <w:tcPr>
            <w:tcW w:w="263" w:type="pct"/>
            <w:shd w:val="clear" w:color="auto" w:fill="auto"/>
            <w:vAlign w:val="center"/>
          </w:tcPr>
          <w:p w14:paraId="2387CAFD" w14:textId="77777777" w:rsidR="0075508C" w:rsidRPr="002D2C2D" w:rsidRDefault="0075508C" w:rsidP="00221A11">
            <w:pPr>
              <w:keepNext/>
              <w:keepLines/>
              <w:widowControl/>
              <w:tabs>
                <w:tab w:val="decimal" w:pos="340"/>
              </w:tabs>
              <w:rPr>
                <w:rFonts w:cs="Arial"/>
                <w:color w:val="000000"/>
                <w:sz w:val="18"/>
                <w:szCs w:val="18"/>
              </w:rPr>
            </w:pPr>
            <w:r w:rsidRPr="002D2C2D">
              <w:rPr>
                <w:rFonts w:cs="Arial"/>
                <w:color w:val="000000"/>
                <w:sz w:val="18"/>
                <w:szCs w:val="18"/>
              </w:rPr>
              <w:t>&lt;1</w:t>
            </w:r>
          </w:p>
        </w:tc>
        <w:tc>
          <w:tcPr>
            <w:tcW w:w="264" w:type="pct"/>
            <w:shd w:val="clear" w:color="auto" w:fill="auto"/>
            <w:vAlign w:val="center"/>
          </w:tcPr>
          <w:p w14:paraId="2B830F92" w14:textId="77777777" w:rsidR="0075508C" w:rsidRPr="002D2C2D" w:rsidRDefault="0075508C" w:rsidP="00221A11">
            <w:pPr>
              <w:keepNext/>
              <w:keepLines/>
              <w:widowControl/>
              <w:tabs>
                <w:tab w:val="decimal" w:pos="340"/>
              </w:tabs>
              <w:rPr>
                <w:rFonts w:cs="Arial"/>
                <w:color w:val="000000"/>
                <w:sz w:val="18"/>
                <w:szCs w:val="18"/>
                <w:highlight w:val="magenta"/>
                <w:lang w:eastAsia="en-GB" w:bidi="ar-SA"/>
              </w:rPr>
            </w:pPr>
            <w:r w:rsidRPr="002D2C2D">
              <w:rPr>
                <w:rFonts w:cs="Arial"/>
                <w:color w:val="000000"/>
                <w:sz w:val="18"/>
                <w:szCs w:val="18"/>
              </w:rPr>
              <w:t>&lt;1</w:t>
            </w:r>
          </w:p>
        </w:tc>
        <w:tc>
          <w:tcPr>
            <w:tcW w:w="264" w:type="pct"/>
            <w:shd w:val="clear" w:color="auto" w:fill="auto"/>
            <w:vAlign w:val="center"/>
          </w:tcPr>
          <w:p w14:paraId="5DF92EB3" w14:textId="77777777" w:rsidR="0075508C" w:rsidRPr="002D2C2D" w:rsidRDefault="0075508C" w:rsidP="00221A11">
            <w:pPr>
              <w:keepNext/>
              <w:keepLines/>
              <w:widowControl/>
              <w:tabs>
                <w:tab w:val="decimal" w:pos="340"/>
              </w:tabs>
              <w:rPr>
                <w:rFonts w:cs="Arial"/>
                <w:color w:val="000000"/>
                <w:sz w:val="18"/>
                <w:szCs w:val="18"/>
                <w:highlight w:val="magenta"/>
                <w:lang w:eastAsia="en-GB" w:bidi="ar-SA"/>
              </w:rPr>
            </w:pPr>
            <w:r w:rsidRPr="002D2C2D">
              <w:rPr>
                <w:rFonts w:cs="Arial"/>
                <w:color w:val="000000"/>
                <w:sz w:val="18"/>
                <w:szCs w:val="18"/>
              </w:rPr>
              <w:t>&lt;1</w:t>
            </w:r>
          </w:p>
        </w:tc>
        <w:tc>
          <w:tcPr>
            <w:tcW w:w="264" w:type="pct"/>
            <w:shd w:val="clear" w:color="auto" w:fill="auto"/>
            <w:vAlign w:val="center"/>
          </w:tcPr>
          <w:p w14:paraId="3B8180FD" w14:textId="77777777" w:rsidR="0075508C" w:rsidRPr="002D2C2D" w:rsidRDefault="0075508C" w:rsidP="00221A11">
            <w:pPr>
              <w:keepNext/>
              <w:keepLines/>
              <w:widowControl/>
              <w:tabs>
                <w:tab w:val="decimal" w:pos="340"/>
              </w:tabs>
              <w:rPr>
                <w:rFonts w:cs="Arial"/>
                <w:color w:val="000000"/>
                <w:sz w:val="18"/>
                <w:szCs w:val="18"/>
              </w:rPr>
            </w:pPr>
            <w:r w:rsidRPr="002D2C2D">
              <w:rPr>
                <w:rFonts w:cs="Arial"/>
                <w:color w:val="000000"/>
                <w:sz w:val="18"/>
                <w:szCs w:val="18"/>
              </w:rPr>
              <w:t>&lt;1</w:t>
            </w:r>
          </w:p>
        </w:tc>
        <w:tc>
          <w:tcPr>
            <w:tcW w:w="199" w:type="pct"/>
            <w:shd w:val="clear" w:color="auto" w:fill="auto"/>
            <w:vAlign w:val="center"/>
          </w:tcPr>
          <w:p w14:paraId="723E3C54" w14:textId="6538D84A" w:rsidR="0075508C" w:rsidRPr="002D2C2D" w:rsidRDefault="0075508C" w:rsidP="00221A11">
            <w:pPr>
              <w:keepNext/>
              <w:keepLines/>
              <w:widowControl/>
              <w:tabs>
                <w:tab w:val="decimal" w:pos="340"/>
              </w:tabs>
              <w:rPr>
                <w:rFonts w:cs="Arial"/>
                <w:color w:val="000000"/>
                <w:sz w:val="18"/>
                <w:szCs w:val="18"/>
                <w:highlight w:val="magenta"/>
                <w:lang w:eastAsia="en-GB" w:bidi="ar-SA"/>
              </w:rPr>
            </w:pPr>
            <w:r w:rsidRPr="002D2C2D">
              <w:rPr>
                <w:rFonts w:cs="Arial"/>
                <w:color w:val="000000"/>
                <w:sz w:val="18"/>
                <w:szCs w:val="18"/>
              </w:rPr>
              <w:t>&lt;1</w:t>
            </w:r>
          </w:p>
        </w:tc>
      </w:tr>
      <w:tr w:rsidR="0075508C" w:rsidRPr="002D2C2D" w14:paraId="511F8906" w14:textId="77777777" w:rsidTr="001A319B">
        <w:trPr>
          <w:cantSplit/>
        </w:trPr>
        <w:tc>
          <w:tcPr>
            <w:tcW w:w="456" w:type="pct"/>
            <w:shd w:val="clear" w:color="auto" w:fill="D9D9D9" w:themeFill="background1" w:themeFillShade="D9"/>
            <w:vAlign w:val="center"/>
            <w:hideMark/>
          </w:tcPr>
          <w:p w14:paraId="27C18B86" w14:textId="3DAE5D2A" w:rsidR="0075508C" w:rsidRPr="002D2C2D" w:rsidRDefault="0075508C" w:rsidP="00221A11">
            <w:pPr>
              <w:keepNext/>
              <w:keepLines/>
              <w:widowControl/>
              <w:rPr>
                <w:rFonts w:cs="Arial"/>
                <w:color w:val="000000"/>
                <w:sz w:val="18"/>
                <w:szCs w:val="18"/>
                <w:lang w:eastAsia="en-GB" w:bidi="ar-SA"/>
              </w:rPr>
            </w:pPr>
            <w:r w:rsidRPr="002D2C2D">
              <w:rPr>
                <w:rFonts w:cs="Arial"/>
                <w:color w:val="000000"/>
                <w:sz w:val="18"/>
                <w:szCs w:val="18"/>
                <w:lang w:eastAsia="en-GB" w:bidi="ar-SA"/>
              </w:rPr>
              <w:t>13.3.2</w:t>
            </w:r>
          </w:p>
        </w:tc>
        <w:tc>
          <w:tcPr>
            <w:tcW w:w="1450" w:type="pct"/>
            <w:shd w:val="clear" w:color="auto" w:fill="D9D9D9" w:themeFill="background1" w:themeFillShade="D9"/>
            <w:vAlign w:val="center"/>
          </w:tcPr>
          <w:p w14:paraId="287EFECF" w14:textId="74565668" w:rsidR="0075508C" w:rsidRPr="002D2C2D" w:rsidRDefault="0075508C" w:rsidP="00221A11">
            <w:pPr>
              <w:keepNext/>
              <w:keepLines/>
              <w:widowControl/>
              <w:ind w:left="567" w:hanging="567"/>
              <w:rPr>
                <w:rFonts w:cs="Arial"/>
                <w:color w:val="000000" w:themeColor="text1"/>
                <w:sz w:val="18"/>
                <w:szCs w:val="18"/>
                <w:lang w:eastAsia="en-GB" w:bidi="ar-SA"/>
              </w:rPr>
            </w:pPr>
            <w:r>
              <w:rPr>
                <w:rFonts w:cs="Arial"/>
                <w:color w:val="000000"/>
                <w:sz w:val="18"/>
                <w:szCs w:val="18"/>
              </w:rPr>
              <w:tab/>
            </w:r>
            <w:r w:rsidRPr="002D2C2D">
              <w:rPr>
                <w:rFonts w:cs="Arial"/>
                <w:color w:val="000000"/>
                <w:sz w:val="18"/>
                <w:szCs w:val="18"/>
              </w:rPr>
              <w:t>Liquid formula meal replacement &amp; formulated supplementary foods</w:t>
            </w:r>
          </w:p>
        </w:tc>
        <w:tc>
          <w:tcPr>
            <w:tcW w:w="263" w:type="pct"/>
            <w:shd w:val="clear" w:color="auto" w:fill="auto"/>
            <w:vAlign w:val="center"/>
          </w:tcPr>
          <w:p w14:paraId="2B021E39"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2</w:t>
            </w:r>
          </w:p>
        </w:tc>
        <w:tc>
          <w:tcPr>
            <w:tcW w:w="263" w:type="pct"/>
            <w:vAlign w:val="center"/>
          </w:tcPr>
          <w:p w14:paraId="0B4E2E14" w14:textId="77777777" w:rsidR="0075508C" w:rsidRPr="002D2C2D" w:rsidRDefault="0075508C" w:rsidP="00221A11">
            <w:pPr>
              <w:keepNext/>
              <w:keepLines/>
              <w:widowControl/>
              <w:tabs>
                <w:tab w:val="decimal" w:pos="340"/>
              </w:tabs>
              <w:rPr>
                <w:rFonts w:cs="Arial"/>
                <w:color w:val="000000"/>
                <w:sz w:val="18"/>
                <w:szCs w:val="18"/>
              </w:rPr>
            </w:pPr>
            <w:r w:rsidRPr="002D2C2D">
              <w:rPr>
                <w:rFonts w:cs="Arial"/>
                <w:color w:val="000000"/>
                <w:sz w:val="18"/>
                <w:szCs w:val="18"/>
              </w:rPr>
              <w:t>2</w:t>
            </w:r>
          </w:p>
        </w:tc>
        <w:tc>
          <w:tcPr>
            <w:tcW w:w="264" w:type="pct"/>
            <w:shd w:val="clear" w:color="auto" w:fill="D9D9D9" w:themeFill="background1" w:themeFillShade="D9"/>
            <w:vAlign w:val="center"/>
          </w:tcPr>
          <w:p w14:paraId="514A5FAD"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5</w:t>
            </w:r>
          </w:p>
        </w:tc>
        <w:tc>
          <w:tcPr>
            <w:tcW w:w="263" w:type="pct"/>
            <w:shd w:val="clear" w:color="auto" w:fill="auto"/>
            <w:vAlign w:val="center"/>
          </w:tcPr>
          <w:p w14:paraId="2D454258"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2</w:t>
            </w:r>
          </w:p>
        </w:tc>
        <w:tc>
          <w:tcPr>
            <w:tcW w:w="263" w:type="pct"/>
            <w:vAlign w:val="center"/>
          </w:tcPr>
          <w:p w14:paraId="550F0348" w14:textId="77777777" w:rsidR="0075508C" w:rsidRPr="002D2C2D" w:rsidRDefault="0075508C" w:rsidP="00221A11">
            <w:pPr>
              <w:keepNext/>
              <w:keepLines/>
              <w:widowControl/>
              <w:tabs>
                <w:tab w:val="decimal" w:pos="340"/>
              </w:tabs>
              <w:rPr>
                <w:rFonts w:cs="Arial"/>
                <w:color w:val="000000"/>
                <w:sz w:val="18"/>
                <w:szCs w:val="18"/>
              </w:rPr>
            </w:pPr>
            <w:r w:rsidRPr="002D2C2D">
              <w:rPr>
                <w:rFonts w:cs="Arial"/>
                <w:color w:val="000000"/>
                <w:sz w:val="18"/>
                <w:szCs w:val="18"/>
              </w:rPr>
              <w:t>1</w:t>
            </w:r>
          </w:p>
        </w:tc>
        <w:tc>
          <w:tcPr>
            <w:tcW w:w="264" w:type="pct"/>
            <w:shd w:val="clear" w:color="auto" w:fill="D9D9D9" w:themeFill="background1" w:themeFillShade="D9"/>
            <w:vAlign w:val="center"/>
          </w:tcPr>
          <w:p w14:paraId="3BFDCEC7"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5</w:t>
            </w:r>
          </w:p>
        </w:tc>
        <w:tc>
          <w:tcPr>
            <w:tcW w:w="263" w:type="pct"/>
            <w:shd w:val="clear" w:color="auto" w:fill="auto"/>
            <w:vAlign w:val="center"/>
          </w:tcPr>
          <w:p w14:paraId="12F2782B"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3" w:type="pct"/>
            <w:vAlign w:val="center"/>
          </w:tcPr>
          <w:p w14:paraId="7AF8D538" w14:textId="77777777" w:rsidR="0075508C" w:rsidRPr="002D2C2D" w:rsidRDefault="0075508C" w:rsidP="00221A11">
            <w:pPr>
              <w:keepNext/>
              <w:keepLines/>
              <w:widowControl/>
              <w:tabs>
                <w:tab w:val="decimal" w:pos="340"/>
              </w:tabs>
              <w:rPr>
                <w:rFonts w:cs="Arial"/>
                <w:color w:val="000000"/>
                <w:sz w:val="18"/>
                <w:szCs w:val="18"/>
              </w:rPr>
            </w:pPr>
            <w:r w:rsidRPr="002D2C2D">
              <w:rPr>
                <w:rFonts w:cs="Arial"/>
                <w:color w:val="000000"/>
                <w:sz w:val="18"/>
                <w:szCs w:val="18"/>
              </w:rPr>
              <w:t>&lt;1</w:t>
            </w:r>
          </w:p>
        </w:tc>
        <w:tc>
          <w:tcPr>
            <w:tcW w:w="264" w:type="pct"/>
            <w:shd w:val="clear" w:color="auto" w:fill="auto"/>
            <w:vAlign w:val="center"/>
          </w:tcPr>
          <w:p w14:paraId="3718D01D"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3</w:t>
            </w:r>
          </w:p>
        </w:tc>
        <w:tc>
          <w:tcPr>
            <w:tcW w:w="264" w:type="pct"/>
            <w:shd w:val="clear" w:color="auto" w:fill="auto"/>
            <w:vAlign w:val="center"/>
          </w:tcPr>
          <w:p w14:paraId="4DF4AB4C"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4" w:type="pct"/>
            <w:vAlign w:val="center"/>
          </w:tcPr>
          <w:p w14:paraId="3E5C5661" w14:textId="77777777" w:rsidR="0075508C" w:rsidRPr="002D2C2D" w:rsidRDefault="0075508C" w:rsidP="00221A11">
            <w:pPr>
              <w:keepNext/>
              <w:keepLines/>
              <w:widowControl/>
              <w:tabs>
                <w:tab w:val="decimal" w:pos="340"/>
              </w:tabs>
              <w:rPr>
                <w:rFonts w:cs="Arial"/>
                <w:color w:val="000000"/>
                <w:sz w:val="18"/>
                <w:szCs w:val="18"/>
              </w:rPr>
            </w:pPr>
            <w:r w:rsidRPr="002D2C2D">
              <w:rPr>
                <w:rFonts w:cs="Arial"/>
                <w:color w:val="000000"/>
                <w:sz w:val="18"/>
                <w:szCs w:val="18"/>
              </w:rPr>
              <w:t>&lt;1</w:t>
            </w:r>
          </w:p>
        </w:tc>
        <w:tc>
          <w:tcPr>
            <w:tcW w:w="199" w:type="pct"/>
            <w:shd w:val="clear" w:color="auto" w:fill="auto"/>
            <w:vAlign w:val="center"/>
          </w:tcPr>
          <w:p w14:paraId="776AA3EC" w14:textId="68130B88"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3</w:t>
            </w:r>
          </w:p>
        </w:tc>
      </w:tr>
      <w:tr w:rsidR="0075508C" w:rsidRPr="002D2C2D" w14:paraId="6ADE61BE" w14:textId="77777777" w:rsidTr="001A319B">
        <w:trPr>
          <w:cantSplit/>
        </w:trPr>
        <w:tc>
          <w:tcPr>
            <w:tcW w:w="456" w:type="pct"/>
            <w:tcBorders>
              <w:bottom w:val="single" w:sz="4" w:space="0" w:color="auto"/>
            </w:tcBorders>
            <w:shd w:val="clear" w:color="auto" w:fill="auto"/>
            <w:vAlign w:val="center"/>
            <w:hideMark/>
          </w:tcPr>
          <w:p w14:paraId="41D8816C" w14:textId="776E933A" w:rsidR="0075508C" w:rsidRPr="002D2C2D" w:rsidRDefault="0075508C" w:rsidP="00221A11">
            <w:pPr>
              <w:keepNext/>
              <w:keepLines/>
              <w:widowControl/>
              <w:rPr>
                <w:rFonts w:cs="Arial"/>
                <w:color w:val="000000"/>
                <w:sz w:val="18"/>
                <w:szCs w:val="18"/>
                <w:lang w:eastAsia="en-GB" w:bidi="ar-SA"/>
              </w:rPr>
            </w:pPr>
            <w:r w:rsidRPr="002D2C2D">
              <w:rPr>
                <w:rFonts w:cs="Arial"/>
                <w:color w:val="000000"/>
                <w:sz w:val="18"/>
                <w:szCs w:val="18"/>
                <w:lang w:eastAsia="en-GB" w:bidi="ar-SA"/>
              </w:rPr>
              <w:t>13.4.1</w:t>
            </w:r>
          </w:p>
        </w:tc>
        <w:tc>
          <w:tcPr>
            <w:tcW w:w="1450" w:type="pct"/>
            <w:tcBorders>
              <w:bottom w:val="single" w:sz="4" w:space="0" w:color="auto"/>
            </w:tcBorders>
            <w:shd w:val="clear" w:color="auto" w:fill="auto"/>
            <w:vAlign w:val="center"/>
          </w:tcPr>
          <w:p w14:paraId="0D90D40D" w14:textId="68E6DEA9" w:rsidR="0075508C" w:rsidRPr="002D2C2D" w:rsidRDefault="0075508C" w:rsidP="00221A11">
            <w:pPr>
              <w:keepNext/>
              <w:keepLines/>
              <w:widowControl/>
              <w:ind w:left="567" w:hanging="567"/>
              <w:rPr>
                <w:rFonts w:cs="Arial"/>
                <w:color w:val="000000"/>
                <w:sz w:val="18"/>
                <w:szCs w:val="18"/>
                <w:lang w:eastAsia="en-GB" w:bidi="ar-SA"/>
              </w:rPr>
            </w:pPr>
            <w:r>
              <w:rPr>
                <w:rFonts w:cs="Arial"/>
                <w:color w:val="000000"/>
                <w:sz w:val="18"/>
                <w:szCs w:val="18"/>
                <w:lang w:eastAsia="en-GB" w:bidi="ar-SA"/>
              </w:rPr>
              <w:tab/>
            </w:r>
            <w:r w:rsidRPr="002D2C2D">
              <w:rPr>
                <w:rFonts w:cs="Arial"/>
                <w:color w:val="000000"/>
                <w:sz w:val="18"/>
                <w:szCs w:val="18"/>
                <w:lang w:eastAsia="en-GB" w:bidi="ar-SA"/>
              </w:rPr>
              <w:t>Solid formulated supplementary sports foods</w:t>
            </w:r>
          </w:p>
        </w:tc>
        <w:tc>
          <w:tcPr>
            <w:tcW w:w="263" w:type="pct"/>
            <w:shd w:val="clear" w:color="auto" w:fill="auto"/>
            <w:vAlign w:val="center"/>
          </w:tcPr>
          <w:p w14:paraId="0823B2F8"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3" w:type="pct"/>
            <w:vAlign w:val="center"/>
          </w:tcPr>
          <w:p w14:paraId="5C958911" w14:textId="77777777" w:rsidR="0075508C" w:rsidRPr="002D2C2D" w:rsidRDefault="0075508C" w:rsidP="00221A11">
            <w:pPr>
              <w:keepNext/>
              <w:keepLines/>
              <w:widowControl/>
              <w:tabs>
                <w:tab w:val="decimal" w:pos="340"/>
              </w:tabs>
              <w:rPr>
                <w:rFonts w:cs="Arial"/>
                <w:color w:val="000000"/>
                <w:sz w:val="18"/>
                <w:szCs w:val="18"/>
              </w:rPr>
            </w:pPr>
            <w:r w:rsidRPr="002D2C2D">
              <w:rPr>
                <w:rFonts w:cs="Arial"/>
                <w:color w:val="000000"/>
                <w:sz w:val="18"/>
                <w:szCs w:val="18"/>
              </w:rPr>
              <w:t>&lt;1</w:t>
            </w:r>
          </w:p>
        </w:tc>
        <w:tc>
          <w:tcPr>
            <w:tcW w:w="264" w:type="pct"/>
            <w:shd w:val="clear" w:color="auto" w:fill="auto"/>
            <w:vAlign w:val="center"/>
          </w:tcPr>
          <w:p w14:paraId="6FB83B1F"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3" w:type="pct"/>
            <w:shd w:val="clear" w:color="auto" w:fill="auto"/>
            <w:vAlign w:val="center"/>
          </w:tcPr>
          <w:p w14:paraId="09C10E53"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3" w:type="pct"/>
            <w:tcBorders>
              <w:bottom w:val="single" w:sz="4" w:space="0" w:color="auto"/>
            </w:tcBorders>
            <w:vAlign w:val="center"/>
          </w:tcPr>
          <w:p w14:paraId="4E4F3595" w14:textId="77777777" w:rsidR="0075508C" w:rsidRPr="002D2C2D" w:rsidRDefault="0075508C" w:rsidP="00221A11">
            <w:pPr>
              <w:keepNext/>
              <w:keepLines/>
              <w:widowControl/>
              <w:tabs>
                <w:tab w:val="decimal" w:pos="340"/>
              </w:tabs>
              <w:rPr>
                <w:rFonts w:cs="Arial"/>
                <w:color w:val="000000"/>
                <w:sz w:val="18"/>
                <w:szCs w:val="18"/>
              </w:rPr>
            </w:pPr>
            <w:r w:rsidRPr="002D2C2D">
              <w:rPr>
                <w:rFonts w:cs="Arial"/>
                <w:color w:val="000000"/>
                <w:sz w:val="18"/>
                <w:szCs w:val="18"/>
              </w:rPr>
              <w:t>&lt;1</w:t>
            </w:r>
          </w:p>
        </w:tc>
        <w:tc>
          <w:tcPr>
            <w:tcW w:w="264" w:type="pct"/>
            <w:shd w:val="clear" w:color="auto" w:fill="auto"/>
            <w:vAlign w:val="center"/>
          </w:tcPr>
          <w:p w14:paraId="4FC76E25"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3" w:type="pct"/>
            <w:tcBorders>
              <w:bottom w:val="single" w:sz="4" w:space="0" w:color="auto"/>
            </w:tcBorders>
            <w:shd w:val="clear" w:color="auto" w:fill="auto"/>
            <w:vAlign w:val="center"/>
          </w:tcPr>
          <w:p w14:paraId="30D95330"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3" w:type="pct"/>
            <w:tcBorders>
              <w:bottom w:val="single" w:sz="4" w:space="0" w:color="auto"/>
            </w:tcBorders>
            <w:vAlign w:val="center"/>
          </w:tcPr>
          <w:p w14:paraId="1C5938CC" w14:textId="77777777" w:rsidR="0075508C" w:rsidRPr="002D2C2D" w:rsidRDefault="0075508C" w:rsidP="00221A11">
            <w:pPr>
              <w:keepNext/>
              <w:keepLines/>
              <w:widowControl/>
              <w:tabs>
                <w:tab w:val="decimal" w:pos="340"/>
              </w:tabs>
              <w:rPr>
                <w:rFonts w:cs="Arial"/>
                <w:color w:val="000000"/>
                <w:sz w:val="18"/>
                <w:szCs w:val="18"/>
              </w:rPr>
            </w:pPr>
            <w:r w:rsidRPr="002D2C2D">
              <w:rPr>
                <w:rFonts w:cs="Arial"/>
                <w:color w:val="000000"/>
                <w:sz w:val="18"/>
                <w:szCs w:val="18"/>
              </w:rPr>
              <w:t>3</w:t>
            </w:r>
          </w:p>
        </w:tc>
        <w:tc>
          <w:tcPr>
            <w:tcW w:w="264" w:type="pct"/>
            <w:shd w:val="clear" w:color="auto" w:fill="auto"/>
            <w:vAlign w:val="center"/>
          </w:tcPr>
          <w:p w14:paraId="25E4B437"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4" w:type="pct"/>
            <w:shd w:val="clear" w:color="auto" w:fill="auto"/>
            <w:vAlign w:val="center"/>
          </w:tcPr>
          <w:p w14:paraId="51E26E1B"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4" w:type="pct"/>
            <w:tcBorders>
              <w:bottom w:val="single" w:sz="4" w:space="0" w:color="auto"/>
            </w:tcBorders>
            <w:vAlign w:val="center"/>
          </w:tcPr>
          <w:p w14:paraId="76A6F0A0" w14:textId="77777777" w:rsidR="0075508C" w:rsidRPr="002D2C2D" w:rsidRDefault="0075508C" w:rsidP="00221A11">
            <w:pPr>
              <w:keepNext/>
              <w:keepLines/>
              <w:widowControl/>
              <w:tabs>
                <w:tab w:val="decimal" w:pos="340"/>
              </w:tabs>
              <w:rPr>
                <w:rFonts w:cs="Arial"/>
                <w:color w:val="000000"/>
                <w:sz w:val="18"/>
                <w:szCs w:val="18"/>
              </w:rPr>
            </w:pPr>
            <w:r w:rsidRPr="002D2C2D">
              <w:rPr>
                <w:rFonts w:cs="Arial"/>
                <w:color w:val="000000"/>
                <w:sz w:val="18"/>
                <w:szCs w:val="18"/>
              </w:rPr>
              <w:t>3</w:t>
            </w:r>
          </w:p>
        </w:tc>
        <w:tc>
          <w:tcPr>
            <w:tcW w:w="199" w:type="pct"/>
            <w:shd w:val="clear" w:color="auto" w:fill="auto"/>
            <w:vAlign w:val="center"/>
          </w:tcPr>
          <w:p w14:paraId="7D6A1CC3" w14:textId="427757C2"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r>
      <w:tr w:rsidR="0075508C" w:rsidRPr="002D2C2D" w14:paraId="5BCF8A26" w14:textId="77777777" w:rsidTr="001A319B">
        <w:trPr>
          <w:cantSplit/>
        </w:trPr>
        <w:tc>
          <w:tcPr>
            <w:tcW w:w="456" w:type="pct"/>
            <w:shd w:val="clear" w:color="auto" w:fill="D9D9D9" w:themeFill="background1" w:themeFillShade="D9"/>
            <w:vAlign w:val="center"/>
            <w:hideMark/>
          </w:tcPr>
          <w:p w14:paraId="7058AE6E" w14:textId="54119B15" w:rsidR="0075508C" w:rsidRPr="002D2C2D" w:rsidRDefault="0075508C" w:rsidP="00221A11">
            <w:pPr>
              <w:keepNext/>
              <w:keepLines/>
              <w:widowControl/>
              <w:rPr>
                <w:rFonts w:cs="Arial"/>
                <w:color w:val="000000"/>
                <w:sz w:val="18"/>
                <w:szCs w:val="18"/>
                <w:lang w:eastAsia="en-GB" w:bidi="ar-SA"/>
              </w:rPr>
            </w:pPr>
            <w:r w:rsidRPr="002D2C2D">
              <w:rPr>
                <w:rFonts w:cs="Arial"/>
                <w:color w:val="000000"/>
                <w:sz w:val="18"/>
                <w:szCs w:val="18"/>
                <w:lang w:eastAsia="en-GB" w:bidi="ar-SA"/>
              </w:rPr>
              <w:t>13.4.2</w:t>
            </w:r>
          </w:p>
        </w:tc>
        <w:tc>
          <w:tcPr>
            <w:tcW w:w="1450" w:type="pct"/>
            <w:shd w:val="clear" w:color="auto" w:fill="D9D9D9" w:themeFill="background1" w:themeFillShade="D9"/>
            <w:vAlign w:val="center"/>
          </w:tcPr>
          <w:p w14:paraId="54B24DBB" w14:textId="79098C4F" w:rsidR="0075508C" w:rsidRPr="002D2C2D" w:rsidRDefault="0075508C" w:rsidP="00221A11">
            <w:pPr>
              <w:keepNext/>
              <w:keepLines/>
              <w:widowControl/>
              <w:ind w:left="567" w:hanging="567"/>
              <w:rPr>
                <w:rFonts w:cs="Arial"/>
                <w:color w:val="000000"/>
                <w:sz w:val="18"/>
                <w:szCs w:val="18"/>
                <w:lang w:eastAsia="en-GB" w:bidi="ar-SA"/>
              </w:rPr>
            </w:pPr>
            <w:r>
              <w:rPr>
                <w:rFonts w:cs="Arial"/>
                <w:color w:val="000000"/>
                <w:sz w:val="18"/>
                <w:szCs w:val="18"/>
                <w:lang w:eastAsia="en-GB" w:bidi="ar-SA"/>
              </w:rPr>
              <w:tab/>
            </w:r>
            <w:r w:rsidRPr="002D2C2D">
              <w:rPr>
                <w:rFonts w:cs="Arial"/>
                <w:color w:val="000000"/>
                <w:sz w:val="18"/>
                <w:szCs w:val="18"/>
                <w:lang w:eastAsia="en-GB" w:bidi="ar-SA"/>
              </w:rPr>
              <w:t>Liquid formulated supplementary sports foods</w:t>
            </w:r>
          </w:p>
        </w:tc>
        <w:tc>
          <w:tcPr>
            <w:tcW w:w="263" w:type="pct"/>
            <w:vAlign w:val="center"/>
          </w:tcPr>
          <w:p w14:paraId="575CCF68"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3" w:type="pct"/>
            <w:vAlign w:val="center"/>
          </w:tcPr>
          <w:p w14:paraId="1E8DA5C5" w14:textId="77777777" w:rsidR="0075508C" w:rsidRPr="002D2C2D" w:rsidRDefault="0075508C" w:rsidP="00221A11">
            <w:pPr>
              <w:keepNext/>
              <w:keepLines/>
              <w:widowControl/>
              <w:tabs>
                <w:tab w:val="decimal" w:pos="340"/>
              </w:tabs>
              <w:rPr>
                <w:rFonts w:cs="Arial"/>
                <w:color w:val="000000"/>
                <w:sz w:val="18"/>
                <w:szCs w:val="18"/>
              </w:rPr>
            </w:pPr>
            <w:r w:rsidRPr="002D2C2D">
              <w:rPr>
                <w:rFonts w:cs="Arial"/>
                <w:color w:val="000000"/>
                <w:sz w:val="18"/>
                <w:szCs w:val="18"/>
              </w:rPr>
              <w:t>&lt;1</w:t>
            </w:r>
          </w:p>
        </w:tc>
        <w:tc>
          <w:tcPr>
            <w:tcW w:w="264" w:type="pct"/>
            <w:vAlign w:val="center"/>
          </w:tcPr>
          <w:p w14:paraId="3B1D3A01"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3" w:type="pct"/>
            <w:vAlign w:val="center"/>
          </w:tcPr>
          <w:p w14:paraId="6B46FE1F"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4</w:t>
            </w:r>
          </w:p>
        </w:tc>
        <w:tc>
          <w:tcPr>
            <w:tcW w:w="263" w:type="pct"/>
            <w:shd w:val="clear" w:color="auto" w:fill="D9D9D9" w:themeFill="background1" w:themeFillShade="D9"/>
            <w:vAlign w:val="center"/>
          </w:tcPr>
          <w:p w14:paraId="1D8FC939" w14:textId="77777777" w:rsidR="0075508C" w:rsidRPr="002D2C2D" w:rsidRDefault="0075508C" w:rsidP="00221A11">
            <w:pPr>
              <w:keepNext/>
              <w:keepLines/>
              <w:widowControl/>
              <w:tabs>
                <w:tab w:val="decimal" w:pos="340"/>
              </w:tabs>
              <w:rPr>
                <w:rFonts w:cs="Arial"/>
                <w:color w:val="000000"/>
                <w:sz w:val="18"/>
                <w:szCs w:val="18"/>
              </w:rPr>
            </w:pPr>
            <w:r w:rsidRPr="002D2C2D">
              <w:rPr>
                <w:rFonts w:cs="Arial"/>
                <w:color w:val="000000"/>
                <w:sz w:val="18"/>
                <w:szCs w:val="18"/>
              </w:rPr>
              <w:t>16</w:t>
            </w:r>
          </w:p>
        </w:tc>
        <w:tc>
          <w:tcPr>
            <w:tcW w:w="264" w:type="pct"/>
            <w:vAlign w:val="center"/>
          </w:tcPr>
          <w:p w14:paraId="30276128"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2</w:t>
            </w:r>
          </w:p>
        </w:tc>
        <w:tc>
          <w:tcPr>
            <w:tcW w:w="263" w:type="pct"/>
            <w:shd w:val="clear" w:color="auto" w:fill="D9D9D9" w:themeFill="background1" w:themeFillShade="D9"/>
            <w:vAlign w:val="center"/>
          </w:tcPr>
          <w:p w14:paraId="71C70003"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5</w:t>
            </w:r>
          </w:p>
        </w:tc>
        <w:tc>
          <w:tcPr>
            <w:tcW w:w="263" w:type="pct"/>
            <w:shd w:val="clear" w:color="auto" w:fill="D9D9D9" w:themeFill="background1" w:themeFillShade="D9"/>
            <w:vAlign w:val="center"/>
          </w:tcPr>
          <w:p w14:paraId="7A58740A" w14:textId="77777777" w:rsidR="0075508C" w:rsidRPr="002D2C2D" w:rsidRDefault="0075508C" w:rsidP="00221A11">
            <w:pPr>
              <w:keepNext/>
              <w:keepLines/>
              <w:widowControl/>
              <w:tabs>
                <w:tab w:val="decimal" w:pos="340"/>
              </w:tabs>
              <w:rPr>
                <w:rFonts w:cs="Arial"/>
                <w:color w:val="000000"/>
                <w:sz w:val="18"/>
                <w:szCs w:val="18"/>
              </w:rPr>
            </w:pPr>
            <w:r w:rsidRPr="002D2C2D">
              <w:rPr>
                <w:rFonts w:cs="Arial"/>
                <w:color w:val="000000"/>
                <w:sz w:val="18"/>
                <w:szCs w:val="18"/>
              </w:rPr>
              <w:t>20</w:t>
            </w:r>
          </w:p>
        </w:tc>
        <w:tc>
          <w:tcPr>
            <w:tcW w:w="264" w:type="pct"/>
            <w:vAlign w:val="center"/>
          </w:tcPr>
          <w:p w14:paraId="2E6894B3"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4</w:t>
            </w:r>
          </w:p>
        </w:tc>
        <w:tc>
          <w:tcPr>
            <w:tcW w:w="264" w:type="pct"/>
            <w:vAlign w:val="center"/>
          </w:tcPr>
          <w:p w14:paraId="7D1D749C" w14:textId="77777777"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4</w:t>
            </w:r>
          </w:p>
        </w:tc>
        <w:tc>
          <w:tcPr>
            <w:tcW w:w="264" w:type="pct"/>
            <w:shd w:val="clear" w:color="auto" w:fill="D9D9D9" w:themeFill="background1" w:themeFillShade="D9"/>
            <w:vAlign w:val="center"/>
          </w:tcPr>
          <w:p w14:paraId="6E0F7FDA" w14:textId="77777777" w:rsidR="0075508C" w:rsidRPr="002D2C2D" w:rsidRDefault="0075508C" w:rsidP="00221A11">
            <w:pPr>
              <w:keepNext/>
              <w:keepLines/>
              <w:widowControl/>
              <w:tabs>
                <w:tab w:val="decimal" w:pos="340"/>
              </w:tabs>
              <w:rPr>
                <w:rFonts w:cs="Arial"/>
                <w:color w:val="000000"/>
                <w:sz w:val="18"/>
                <w:szCs w:val="18"/>
              </w:rPr>
            </w:pPr>
            <w:r w:rsidRPr="002D2C2D">
              <w:rPr>
                <w:rFonts w:cs="Arial"/>
                <w:color w:val="000000"/>
                <w:sz w:val="18"/>
                <w:szCs w:val="18"/>
              </w:rPr>
              <w:t>18</w:t>
            </w:r>
          </w:p>
        </w:tc>
        <w:tc>
          <w:tcPr>
            <w:tcW w:w="199" w:type="pct"/>
            <w:vAlign w:val="center"/>
          </w:tcPr>
          <w:p w14:paraId="63A8BFB6" w14:textId="1F09BFD9" w:rsidR="0075508C" w:rsidRPr="002D2C2D" w:rsidRDefault="0075508C"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3</w:t>
            </w:r>
          </w:p>
        </w:tc>
      </w:tr>
      <w:tr w:rsidR="0075508C" w:rsidRPr="002D2C2D" w14:paraId="34388C4F" w14:textId="77777777" w:rsidTr="001A319B">
        <w:trPr>
          <w:cantSplit/>
        </w:trPr>
        <w:tc>
          <w:tcPr>
            <w:tcW w:w="456" w:type="pct"/>
            <w:shd w:val="clear" w:color="auto" w:fill="D9D9D9" w:themeFill="background1" w:themeFillShade="D9"/>
            <w:vAlign w:val="center"/>
            <w:hideMark/>
          </w:tcPr>
          <w:p w14:paraId="502ABE64" w14:textId="2CD5BEE9" w:rsidR="0075508C" w:rsidRPr="002D2C2D" w:rsidRDefault="0075508C" w:rsidP="0075508C">
            <w:pPr>
              <w:rPr>
                <w:rFonts w:cs="Arial"/>
                <w:bCs/>
                <w:color w:val="000000"/>
                <w:sz w:val="18"/>
                <w:szCs w:val="18"/>
                <w:lang w:eastAsia="en-GB" w:bidi="ar-SA"/>
              </w:rPr>
            </w:pPr>
            <w:r w:rsidRPr="002D2C2D">
              <w:rPr>
                <w:rFonts w:cs="Arial"/>
                <w:bCs/>
                <w:color w:val="000000"/>
                <w:sz w:val="18"/>
                <w:szCs w:val="18"/>
                <w:lang w:eastAsia="en-GB" w:bidi="ar-SA"/>
              </w:rPr>
              <w:t>14</w:t>
            </w:r>
          </w:p>
        </w:tc>
        <w:tc>
          <w:tcPr>
            <w:tcW w:w="1450" w:type="pct"/>
            <w:tcBorders>
              <w:bottom w:val="single" w:sz="4" w:space="0" w:color="auto"/>
            </w:tcBorders>
            <w:shd w:val="clear" w:color="auto" w:fill="D9D9D9" w:themeFill="background1" w:themeFillShade="D9"/>
            <w:vAlign w:val="center"/>
          </w:tcPr>
          <w:p w14:paraId="12D6D4D4" w14:textId="77777777" w:rsidR="0075508C" w:rsidRPr="002D2C2D" w:rsidRDefault="0075508C" w:rsidP="0075508C">
            <w:pPr>
              <w:rPr>
                <w:rFonts w:cs="Arial"/>
                <w:bCs/>
                <w:color w:val="000000"/>
                <w:sz w:val="18"/>
                <w:szCs w:val="18"/>
                <w:lang w:eastAsia="en-GB" w:bidi="ar-SA"/>
              </w:rPr>
            </w:pPr>
            <w:r w:rsidRPr="002D2C2D">
              <w:rPr>
                <w:rFonts w:cs="Arial"/>
                <w:bCs/>
                <w:color w:val="000000"/>
                <w:sz w:val="18"/>
                <w:szCs w:val="18"/>
                <w:lang w:eastAsia="en-GB" w:bidi="ar-SA"/>
              </w:rPr>
              <w:t>All Non-alcoholic &amp; alcoholic beverages</w:t>
            </w:r>
          </w:p>
        </w:tc>
        <w:tc>
          <w:tcPr>
            <w:tcW w:w="263" w:type="pct"/>
            <w:shd w:val="clear" w:color="auto" w:fill="auto"/>
            <w:vAlign w:val="center"/>
          </w:tcPr>
          <w:p w14:paraId="56AF7BF7" w14:textId="77777777" w:rsidR="0075508C" w:rsidRPr="002D2C2D" w:rsidRDefault="0075508C" w:rsidP="0075508C">
            <w:pPr>
              <w:tabs>
                <w:tab w:val="decimal" w:pos="340"/>
              </w:tabs>
              <w:rPr>
                <w:rFonts w:cs="Arial"/>
                <w:bCs/>
                <w:color w:val="000000"/>
                <w:sz w:val="18"/>
                <w:szCs w:val="18"/>
                <w:lang w:eastAsia="en-GB" w:bidi="ar-SA"/>
              </w:rPr>
            </w:pPr>
            <w:r w:rsidRPr="002D2C2D">
              <w:rPr>
                <w:rFonts w:cs="Arial"/>
                <w:bCs/>
                <w:color w:val="000000"/>
                <w:sz w:val="18"/>
                <w:szCs w:val="18"/>
              </w:rPr>
              <w:t>&lt;1</w:t>
            </w:r>
          </w:p>
        </w:tc>
        <w:tc>
          <w:tcPr>
            <w:tcW w:w="263" w:type="pct"/>
            <w:vAlign w:val="center"/>
          </w:tcPr>
          <w:p w14:paraId="2533A05A" w14:textId="77777777" w:rsidR="0075508C" w:rsidRPr="002D2C2D" w:rsidRDefault="0075508C" w:rsidP="0075508C">
            <w:pPr>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D9D9D9" w:themeFill="background1" w:themeFillShade="D9"/>
            <w:vAlign w:val="center"/>
          </w:tcPr>
          <w:p w14:paraId="489B6C92" w14:textId="77777777" w:rsidR="0075508C" w:rsidRPr="002D2C2D" w:rsidRDefault="0075508C" w:rsidP="0075508C">
            <w:pPr>
              <w:tabs>
                <w:tab w:val="decimal" w:pos="340"/>
              </w:tabs>
              <w:rPr>
                <w:rFonts w:cs="Arial"/>
                <w:bCs/>
                <w:color w:val="000000"/>
                <w:sz w:val="18"/>
                <w:szCs w:val="18"/>
                <w:lang w:eastAsia="en-GB" w:bidi="ar-SA"/>
              </w:rPr>
            </w:pPr>
            <w:r w:rsidRPr="002D2C2D">
              <w:rPr>
                <w:rFonts w:cs="Arial"/>
                <w:bCs/>
                <w:color w:val="000000"/>
                <w:sz w:val="18"/>
                <w:szCs w:val="18"/>
              </w:rPr>
              <w:t>27</w:t>
            </w:r>
          </w:p>
        </w:tc>
        <w:tc>
          <w:tcPr>
            <w:tcW w:w="263" w:type="pct"/>
            <w:shd w:val="clear" w:color="auto" w:fill="auto"/>
            <w:vAlign w:val="center"/>
          </w:tcPr>
          <w:p w14:paraId="0DA0E8A5" w14:textId="77777777" w:rsidR="0075508C" w:rsidRPr="002D2C2D" w:rsidRDefault="0075508C" w:rsidP="0075508C">
            <w:pPr>
              <w:tabs>
                <w:tab w:val="decimal" w:pos="340"/>
              </w:tabs>
              <w:rPr>
                <w:rFonts w:cs="Arial"/>
                <w:bCs/>
                <w:color w:val="000000"/>
                <w:sz w:val="18"/>
                <w:szCs w:val="18"/>
                <w:lang w:eastAsia="en-GB" w:bidi="ar-SA"/>
              </w:rPr>
            </w:pPr>
            <w:r w:rsidRPr="002D2C2D">
              <w:rPr>
                <w:rFonts w:cs="Arial"/>
                <w:bCs/>
                <w:color w:val="000000"/>
                <w:sz w:val="18"/>
                <w:szCs w:val="18"/>
              </w:rPr>
              <w:t>&lt;1</w:t>
            </w:r>
          </w:p>
        </w:tc>
        <w:tc>
          <w:tcPr>
            <w:tcW w:w="263" w:type="pct"/>
            <w:vAlign w:val="center"/>
          </w:tcPr>
          <w:p w14:paraId="7109BFFB" w14:textId="77777777" w:rsidR="0075508C" w:rsidRPr="002D2C2D" w:rsidRDefault="0075508C" w:rsidP="0075508C">
            <w:pPr>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D9D9D9" w:themeFill="background1" w:themeFillShade="D9"/>
            <w:vAlign w:val="center"/>
          </w:tcPr>
          <w:p w14:paraId="1E16E94F" w14:textId="77777777" w:rsidR="0075508C" w:rsidRPr="002D2C2D" w:rsidRDefault="0075508C" w:rsidP="0075508C">
            <w:pPr>
              <w:tabs>
                <w:tab w:val="decimal" w:pos="340"/>
              </w:tabs>
              <w:rPr>
                <w:rFonts w:cs="Arial"/>
                <w:bCs/>
                <w:color w:val="000000"/>
                <w:sz w:val="18"/>
                <w:szCs w:val="18"/>
                <w:lang w:eastAsia="en-GB" w:bidi="ar-SA"/>
              </w:rPr>
            </w:pPr>
            <w:r w:rsidRPr="002D2C2D">
              <w:rPr>
                <w:rFonts w:cs="Arial"/>
                <w:bCs/>
                <w:color w:val="000000"/>
                <w:sz w:val="18"/>
                <w:szCs w:val="18"/>
              </w:rPr>
              <w:t>44</w:t>
            </w:r>
          </w:p>
        </w:tc>
        <w:tc>
          <w:tcPr>
            <w:tcW w:w="263" w:type="pct"/>
            <w:shd w:val="clear" w:color="auto" w:fill="auto"/>
            <w:vAlign w:val="center"/>
          </w:tcPr>
          <w:p w14:paraId="70014F8B" w14:textId="77777777" w:rsidR="0075508C" w:rsidRPr="002D2C2D" w:rsidRDefault="0075508C" w:rsidP="0075508C">
            <w:pPr>
              <w:tabs>
                <w:tab w:val="decimal" w:pos="340"/>
              </w:tabs>
              <w:rPr>
                <w:rFonts w:cs="Arial"/>
                <w:bCs/>
                <w:sz w:val="18"/>
                <w:szCs w:val="18"/>
                <w:lang w:eastAsia="en-GB" w:bidi="ar-SA"/>
              </w:rPr>
            </w:pPr>
            <w:r w:rsidRPr="002D2C2D">
              <w:rPr>
                <w:rFonts w:cs="Arial"/>
                <w:bCs/>
                <w:sz w:val="18"/>
                <w:szCs w:val="18"/>
              </w:rPr>
              <w:t>&lt;1</w:t>
            </w:r>
          </w:p>
        </w:tc>
        <w:tc>
          <w:tcPr>
            <w:tcW w:w="263" w:type="pct"/>
            <w:vAlign w:val="center"/>
          </w:tcPr>
          <w:p w14:paraId="7D556B26" w14:textId="77777777" w:rsidR="0075508C" w:rsidRPr="002D2C2D" w:rsidRDefault="0075508C" w:rsidP="0075508C">
            <w:pPr>
              <w:tabs>
                <w:tab w:val="decimal" w:pos="340"/>
              </w:tabs>
              <w:rPr>
                <w:rFonts w:cs="Arial"/>
                <w:bCs/>
                <w:sz w:val="18"/>
                <w:szCs w:val="18"/>
              </w:rPr>
            </w:pPr>
            <w:r w:rsidRPr="002D2C2D">
              <w:rPr>
                <w:rFonts w:cs="Arial"/>
                <w:bCs/>
                <w:sz w:val="18"/>
                <w:szCs w:val="18"/>
              </w:rPr>
              <w:t>&lt;1</w:t>
            </w:r>
          </w:p>
        </w:tc>
        <w:tc>
          <w:tcPr>
            <w:tcW w:w="264" w:type="pct"/>
            <w:shd w:val="clear" w:color="auto" w:fill="D9D9D9" w:themeFill="background1" w:themeFillShade="D9"/>
            <w:vAlign w:val="center"/>
          </w:tcPr>
          <w:p w14:paraId="50FC811F" w14:textId="77777777" w:rsidR="0075508C" w:rsidRPr="002D2C2D" w:rsidRDefault="0075508C" w:rsidP="0075508C">
            <w:pPr>
              <w:tabs>
                <w:tab w:val="decimal" w:pos="340"/>
              </w:tabs>
              <w:rPr>
                <w:rFonts w:cs="Arial"/>
                <w:bCs/>
                <w:sz w:val="18"/>
                <w:szCs w:val="18"/>
                <w:lang w:eastAsia="en-GB" w:bidi="ar-SA"/>
              </w:rPr>
            </w:pPr>
            <w:r w:rsidRPr="002D2C2D">
              <w:rPr>
                <w:rFonts w:cs="Arial"/>
                <w:bCs/>
                <w:sz w:val="18"/>
                <w:szCs w:val="18"/>
              </w:rPr>
              <w:t>37</w:t>
            </w:r>
          </w:p>
        </w:tc>
        <w:tc>
          <w:tcPr>
            <w:tcW w:w="264" w:type="pct"/>
            <w:shd w:val="clear" w:color="auto" w:fill="auto"/>
            <w:vAlign w:val="center"/>
          </w:tcPr>
          <w:p w14:paraId="01F266E5" w14:textId="77777777" w:rsidR="0075508C" w:rsidRPr="002D2C2D" w:rsidRDefault="0075508C" w:rsidP="0075508C">
            <w:pPr>
              <w:tabs>
                <w:tab w:val="decimal" w:pos="340"/>
              </w:tabs>
              <w:rPr>
                <w:rFonts w:cs="Arial"/>
                <w:bCs/>
                <w:color w:val="000000"/>
                <w:sz w:val="18"/>
                <w:szCs w:val="18"/>
                <w:lang w:eastAsia="en-GB" w:bidi="ar-SA"/>
              </w:rPr>
            </w:pPr>
            <w:r w:rsidRPr="002D2C2D">
              <w:rPr>
                <w:rFonts w:cs="Arial"/>
                <w:bCs/>
                <w:color w:val="000000"/>
                <w:sz w:val="18"/>
                <w:szCs w:val="18"/>
              </w:rPr>
              <w:t>&lt;1</w:t>
            </w:r>
          </w:p>
        </w:tc>
        <w:tc>
          <w:tcPr>
            <w:tcW w:w="264" w:type="pct"/>
            <w:vAlign w:val="center"/>
          </w:tcPr>
          <w:p w14:paraId="4B62107E" w14:textId="77777777" w:rsidR="0075508C" w:rsidRPr="002D2C2D" w:rsidRDefault="0075508C" w:rsidP="0075508C">
            <w:pPr>
              <w:tabs>
                <w:tab w:val="decimal" w:pos="340"/>
              </w:tabs>
              <w:rPr>
                <w:rFonts w:cs="Arial"/>
                <w:bCs/>
                <w:color w:val="000000"/>
                <w:sz w:val="18"/>
                <w:szCs w:val="18"/>
              </w:rPr>
            </w:pPr>
            <w:r w:rsidRPr="002D2C2D">
              <w:rPr>
                <w:rFonts w:cs="Arial"/>
                <w:bCs/>
                <w:color w:val="000000"/>
                <w:sz w:val="18"/>
                <w:szCs w:val="18"/>
              </w:rPr>
              <w:t>&lt;1</w:t>
            </w:r>
          </w:p>
        </w:tc>
        <w:tc>
          <w:tcPr>
            <w:tcW w:w="199" w:type="pct"/>
            <w:shd w:val="clear" w:color="auto" w:fill="D9D9D9" w:themeFill="background1" w:themeFillShade="D9"/>
            <w:vAlign w:val="center"/>
          </w:tcPr>
          <w:p w14:paraId="0C1F9F8D" w14:textId="156DB56C" w:rsidR="0075508C" w:rsidRPr="002D2C2D" w:rsidRDefault="0075508C" w:rsidP="0075508C">
            <w:pPr>
              <w:tabs>
                <w:tab w:val="decimal" w:pos="340"/>
              </w:tabs>
              <w:rPr>
                <w:rFonts w:cs="Arial"/>
                <w:bCs/>
                <w:color w:val="000000"/>
                <w:sz w:val="18"/>
                <w:szCs w:val="18"/>
                <w:lang w:eastAsia="en-GB" w:bidi="ar-SA"/>
              </w:rPr>
            </w:pPr>
            <w:r w:rsidRPr="002D2C2D">
              <w:rPr>
                <w:rFonts w:cs="Arial"/>
                <w:bCs/>
                <w:color w:val="000000"/>
                <w:sz w:val="18"/>
                <w:szCs w:val="18"/>
              </w:rPr>
              <w:t>37</w:t>
            </w:r>
          </w:p>
        </w:tc>
      </w:tr>
      <w:tr w:rsidR="00C7780C" w:rsidRPr="002D2C2D" w14:paraId="0566DFC9" w14:textId="77777777" w:rsidTr="00C7780C">
        <w:trPr>
          <w:cantSplit/>
        </w:trPr>
        <w:tc>
          <w:tcPr>
            <w:tcW w:w="456" w:type="pct"/>
            <w:shd w:val="clear" w:color="auto" w:fill="D9D9D9" w:themeFill="background1" w:themeFillShade="D9"/>
            <w:vAlign w:val="center"/>
            <w:hideMark/>
          </w:tcPr>
          <w:p w14:paraId="445C611A" w14:textId="2313CF71" w:rsidR="00C7780C" w:rsidRPr="002D2C2D" w:rsidRDefault="00C7780C" w:rsidP="00C7780C">
            <w:pPr>
              <w:widowControl/>
              <w:rPr>
                <w:rFonts w:cs="Arial"/>
                <w:color w:val="000000"/>
                <w:sz w:val="18"/>
                <w:szCs w:val="18"/>
                <w:lang w:eastAsia="en-GB" w:bidi="ar-SA"/>
              </w:rPr>
            </w:pPr>
            <w:r>
              <w:rPr>
                <w:rFonts w:cs="Arial"/>
                <w:color w:val="000000"/>
                <w:sz w:val="18"/>
                <w:szCs w:val="18"/>
                <w:lang w:eastAsia="en-GB" w:bidi="ar-SA"/>
              </w:rPr>
              <w:t>14.1.2</w:t>
            </w:r>
          </w:p>
        </w:tc>
        <w:tc>
          <w:tcPr>
            <w:tcW w:w="1450" w:type="pct"/>
            <w:shd w:val="clear" w:color="auto" w:fill="D9D9D9" w:themeFill="background1" w:themeFillShade="D9"/>
            <w:vAlign w:val="center"/>
          </w:tcPr>
          <w:p w14:paraId="27060547" w14:textId="5F1AB61E" w:rsidR="00C7780C" w:rsidRPr="002D2C2D" w:rsidRDefault="00C7780C" w:rsidP="00C7780C">
            <w:pPr>
              <w:widowControl/>
              <w:ind w:left="567" w:hanging="567"/>
              <w:rPr>
                <w:rFonts w:cs="Arial"/>
                <w:color w:val="000000"/>
                <w:sz w:val="18"/>
                <w:szCs w:val="18"/>
                <w:lang w:eastAsia="en-GB" w:bidi="ar-SA"/>
              </w:rPr>
            </w:pPr>
            <w:r>
              <w:rPr>
                <w:rFonts w:cs="Arial"/>
                <w:color w:val="000000"/>
                <w:sz w:val="18"/>
                <w:szCs w:val="18"/>
                <w:lang w:eastAsia="en-GB" w:bidi="ar-SA"/>
              </w:rPr>
              <w:tab/>
            </w:r>
            <w:r w:rsidRPr="00B83846">
              <w:rPr>
                <w:rFonts w:cs="Arial"/>
                <w:color w:val="000000"/>
                <w:sz w:val="18"/>
                <w:szCs w:val="18"/>
                <w:lang w:eastAsia="en-GB" w:bidi="ar-SA"/>
              </w:rPr>
              <w:t>Fruit &amp; vegetable juices &amp; fruit &amp; vegetable juice products</w:t>
            </w:r>
          </w:p>
        </w:tc>
        <w:tc>
          <w:tcPr>
            <w:tcW w:w="263" w:type="pct"/>
            <w:shd w:val="clear" w:color="auto" w:fill="auto"/>
            <w:vAlign w:val="center"/>
          </w:tcPr>
          <w:p w14:paraId="2D053EAC" w14:textId="3ED4F80E" w:rsidR="00C7780C" w:rsidRPr="002D2C2D" w:rsidRDefault="00C7780C" w:rsidP="00C7780C">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3" w:type="pct"/>
            <w:shd w:val="clear" w:color="auto" w:fill="auto"/>
            <w:vAlign w:val="center"/>
          </w:tcPr>
          <w:p w14:paraId="3D422A12" w14:textId="0B3D0216" w:rsidR="00C7780C" w:rsidRPr="002D2C2D" w:rsidRDefault="00C7780C" w:rsidP="00C7780C">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D9D9D9" w:themeFill="background1" w:themeFillShade="D9"/>
            <w:vAlign w:val="center"/>
          </w:tcPr>
          <w:p w14:paraId="2E54C95C" w14:textId="3E85C708" w:rsidR="00C7780C" w:rsidRPr="002D2C2D" w:rsidRDefault="00C7780C" w:rsidP="00C7780C">
            <w:pPr>
              <w:widowControl/>
              <w:tabs>
                <w:tab w:val="decimal" w:pos="340"/>
              </w:tabs>
              <w:rPr>
                <w:rFonts w:cs="Arial"/>
                <w:color w:val="000000"/>
                <w:sz w:val="18"/>
                <w:szCs w:val="18"/>
                <w:lang w:eastAsia="en-GB" w:bidi="ar-SA"/>
              </w:rPr>
            </w:pPr>
            <w:r w:rsidRPr="00B83846">
              <w:rPr>
                <w:rFonts w:cs="Arial"/>
                <w:color w:val="000000"/>
                <w:sz w:val="18"/>
                <w:szCs w:val="18"/>
              </w:rPr>
              <w:t>15</w:t>
            </w:r>
          </w:p>
        </w:tc>
        <w:tc>
          <w:tcPr>
            <w:tcW w:w="263" w:type="pct"/>
            <w:shd w:val="clear" w:color="auto" w:fill="auto"/>
            <w:vAlign w:val="center"/>
          </w:tcPr>
          <w:p w14:paraId="05BD9994" w14:textId="2D314ADC" w:rsidR="00C7780C" w:rsidRPr="002D2C2D" w:rsidRDefault="00C7780C" w:rsidP="00C7780C">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3" w:type="pct"/>
            <w:shd w:val="clear" w:color="auto" w:fill="auto"/>
            <w:vAlign w:val="center"/>
          </w:tcPr>
          <w:p w14:paraId="55B97D5C" w14:textId="5711A24D" w:rsidR="00C7780C" w:rsidRPr="002D2C2D" w:rsidRDefault="00C7780C" w:rsidP="00C7780C">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D9D9D9" w:themeFill="background1" w:themeFillShade="D9"/>
            <w:vAlign w:val="center"/>
          </w:tcPr>
          <w:p w14:paraId="480B0DE9" w14:textId="5A8C4FA5" w:rsidR="00C7780C" w:rsidRPr="002D2C2D" w:rsidRDefault="00C7780C" w:rsidP="00C7780C">
            <w:pPr>
              <w:widowControl/>
              <w:tabs>
                <w:tab w:val="decimal" w:pos="340"/>
              </w:tabs>
              <w:rPr>
                <w:rFonts w:cs="Arial"/>
                <w:color w:val="000000"/>
                <w:sz w:val="18"/>
                <w:szCs w:val="18"/>
                <w:lang w:eastAsia="en-GB" w:bidi="ar-SA"/>
              </w:rPr>
            </w:pPr>
            <w:r w:rsidRPr="00B83846">
              <w:rPr>
                <w:rFonts w:cs="Arial"/>
                <w:color w:val="000000"/>
                <w:sz w:val="18"/>
                <w:szCs w:val="18"/>
              </w:rPr>
              <w:t>12</w:t>
            </w:r>
          </w:p>
        </w:tc>
        <w:tc>
          <w:tcPr>
            <w:tcW w:w="263" w:type="pct"/>
            <w:shd w:val="clear" w:color="auto" w:fill="auto"/>
            <w:vAlign w:val="center"/>
          </w:tcPr>
          <w:p w14:paraId="6B21752A" w14:textId="53D84774" w:rsidR="00C7780C" w:rsidRPr="002D2C2D" w:rsidRDefault="00C7780C" w:rsidP="00C7780C">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3" w:type="pct"/>
            <w:shd w:val="clear" w:color="auto" w:fill="auto"/>
            <w:vAlign w:val="center"/>
          </w:tcPr>
          <w:p w14:paraId="7D98BE12" w14:textId="2B3A172A" w:rsidR="00C7780C" w:rsidRPr="002D2C2D" w:rsidRDefault="00C7780C" w:rsidP="00C7780C">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D9D9D9" w:themeFill="background1" w:themeFillShade="D9"/>
            <w:vAlign w:val="center"/>
          </w:tcPr>
          <w:p w14:paraId="67C0B571" w14:textId="6E9780EB" w:rsidR="00C7780C" w:rsidRPr="002D2C2D" w:rsidRDefault="00C7780C" w:rsidP="00C7780C">
            <w:pPr>
              <w:widowControl/>
              <w:tabs>
                <w:tab w:val="decimal" w:pos="340"/>
              </w:tabs>
              <w:rPr>
                <w:rFonts w:cs="Arial"/>
                <w:color w:val="000000"/>
                <w:sz w:val="18"/>
                <w:szCs w:val="18"/>
                <w:lang w:eastAsia="en-GB" w:bidi="ar-SA"/>
              </w:rPr>
            </w:pPr>
            <w:r w:rsidRPr="00B83846">
              <w:rPr>
                <w:rFonts w:cs="Arial"/>
                <w:color w:val="000000"/>
                <w:sz w:val="18"/>
                <w:szCs w:val="18"/>
              </w:rPr>
              <w:t>7</w:t>
            </w:r>
          </w:p>
        </w:tc>
        <w:tc>
          <w:tcPr>
            <w:tcW w:w="264" w:type="pct"/>
            <w:shd w:val="clear" w:color="auto" w:fill="auto"/>
            <w:vAlign w:val="center"/>
          </w:tcPr>
          <w:p w14:paraId="66FDA875" w14:textId="4539AF55" w:rsidR="00C7780C" w:rsidRPr="002D2C2D" w:rsidRDefault="00C7780C" w:rsidP="00C7780C">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shd w:val="clear" w:color="auto" w:fill="auto"/>
            <w:vAlign w:val="center"/>
          </w:tcPr>
          <w:p w14:paraId="2C348CBD" w14:textId="51082260" w:rsidR="00C7780C" w:rsidRPr="002D2C2D" w:rsidRDefault="00C7780C" w:rsidP="00C7780C">
            <w:pPr>
              <w:widowControl/>
              <w:tabs>
                <w:tab w:val="decimal" w:pos="340"/>
              </w:tabs>
              <w:rPr>
                <w:rFonts w:cs="Arial"/>
                <w:color w:val="000000"/>
                <w:sz w:val="18"/>
                <w:szCs w:val="18"/>
              </w:rPr>
            </w:pPr>
            <w:r w:rsidRPr="00B83846">
              <w:rPr>
                <w:rFonts w:cs="Arial"/>
                <w:color w:val="000000"/>
                <w:sz w:val="18"/>
                <w:szCs w:val="18"/>
              </w:rPr>
              <w:t>&lt;1</w:t>
            </w:r>
          </w:p>
        </w:tc>
        <w:tc>
          <w:tcPr>
            <w:tcW w:w="199" w:type="pct"/>
            <w:shd w:val="clear" w:color="auto" w:fill="D9D9D9" w:themeFill="background1" w:themeFillShade="D9"/>
            <w:vAlign w:val="center"/>
          </w:tcPr>
          <w:p w14:paraId="7707E847" w14:textId="42B7DFDC" w:rsidR="00C7780C" w:rsidRPr="002D2C2D" w:rsidRDefault="00C7780C" w:rsidP="00C7780C">
            <w:pPr>
              <w:widowControl/>
              <w:tabs>
                <w:tab w:val="decimal" w:pos="340"/>
              </w:tabs>
              <w:rPr>
                <w:rFonts w:cs="Arial"/>
                <w:color w:val="000000"/>
                <w:sz w:val="18"/>
                <w:szCs w:val="18"/>
                <w:lang w:eastAsia="en-GB" w:bidi="ar-SA"/>
              </w:rPr>
            </w:pPr>
            <w:r w:rsidRPr="00B83846">
              <w:rPr>
                <w:rFonts w:cs="Arial"/>
                <w:color w:val="000000"/>
                <w:sz w:val="18"/>
                <w:szCs w:val="18"/>
              </w:rPr>
              <w:t>8</w:t>
            </w:r>
          </w:p>
        </w:tc>
      </w:tr>
      <w:tr w:rsidR="00C7780C" w:rsidRPr="002D2C2D" w14:paraId="0B16BA49" w14:textId="77777777" w:rsidTr="00C7780C">
        <w:trPr>
          <w:cantSplit/>
        </w:trPr>
        <w:tc>
          <w:tcPr>
            <w:tcW w:w="456" w:type="pct"/>
            <w:shd w:val="clear" w:color="auto" w:fill="D9D9D9" w:themeFill="background1" w:themeFillShade="D9"/>
            <w:vAlign w:val="center"/>
          </w:tcPr>
          <w:p w14:paraId="4722D232" w14:textId="646D5C9B" w:rsidR="00C7780C" w:rsidRDefault="00C7780C" w:rsidP="00C7780C">
            <w:pPr>
              <w:widowControl/>
              <w:rPr>
                <w:rFonts w:cs="Arial"/>
                <w:color w:val="000000"/>
                <w:sz w:val="18"/>
                <w:szCs w:val="18"/>
                <w:lang w:eastAsia="en-GB" w:bidi="ar-SA"/>
              </w:rPr>
            </w:pPr>
            <w:r>
              <w:rPr>
                <w:rFonts w:cs="Arial"/>
                <w:color w:val="000000"/>
                <w:sz w:val="18"/>
                <w:szCs w:val="18"/>
                <w:lang w:eastAsia="en-GB" w:bidi="ar-SA"/>
              </w:rPr>
              <w:t>14.1.3</w:t>
            </w:r>
          </w:p>
        </w:tc>
        <w:tc>
          <w:tcPr>
            <w:tcW w:w="1450" w:type="pct"/>
            <w:shd w:val="clear" w:color="auto" w:fill="D9D9D9" w:themeFill="background1" w:themeFillShade="D9"/>
            <w:vAlign w:val="center"/>
          </w:tcPr>
          <w:p w14:paraId="1DE6ABD2" w14:textId="344073B1" w:rsidR="00C7780C" w:rsidRDefault="00C7780C" w:rsidP="00C7780C">
            <w:pPr>
              <w:widowControl/>
              <w:ind w:left="567" w:hanging="567"/>
              <w:rPr>
                <w:rFonts w:cs="Arial"/>
                <w:color w:val="000000"/>
                <w:sz w:val="18"/>
                <w:szCs w:val="18"/>
                <w:lang w:eastAsia="en-GB" w:bidi="ar-SA"/>
              </w:rPr>
            </w:pPr>
            <w:r>
              <w:rPr>
                <w:rFonts w:cs="Arial"/>
                <w:color w:val="000000"/>
                <w:sz w:val="18"/>
                <w:szCs w:val="18"/>
                <w:lang w:eastAsia="en-GB" w:bidi="ar-SA"/>
              </w:rPr>
              <w:tab/>
            </w:r>
            <w:r w:rsidRPr="00B83846">
              <w:rPr>
                <w:rFonts w:cs="Arial"/>
                <w:color w:val="000000"/>
                <w:sz w:val="18"/>
                <w:szCs w:val="18"/>
                <w:lang w:eastAsia="en-GB" w:bidi="ar-SA"/>
              </w:rPr>
              <w:t>Soft drinks (excluding intensely sweetened)</w:t>
            </w:r>
          </w:p>
        </w:tc>
        <w:tc>
          <w:tcPr>
            <w:tcW w:w="263" w:type="pct"/>
            <w:shd w:val="clear" w:color="auto" w:fill="auto"/>
            <w:vAlign w:val="center"/>
          </w:tcPr>
          <w:p w14:paraId="355A6118" w14:textId="55990191" w:rsidR="00C7780C" w:rsidRPr="002D2C2D" w:rsidRDefault="00C7780C" w:rsidP="00C7780C">
            <w:pPr>
              <w:widowControl/>
              <w:tabs>
                <w:tab w:val="decimal" w:pos="340"/>
              </w:tabs>
              <w:rPr>
                <w:rFonts w:cs="Arial"/>
                <w:color w:val="000000"/>
                <w:sz w:val="18"/>
                <w:szCs w:val="18"/>
                <w:lang w:eastAsia="en-GB" w:bidi="ar-SA"/>
              </w:rPr>
            </w:pPr>
            <w:r w:rsidRPr="00B83846">
              <w:rPr>
                <w:rFonts w:cs="Arial"/>
                <w:color w:val="000000"/>
                <w:sz w:val="18"/>
                <w:szCs w:val="18"/>
              </w:rPr>
              <w:t>0</w:t>
            </w:r>
          </w:p>
        </w:tc>
        <w:tc>
          <w:tcPr>
            <w:tcW w:w="263" w:type="pct"/>
            <w:shd w:val="clear" w:color="auto" w:fill="auto"/>
            <w:vAlign w:val="center"/>
          </w:tcPr>
          <w:p w14:paraId="674BAC55" w14:textId="69DE084A" w:rsidR="00C7780C" w:rsidRPr="002D2C2D" w:rsidRDefault="00C7780C" w:rsidP="00C7780C">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D9D9D9" w:themeFill="background1" w:themeFillShade="D9"/>
            <w:vAlign w:val="center"/>
          </w:tcPr>
          <w:p w14:paraId="5D1F382E" w14:textId="05F0FF50" w:rsidR="00C7780C" w:rsidRPr="002D2C2D" w:rsidRDefault="00C7780C" w:rsidP="00C7780C">
            <w:pPr>
              <w:widowControl/>
              <w:tabs>
                <w:tab w:val="decimal" w:pos="340"/>
              </w:tabs>
              <w:rPr>
                <w:rFonts w:cs="Arial"/>
                <w:color w:val="000000"/>
                <w:sz w:val="18"/>
                <w:szCs w:val="18"/>
                <w:lang w:eastAsia="en-GB" w:bidi="ar-SA"/>
              </w:rPr>
            </w:pPr>
            <w:r w:rsidRPr="00B83846">
              <w:rPr>
                <w:rFonts w:cs="Arial"/>
                <w:color w:val="000000"/>
                <w:sz w:val="18"/>
                <w:szCs w:val="18"/>
              </w:rPr>
              <w:t>9</w:t>
            </w:r>
          </w:p>
        </w:tc>
        <w:tc>
          <w:tcPr>
            <w:tcW w:w="263" w:type="pct"/>
            <w:shd w:val="clear" w:color="auto" w:fill="auto"/>
            <w:vAlign w:val="center"/>
          </w:tcPr>
          <w:p w14:paraId="11BB2DDB" w14:textId="097F6048" w:rsidR="00C7780C" w:rsidRPr="002D2C2D" w:rsidRDefault="00C7780C" w:rsidP="00C7780C">
            <w:pPr>
              <w:widowControl/>
              <w:tabs>
                <w:tab w:val="decimal" w:pos="340"/>
              </w:tabs>
              <w:rPr>
                <w:rFonts w:cs="Arial"/>
                <w:color w:val="000000"/>
                <w:sz w:val="18"/>
                <w:szCs w:val="18"/>
                <w:lang w:eastAsia="en-GB" w:bidi="ar-SA"/>
              </w:rPr>
            </w:pPr>
            <w:r w:rsidRPr="00B83846">
              <w:rPr>
                <w:rFonts w:cs="Arial"/>
                <w:color w:val="000000"/>
                <w:sz w:val="18"/>
                <w:szCs w:val="18"/>
              </w:rPr>
              <w:t>0</w:t>
            </w:r>
          </w:p>
        </w:tc>
        <w:tc>
          <w:tcPr>
            <w:tcW w:w="263" w:type="pct"/>
            <w:shd w:val="clear" w:color="auto" w:fill="auto"/>
            <w:vAlign w:val="center"/>
          </w:tcPr>
          <w:p w14:paraId="54DAE8AC" w14:textId="769D50D1" w:rsidR="00C7780C" w:rsidRPr="002D2C2D" w:rsidRDefault="00C7780C" w:rsidP="00C7780C">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D9D9D9" w:themeFill="background1" w:themeFillShade="D9"/>
            <w:vAlign w:val="center"/>
          </w:tcPr>
          <w:p w14:paraId="6D1CFE93" w14:textId="0C3257A4" w:rsidR="00C7780C" w:rsidRPr="002D2C2D" w:rsidRDefault="00C7780C" w:rsidP="00C7780C">
            <w:pPr>
              <w:widowControl/>
              <w:tabs>
                <w:tab w:val="decimal" w:pos="340"/>
              </w:tabs>
              <w:rPr>
                <w:rFonts w:cs="Arial"/>
                <w:color w:val="000000"/>
                <w:sz w:val="18"/>
                <w:szCs w:val="18"/>
                <w:lang w:eastAsia="en-GB" w:bidi="ar-SA"/>
              </w:rPr>
            </w:pPr>
            <w:r w:rsidRPr="00B83846">
              <w:rPr>
                <w:rFonts w:cs="Arial"/>
                <w:color w:val="000000"/>
                <w:sz w:val="18"/>
                <w:szCs w:val="18"/>
              </w:rPr>
              <w:t>29</w:t>
            </w:r>
          </w:p>
        </w:tc>
        <w:tc>
          <w:tcPr>
            <w:tcW w:w="263" w:type="pct"/>
            <w:shd w:val="clear" w:color="auto" w:fill="auto"/>
            <w:vAlign w:val="center"/>
          </w:tcPr>
          <w:p w14:paraId="0C5F436B" w14:textId="0258EFD8" w:rsidR="00C7780C" w:rsidRPr="002D2C2D" w:rsidRDefault="00C7780C" w:rsidP="00C7780C">
            <w:pPr>
              <w:widowControl/>
              <w:tabs>
                <w:tab w:val="decimal" w:pos="340"/>
              </w:tabs>
              <w:rPr>
                <w:rFonts w:cs="Arial"/>
                <w:color w:val="000000"/>
                <w:sz w:val="18"/>
                <w:szCs w:val="18"/>
                <w:lang w:eastAsia="en-GB" w:bidi="ar-SA"/>
              </w:rPr>
            </w:pPr>
            <w:r w:rsidRPr="00B83846">
              <w:rPr>
                <w:rFonts w:cs="Arial"/>
                <w:color w:val="000000"/>
                <w:sz w:val="18"/>
                <w:szCs w:val="18"/>
              </w:rPr>
              <w:t>0</w:t>
            </w:r>
          </w:p>
        </w:tc>
        <w:tc>
          <w:tcPr>
            <w:tcW w:w="263" w:type="pct"/>
            <w:shd w:val="clear" w:color="auto" w:fill="auto"/>
            <w:vAlign w:val="center"/>
          </w:tcPr>
          <w:p w14:paraId="3DAA16A5" w14:textId="28F5ECF7" w:rsidR="00C7780C" w:rsidRPr="002D2C2D" w:rsidRDefault="00C7780C" w:rsidP="00C7780C">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D9D9D9" w:themeFill="background1" w:themeFillShade="D9"/>
            <w:vAlign w:val="center"/>
          </w:tcPr>
          <w:p w14:paraId="41338950" w14:textId="7D907BBF" w:rsidR="00C7780C" w:rsidRPr="002D2C2D" w:rsidRDefault="00C7780C" w:rsidP="00C7780C">
            <w:pPr>
              <w:widowControl/>
              <w:tabs>
                <w:tab w:val="decimal" w:pos="340"/>
              </w:tabs>
              <w:rPr>
                <w:rFonts w:cs="Arial"/>
                <w:color w:val="000000"/>
                <w:sz w:val="18"/>
                <w:szCs w:val="18"/>
                <w:lang w:eastAsia="en-GB" w:bidi="ar-SA"/>
              </w:rPr>
            </w:pPr>
            <w:r w:rsidRPr="00B83846">
              <w:rPr>
                <w:rFonts w:cs="Arial"/>
                <w:color w:val="000000"/>
                <w:sz w:val="18"/>
                <w:szCs w:val="18"/>
              </w:rPr>
              <w:t>25</w:t>
            </w:r>
          </w:p>
        </w:tc>
        <w:tc>
          <w:tcPr>
            <w:tcW w:w="264" w:type="pct"/>
            <w:shd w:val="clear" w:color="auto" w:fill="auto"/>
            <w:vAlign w:val="center"/>
          </w:tcPr>
          <w:p w14:paraId="7127A5F0" w14:textId="2AE85230" w:rsidR="00C7780C" w:rsidRPr="002D2C2D" w:rsidRDefault="00C7780C" w:rsidP="00C7780C">
            <w:pPr>
              <w:widowControl/>
              <w:tabs>
                <w:tab w:val="decimal" w:pos="340"/>
              </w:tabs>
              <w:rPr>
                <w:rFonts w:cs="Arial"/>
                <w:color w:val="000000"/>
                <w:sz w:val="18"/>
                <w:szCs w:val="18"/>
                <w:lang w:eastAsia="en-GB" w:bidi="ar-SA"/>
              </w:rPr>
            </w:pPr>
            <w:r w:rsidRPr="00B83846">
              <w:rPr>
                <w:rFonts w:cs="Arial"/>
                <w:color w:val="000000"/>
                <w:sz w:val="18"/>
                <w:szCs w:val="18"/>
              </w:rPr>
              <w:t>0</w:t>
            </w:r>
          </w:p>
        </w:tc>
        <w:tc>
          <w:tcPr>
            <w:tcW w:w="264" w:type="pct"/>
            <w:shd w:val="clear" w:color="auto" w:fill="auto"/>
            <w:vAlign w:val="center"/>
          </w:tcPr>
          <w:p w14:paraId="1915ED43" w14:textId="2DA5C265" w:rsidR="00C7780C" w:rsidRPr="002D2C2D" w:rsidRDefault="00C7780C" w:rsidP="00C7780C">
            <w:pPr>
              <w:widowControl/>
              <w:tabs>
                <w:tab w:val="decimal" w:pos="340"/>
              </w:tabs>
              <w:rPr>
                <w:rFonts w:cs="Arial"/>
                <w:color w:val="000000"/>
                <w:sz w:val="18"/>
                <w:szCs w:val="18"/>
              </w:rPr>
            </w:pPr>
            <w:r w:rsidRPr="00B83846">
              <w:rPr>
                <w:rFonts w:cs="Arial"/>
                <w:color w:val="000000"/>
                <w:sz w:val="18"/>
                <w:szCs w:val="18"/>
              </w:rPr>
              <w:t>0</w:t>
            </w:r>
          </w:p>
        </w:tc>
        <w:tc>
          <w:tcPr>
            <w:tcW w:w="199" w:type="pct"/>
            <w:shd w:val="clear" w:color="auto" w:fill="D9D9D9" w:themeFill="background1" w:themeFillShade="D9"/>
            <w:vAlign w:val="center"/>
          </w:tcPr>
          <w:p w14:paraId="793BED97" w14:textId="17C46542" w:rsidR="00C7780C" w:rsidRDefault="00C7780C" w:rsidP="00C7780C">
            <w:pPr>
              <w:widowControl/>
              <w:tabs>
                <w:tab w:val="decimal" w:pos="340"/>
              </w:tabs>
              <w:rPr>
                <w:rFonts w:cs="Arial"/>
                <w:color w:val="000000"/>
                <w:sz w:val="18"/>
                <w:szCs w:val="18"/>
              </w:rPr>
            </w:pPr>
            <w:r w:rsidRPr="00B83846">
              <w:rPr>
                <w:rFonts w:cs="Arial"/>
                <w:color w:val="000000"/>
                <w:sz w:val="18"/>
                <w:szCs w:val="18"/>
              </w:rPr>
              <w:t>24</w:t>
            </w:r>
          </w:p>
        </w:tc>
      </w:tr>
      <w:tr w:rsidR="0075508C" w:rsidRPr="002D2C2D" w14:paraId="51F74573" w14:textId="77777777" w:rsidTr="00221A11">
        <w:trPr>
          <w:cantSplit/>
        </w:trPr>
        <w:tc>
          <w:tcPr>
            <w:tcW w:w="456" w:type="pct"/>
            <w:shd w:val="clear" w:color="auto" w:fill="D9D9D9" w:themeFill="background1" w:themeFillShade="D9"/>
            <w:vAlign w:val="center"/>
            <w:hideMark/>
          </w:tcPr>
          <w:p w14:paraId="099DDFE9" w14:textId="0AA92143" w:rsidR="0075508C" w:rsidRPr="002D2C2D" w:rsidRDefault="0075508C" w:rsidP="0075508C">
            <w:pPr>
              <w:rPr>
                <w:rFonts w:cs="Arial"/>
                <w:bCs/>
                <w:color w:val="000000"/>
                <w:sz w:val="18"/>
                <w:szCs w:val="18"/>
                <w:lang w:eastAsia="en-GB" w:bidi="ar-SA"/>
              </w:rPr>
            </w:pPr>
            <w:r w:rsidRPr="002D2C2D">
              <w:rPr>
                <w:rFonts w:cs="Arial"/>
                <w:bCs/>
                <w:color w:val="000000"/>
                <w:sz w:val="18"/>
                <w:szCs w:val="18"/>
                <w:lang w:eastAsia="en-GB" w:bidi="ar-SA"/>
              </w:rPr>
              <w:t>20</w:t>
            </w:r>
          </w:p>
        </w:tc>
        <w:tc>
          <w:tcPr>
            <w:tcW w:w="1450" w:type="pct"/>
            <w:shd w:val="clear" w:color="auto" w:fill="D9D9D9" w:themeFill="background1" w:themeFillShade="D9"/>
            <w:vAlign w:val="center"/>
          </w:tcPr>
          <w:p w14:paraId="08A3AEFC" w14:textId="77777777" w:rsidR="0075508C" w:rsidRPr="002D2C2D" w:rsidRDefault="0075508C" w:rsidP="0075508C">
            <w:pPr>
              <w:rPr>
                <w:rFonts w:cs="Arial"/>
                <w:bCs/>
                <w:color w:val="000000"/>
                <w:sz w:val="18"/>
                <w:szCs w:val="18"/>
                <w:lang w:eastAsia="en-GB" w:bidi="ar-SA"/>
              </w:rPr>
            </w:pPr>
            <w:r w:rsidRPr="002D2C2D">
              <w:rPr>
                <w:rFonts w:cs="Arial"/>
                <w:bCs/>
                <w:color w:val="000000"/>
                <w:sz w:val="18"/>
                <w:szCs w:val="18"/>
                <w:lang w:eastAsia="en-GB" w:bidi="ar-SA"/>
              </w:rPr>
              <w:t>All Mixed Foods Commercial</w:t>
            </w:r>
          </w:p>
        </w:tc>
        <w:tc>
          <w:tcPr>
            <w:tcW w:w="263" w:type="pct"/>
            <w:vAlign w:val="center"/>
          </w:tcPr>
          <w:p w14:paraId="0A7CBC03" w14:textId="77777777" w:rsidR="0075508C" w:rsidRPr="002D2C2D" w:rsidRDefault="0075508C" w:rsidP="0075508C">
            <w:pPr>
              <w:tabs>
                <w:tab w:val="decimal" w:pos="340"/>
              </w:tabs>
              <w:rPr>
                <w:rFonts w:cs="Arial"/>
                <w:bCs/>
                <w:color w:val="000000"/>
                <w:sz w:val="18"/>
                <w:szCs w:val="18"/>
                <w:lang w:eastAsia="en-GB" w:bidi="ar-SA"/>
              </w:rPr>
            </w:pPr>
          </w:p>
        </w:tc>
        <w:tc>
          <w:tcPr>
            <w:tcW w:w="263" w:type="pct"/>
            <w:vAlign w:val="center"/>
          </w:tcPr>
          <w:p w14:paraId="6E4576FC" w14:textId="77777777" w:rsidR="0075508C" w:rsidRPr="002D2C2D" w:rsidRDefault="0075508C" w:rsidP="0075508C">
            <w:pPr>
              <w:tabs>
                <w:tab w:val="decimal" w:pos="340"/>
              </w:tabs>
              <w:rPr>
                <w:rFonts w:cs="Arial"/>
                <w:bCs/>
                <w:color w:val="000000"/>
                <w:sz w:val="18"/>
                <w:szCs w:val="18"/>
              </w:rPr>
            </w:pPr>
          </w:p>
        </w:tc>
        <w:tc>
          <w:tcPr>
            <w:tcW w:w="264" w:type="pct"/>
            <w:shd w:val="clear" w:color="auto" w:fill="D9D9D9" w:themeFill="background1" w:themeFillShade="D9"/>
            <w:vAlign w:val="center"/>
          </w:tcPr>
          <w:p w14:paraId="79F28EB7" w14:textId="77777777" w:rsidR="0075508C" w:rsidRPr="002D2C2D" w:rsidRDefault="0075508C" w:rsidP="0075508C">
            <w:pPr>
              <w:tabs>
                <w:tab w:val="decimal" w:pos="340"/>
              </w:tabs>
              <w:rPr>
                <w:rFonts w:cs="Arial"/>
                <w:bCs/>
                <w:color w:val="000000"/>
                <w:sz w:val="18"/>
                <w:szCs w:val="18"/>
                <w:lang w:eastAsia="en-GB" w:bidi="ar-SA"/>
              </w:rPr>
            </w:pPr>
            <w:r w:rsidRPr="002D2C2D">
              <w:rPr>
                <w:rFonts w:cs="Arial"/>
                <w:bCs/>
                <w:color w:val="000000"/>
                <w:sz w:val="18"/>
                <w:szCs w:val="18"/>
              </w:rPr>
              <w:t>16</w:t>
            </w:r>
          </w:p>
        </w:tc>
        <w:tc>
          <w:tcPr>
            <w:tcW w:w="263" w:type="pct"/>
            <w:vAlign w:val="center"/>
          </w:tcPr>
          <w:p w14:paraId="6959F558" w14:textId="77777777" w:rsidR="0075508C" w:rsidRPr="002D2C2D" w:rsidRDefault="0075508C" w:rsidP="0075508C">
            <w:pPr>
              <w:tabs>
                <w:tab w:val="decimal" w:pos="340"/>
              </w:tabs>
              <w:rPr>
                <w:rFonts w:cs="Arial"/>
                <w:bCs/>
                <w:color w:val="000000"/>
                <w:sz w:val="18"/>
                <w:szCs w:val="18"/>
                <w:lang w:eastAsia="en-GB" w:bidi="ar-SA"/>
              </w:rPr>
            </w:pPr>
          </w:p>
        </w:tc>
        <w:tc>
          <w:tcPr>
            <w:tcW w:w="263" w:type="pct"/>
            <w:vAlign w:val="center"/>
          </w:tcPr>
          <w:p w14:paraId="3B261C57" w14:textId="77777777" w:rsidR="0075508C" w:rsidRPr="002D2C2D" w:rsidRDefault="0075508C" w:rsidP="0075508C">
            <w:pPr>
              <w:tabs>
                <w:tab w:val="decimal" w:pos="340"/>
              </w:tabs>
              <w:rPr>
                <w:rFonts w:cs="Arial"/>
                <w:bCs/>
                <w:color w:val="000000"/>
                <w:sz w:val="18"/>
                <w:szCs w:val="18"/>
              </w:rPr>
            </w:pPr>
          </w:p>
        </w:tc>
        <w:tc>
          <w:tcPr>
            <w:tcW w:w="264" w:type="pct"/>
            <w:shd w:val="clear" w:color="auto" w:fill="D9D9D9" w:themeFill="background1" w:themeFillShade="D9"/>
            <w:vAlign w:val="center"/>
          </w:tcPr>
          <w:p w14:paraId="401A1A9C" w14:textId="77777777" w:rsidR="0075508C" w:rsidRPr="002D2C2D" w:rsidRDefault="0075508C" w:rsidP="0075508C">
            <w:pPr>
              <w:tabs>
                <w:tab w:val="decimal" w:pos="340"/>
              </w:tabs>
              <w:rPr>
                <w:rFonts w:cs="Arial"/>
                <w:bCs/>
                <w:color w:val="000000"/>
                <w:sz w:val="18"/>
                <w:szCs w:val="18"/>
                <w:lang w:eastAsia="en-GB" w:bidi="ar-SA"/>
              </w:rPr>
            </w:pPr>
            <w:r w:rsidRPr="002D2C2D">
              <w:rPr>
                <w:rFonts w:cs="Arial"/>
                <w:bCs/>
                <w:color w:val="000000"/>
                <w:sz w:val="18"/>
                <w:szCs w:val="18"/>
              </w:rPr>
              <w:t>17</w:t>
            </w:r>
          </w:p>
        </w:tc>
        <w:tc>
          <w:tcPr>
            <w:tcW w:w="263" w:type="pct"/>
            <w:vAlign w:val="center"/>
          </w:tcPr>
          <w:p w14:paraId="447BA6D1" w14:textId="77777777" w:rsidR="0075508C" w:rsidRPr="002D2C2D" w:rsidRDefault="0075508C" w:rsidP="0075508C">
            <w:pPr>
              <w:tabs>
                <w:tab w:val="decimal" w:pos="340"/>
              </w:tabs>
              <w:rPr>
                <w:rFonts w:cs="Arial"/>
                <w:bCs/>
                <w:sz w:val="18"/>
                <w:szCs w:val="18"/>
                <w:lang w:eastAsia="en-GB" w:bidi="ar-SA"/>
              </w:rPr>
            </w:pPr>
          </w:p>
        </w:tc>
        <w:tc>
          <w:tcPr>
            <w:tcW w:w="263" w:type="pct"/>
            <w:vAlign w:val="center"/>
          </w:tcPr>
          <w:p w14:paraId="56BB7917" w14:textId="77777777" w:rsidR="0075508C" w:rsidRPr="002D2C2D" w:rsidRDefault="0075508C" w:rsidP="0075508C">
            <w:pPr>
              <w:tabs>
                <w:tab w:val="decimal" w:pos="340"/>
              </w:tabs>
              <w:rPr>
                <w:rFonts w:cs="Arial"/>
                <w:bCs/>
                <w:sz w:val="18"/>
                <w:szCs w:val="18"/>
              </w:rPr>
            </w:pPr>
          </w:p>
        </w:tc>
        <w:tc>
          <w:tcPr>
            <w:tcW w:w="264" w:type="pct"/>
            <w:shd w:val="clear" w:color="auto" w:fill="D9D9D9" w:themeFill="background1" w:themeFillShade="D9"/>
            <w:vAlign w:val="center"/>
          </w:tcPr>
          <w:p w14:paraId="71214709" w14:textId="77777777" w:rsidR="0075508C" w:rsidRPr="002D2C2D" w:rsidRDefault="0075508C" w:rsidP="0075508C">
            <w:pPr>
              <w:tabs>
                <w:tab w:val="decimal" w:pos="340"/>
              </w:tabs>
              <w:rPr>
                <w:rFonts w:cs="Arial"/>
                <w:bCs/>
                <w:sz w:val="18"/>
                <w:szCs w:val="18"/>
                <w:lang w:eastAsia="en-GB" w:bidi="ar-SA"/>
              </w:rPr>
            </w:pPr>
            <w:r w:rsidRPr="002D2C2D">
              <w:rPr>
                <w:rFonts w:cs="Arial"/>
                <w:bCs/>
                <w:sz w:val="18"/>
                <w:szCs w:val="18"/>
              </w:rPr>
              <w:t>19</w:t>
            </w:r>
          </w:p>
        </w:tc>
        <w:tc>
          <w:tcPr>
            <w:tcW w:w="264" w:type="pct"/>
            <w:vAlign w:val="center"/>
          </w:tcPr>
          <w:p w14:paraId="24AF22C0" w14:textId="77777777" w:rsidR="0075508C" w:rsidRPr="002D2C2D" w:rsidRDefault="0075508C" w:rsidP="0075508C">
            <w:pPr>
              <w:tabs>
                <w:tab w:val="decimal" w:pos="340"/>
              </w:tabs>
              <w:rPr>
                <w:rFonts w:cs="Arial"/>
                <w:bCs/>
                <w:color w:val="000000"/>
                <w:sz w:val="18"/>
                <w:szCs w:val="18"/>
                <w:lang w:eastAsia="en-GB" w:bidi="ar-SA"/>
              </w:rPr>
            </w:pPr>
          </w:p>
        </w:tc>
        <w:tc>
          <w:tcPr>
            <w:tcW w:w="264" w:type="pct"/>
            <w:vAlign w:val="center"/>
          </w:tcPr>
          <w:p w14:paraId="6DD4EA9A" w14:textId="77777777" w:rsidR="0075508C" w:rsidRPr="002D2C2D" w:rsidRDefault="0075508C" w:rsidP="0075508C">
            <w:pPr>
              <w:tabs>
                <w:tab w:val="decimal" w:pos="340"/>
              </w:tabs>
              <w:rPr>
                <w:rFonts w:cs="Arial"/>
                <w:bCs/>
                <w:color w:val="000000"/>
                <w:sz w:val="18"/>
                <w:szCs w:val="18"/>
              </w:rPr>
            </w:pPr>
          </w:p>
        </w:tc>
        <w:tc>
          <w:tcPr>
            <w:tcW w:w="199" w:type="pct"/>
            <w:shd w:val="clear" w:color="auto" w:fill="D9D9D9" w:themeFill="background1" w:themeFillShade="D9"/>
            <w:vAlign w:val="center"/>
          </w:tcPr>
          <w:p w14:paraId="1C390165" w14:textId="45528AF1" w:rsidR="0075508C" w:rsidRPr="002D2C2D" w:rsidRDefault="0075508C" w:rsidP="0075508C">
            <w:pPr>
              <w:tabs>
                <w:tab w:val="decimal" w:pos="340"/>
              </w:tabs>
              <w:rPr>
                <w:rFonts w:cs="Arial"/>
                <w:bCs/>
                <w:color w:val="000000"/>
                <w:sz w:val="18"/>
                <w:szCs w:val="18"/>
                <w:lang w:eastAsia="en-GB" w:bidi="ar-SA"/>
              </w:rPr>
            </w:pPr>
            <w:r w:rsidRPr="002D2C2D">
              <w:rPr>
                <w:rFonts w:cs="Arial"/>
                <w:bCs/>
                <w:color w:val="000000"/>
                <w:sz w:val="18"/>
                <w:szCs w:val="18"/>
              </w:rPr>
              <w:t>19</w:t>
            </w:r>
          </w:p>
        </w:tc>
      </w:tr>
      <w:tr w:rsidR="00362DFE" w:rsidRPr="002D2C2D" w14:paraId="1C6644F5" w14:textId="77777777" w:rsidTr="00221A11">
        <w:trPr>
          <w:cantSplit/>
        </w:trPr>
        <w:tc>
          <w:tcPr>
            <w:tcW w:w="456" w:type="pct"/>
            <w:shd w:val="clear" w:color="auto" w:fill="D9D9D9" w:themeFill="background1" w:themeFillShade="D9"/>
            <w:vAlign w:val="center"/>
          </w:tcPr>
          <w:p w14:paraId="6CC7012E" w14:textId="6FAC15FD" w:rsidR="00362DFE" w:rsidRPr="002D2C2D" w:rsidRDefault="00362DFE" w:rsidP="00362DFE">
            <w:pPr>
              <w:rPr>
                <w:rFonts w:cs="Arial"/>
                <w:bCs/>
                <w:color w:val="000000"/>
                <w:sz w:val="18"/>
                <w:szCs w:val="18"/>
                <w:lang w:eastAsia="en-GB" w:bidi="ar-SA"/>
              </w:rPr>
            </w:pPr>
            <w:r>
              <w:rPr>
                <w:rFonts w:cs="Arial"/>
                <w:bCs/>
                <w:color w:val="000000"/>
                <w:sz w:val="18"/>
                <w:szCs w:val="18"/>
                <w:lang w:eastAsia="en-GB" w:bidi="ar-SA"/>
              </w:rPr>
              <w:t>20.2.3</w:t>
            </w:r>
          </w:p>
        </w:tc>
        <w:tc>
          <w:tcPr>
            <w:tcW w:w="1450" w:type="pct"/>
            <w:shd w:val="clear" w:color="auto" w:fill="D9D9D9" w:themeFill="background1" w:themeFillShade="D9"/>
            <w:vAlign w:val="center"/>
          </w:tcPr>
          <w:p w14:paraId="298536C0" w14:textId="4577C94C" w:rsidR="00362DFE" w:rsidRPr="002D2C2D" w:rsidRDefault="00362DFE" w:rsidP="00362DFE">
            <w:pPr>
              <w:rPr>
                <w:rFonts w:cs="Arial"/>
                <w:bCs/>
                <w:color w:val="000000"/>
                <w:sz w:val="18"/>
                <w:szCs w:val="18"/>
                <w:lang w:eastAsia="en-GB" w:bidi="ar-SA"/>
              </w:rPr>
            </w:pPr>
            <w:r>
              <w:rPr>
                <w:rFonts w:cs="Arial"/>
                <w:bCs/>
                <w:color w:val="000000"/>
                <w:sz w:val="18"/>
                <w:szCs w:val="18"/>
                <w:lang w:eastAsia="en-GB" w:bidi="ar-SA"/>
              </w:rPr>
              <w:tab/>
            </w:r>
            <w:r w:rsidRPr="00B83846">
              <w:rPr>
                <w:rFonts w:cs="Arial"/>
                <w:color w:val="000000"/>
                <w:sz w:val="18"/>
                <w:szCs w:val="18"/>
              </w:rPr>
              <w:t>Ready-to-eat muesli</w:t>
            </w:r>
          </w:p>
        </w:tc>
        <w:tc>
          <w:tcPr>
            <w:tcW w:w="263" w:type="pct"/>
            <w:shd w:val="clear" w:color="auto" w:fill="auto"/>
            <w:vAlign w:val="center"/>
          </w:tcPr>
          <w:p w14:paraId="76923319" w14:textId="77777777" w:rsidR="00362DFE" w:rsidRPr="002D2C2D" w:rsidRDefault="00362DFE" w:rsidP="00362DFE">
            <w:pPr>
              <w:tabs>
                <w:tab w:val="decimal" w:pos="340"/>
              </w:tabs>
              <w:rPr>
                <w:rFonts w:cs="Arial"/>
                <w:bCs/>
                <w:color w:val="000000"/>
                <w:sz w:val="18"/>
                <w:szCs w:val="18"/>
                <w:lang w:eastAsia="en-GB" w:bidi="ar-SA"/>
              </w:rPr>
            </w:pPr>
          </w:p>
        </w:tc>
        <w:tc>
          <w:tcPr>
            <w:tcW w:w="263" w:type="pct"/>
            <w:shd w:val="clear" w:color="auto" w:fill="auto"/>
            <w:vAlign w:val="center"/>
          </w:tcPr>
          <w:p w14:paraId="61BF2DA2" w14:textId="77777777" w:rsidR="00362DFE" w:rsidRPr="002D2C2D" w:rsidRDefault="00362DFE" w:rsidP="00362DFE">
            <w:pPr>
              <w:tabs>
                <w:tab w:val="decimal" w:pos="340"/>
              </w:tabs>
              <w:rPr>
                <w:rFonts w:cs="Arial"/>
                <w:bCs/>
                <w:color w:val="000000"/>
                <w:sz w:val="18"/>
                <w:szCs w:val="18"/>
              </w:rPr>
            </w:pPr>
          </w:p>
        </w:tc>
        <w:tc>
          <w:tcPr>
            <w:tcW w:w="264" w:type="pct"/>
            <w:shd w:val="clear" w:color="auto" w:fill="D9D9D9" w:themeFill="background1" w:themeFillShade="D9"/>
            <w:vAlign w:val="center"/>
          </w:tcPr>
          <w:p w14:paraId="7E467AE3" w14:textId="6172BBF2" w:rsidR="00362DFE" w:rsidRPr="002D2C2D" w:rsidRDefault="00362DFE" w:rsidP="00362DFE">
            <w:pPr>
              <w:tabs>
                <w:tab w:val="decimal" w:pos="340"/>
              </w:tabs>
              <w:rPr>
                <w:rFonts w:cs="Arial"/>
                <w:bCs/>
                <w:color w:val="000000"/>
                <w:sz w:val="18"/>
                <w:szCs w:val="18"/>
              </w:rPr>
            </w:pPr>
            <w:r w:rsidRPr="00B83846">
              <w:rPr>
                <w:rFonts w:cs="Arial"/>
                <w:color w:val="000000"/>
                <w:sz w:val="18"/>
                <w:szCs w:val="18"/>
              </w:rPr>
              <w:t>3</w:t>
            </w:r>
          </w:p>
        </w:tc>
        <w:tc>
          <w:tcPr>
            <w:tcW w:w="263" w:type="pct"/>
            <w:shd w:val="clear" w:color="auto" w:fill="auto"/>
            <w:vAlign w:val="center"/>
          </w:tcPr>
          <w:p w14:paraId="70E54AE7" w14:textId="77777777" w:rsidR="00362DFE" w:rsidRPr="002D2C2D" w:rsidRDefault="00362DFE" w:rsidP="00362DFE">
            <w:pPr>
              <w:tabs>
                <w:tab w:val="decimal" w:pos="340"/>
              </w:tabs>
              <w:rPr>
                <w:rFonts w:cs="Arial"/>
                <w:bCs/>
                <w:color w:val="000000"/>
                <w:sz w:val="18"/>
                <w:szCs w:val="18"/>
                <w:lang w:eastAsia="en-GB" w:bidi="ar-SA"/>
              </w:rPr>
            </w:pPr>
          </w:p>
        </w:tc>
        <w:tc>
          <w:tcPr>
            <w:tcW w:w="263" w:type="pct"/>
            <w:shd w:val="clear" w:color="auto" w:fill="auto"/>
            <w:vAlign w:val="center"/>
          </w:tcPr>
          <w:p w14:paraId="27776440" w14:textId="77777777" w:rsidR="00362DFE" w:rsidRPr="002D2C2D" w:rsidRDefault="00362DFE" w:rsidP="00362DFE">
            <w:pPr>
              <w:tabs>
                <w:tab w:val="decimal" w:pos="340"/>
              </w:tabs>
              <w:rPr>
                <w:rFonts w:cs="Arial"/>
                <w:bCs/>
                <w:color w:val="000000"/>
                <w:sz w:val="18"/>
                <w:szCs w:val="18"/>
              </w:rPr>
            </w:pPr>
          </w:p>
        </w:tc>
        <w:tc>
          <w:tcPr>
            <w:tcW w:w="264" w:type="pct"/>
            <w:shd w:val="clear" w:color="auto" w:fill="D9D9D9" w:themeFill="background1" w:themeFillShade="D9"/>
            <w:vAlign w:val="center"/>
          </w:tcPr>
          <w:p w14:paraId="2A4DA71F" w14:textId="09A11646" w:rsidR="00362DFE" w:rsidRPr="002D2C2D" w:rsidRDefault="00362DFE" w:rsidP="00362DFE">
            <w:pPr>
              <w:tabs>
                <w:tab w:val="decimal" w:pos="340"/>
              </w:tabs>
              <w:rPr>
                <w:rFonts w:cs="Arial"/>
                <w:bCs/>
                <w:color w:val="000000"/>
                <w:sz w:val="18"/>
                <w:szCs w:val="18"/>
              </w:rPr>
            </w:pPr>
            <w:r w:rsidRPr="00B83846">
              <w:rPr>
                <w:rFonts w:cs="Arial"/>
                <w:color w:val="000000"/>
                <w:sz w:val="18"/>
                <w:szCs w:val="18"/>
              </w:rPr>
              <w:t>5</w:t>
            </w:r>
          </w:p>
        </w:tc>
        <w:tc>
          <w:tcPr>
            <w:tcW w:w="263" w:type="pct"/>
            <w:shd w:val="clear" w:color="auto" w:fill="auto"/>
            <w:vAlign w:val="center"/>
          </w:tcPr>
          <w:p w14:paraId="001108C3" w14:textId="77777777" w:rsidR="00362DFE" w:rsidRPr="002D2C2D" w:rsidRDefault="00362DFE" w:rsidP="00362DFE">
            <w:pPr>
              <w:tabs>
                <w:tab w:val="decimal" w:pos="340"/>
              </w:tabs>
              <w:rPr>
                <w:rFonts w:cs="Arial"/>
                <w:bCs/>
                <w:sz w:val="18"/>
                <w:szCs w:val="18"/>
                <w:lang w:eastAsia="en-GB" w:bidi="ar-SA"/>
              </w:rPr>
            </w:pPr>
          </w:p>
        </w:tc>
        <w:tc>
          <w:tcPr>
            <w:tcW w:w="263" w:type="pct"/>
            <w:shd w:val="clear" w:color="auto" w:fill="auto"/>
            <w:vAlign w:val="center"/>
          </w:tcPr>
          <w:p w14:paraId="2889D2AB" w14:textId="77777777" w:rsidR="00362DFE" w:rsidRPr="002D2C2D" w:rsidRDefault="00362DFE" w:rsidP="00362DFE">
            <w:pPr>
              <w:tabs>
                <w:tab w:val="decimal" w:pos="340"/>
              </w:tabs>
              <w:rPr>
                <w:rFonts w:cs="Arial"/>
                <w:bCs/>
                <w:sz w:val="18"/>
                <w:szCs w:val="18"/>
              </w:rPr>
            </w:pPr>
          </w:p>
        </w:tc>
        <w:tc>
          <w:tcPr>
            <w:tcW w:w="264" w:type="pct"/>
            <w:shd w:val="clear" w:color="auto" w:fill="D9D9D9" w:themeFill="background1" w:themeFillShade="D9"/>
            <w:vAlign w:val="center"/>
          </w:tcPr>
          <w:p w14:paraId="4A63BBF2" w14:textId="03E0295D" w:rsidR="00362DFE" w:rsidRPr="002D2C2D" w:rsidRDefault="00362DFE" w:rsidP="00362DFE">
            <w:pPr>
              <w:tabs>
                <w:tab w:val="decimal" w:pos="340"/>
              </w:tabs>
              <w:rPr>
                <w:rFonts w:cs="Arial"/>
                <w:bCs/>
                <w:sz w:val="18"/>
                <w:szCs w:val="18"/>
              </w:rPr>
            </w:pPr>
            <w:r w:rsidRPr="00B83846">
              <w:rPr>
                <w:rFonts w:cs="Arial"/>
                <w:color w:val="000000"/>
                <w:sz w:val="18"/>
                <w:szCs w:val="18"/>
              </w:rPr>
              <w:t>1</w:t>
            </w:r>
            <w:r w:rsidRPr="00EE13DF">
              <w:rPr>
                <w:rFonts w:cs="Arial"/>
                <w:color w:val="000000"/>
                <w:sz w:val="18"/>
                <w:szCs w:val="18"/>
              </w:rPr>
              <w:t>3</w:t>
            </w:r>
          </w:p>
        </w:tc>
        <w:tc>
          <w:tcPr>
            <w:tcW w:w="264" w:type="pct"/>
            <w:shd w:val="clear" w:color="auto" w:fill="auto"/>
            <w:vAlign w:val="center"/>
          </w:tcPr>
          <w:p w14:paraId="6F2E0183" w14:textId="77777777" w:rsidR="00362DFE" w:rsidRPr="002D2C2D" w:rsidRDefault="00362DFE" w:rsidP="00362DFE">
            <w:pPr>
              <w:tabs>
                <w:tab w:val="decimal" w:pos="340"/>
              </w:tabs>
              <w:rPr>
                <w:rFonts w:cs="Arial"/>
                <w:bCs/>
                <w:color w:val="000000"/>
                <w:sz w:val="18"/>
                <w:szCs w:val="18"/>
                <w:lang w:eastAsia="en-GB" w:bidi="ar-SA"/>
              </w:rPr>
            </w:pPr>
          </w:p>
        </w:tc>
        <w:tc>
          <w:tcPr>
            <w:tcW w:w="264" w:type="pct"/>
            <w:shd w:val="clear" w:color="auto" w:fill="auto"/>
            <w:vAlign w:val="center"/>
          </w:tcPr>
          <w:p w14:paraId="52FCED2F" w14:textId="77777777" w:rsidR="00362DFE" w:rsidRPr="002D2C2D" w:rsidRDefault="00362DFE" w:rsidP="00362DFE">
            <w:pPr>
              <w:tabs>
                <w:tab w:val="decimal" w:pos="340"/>
              </w:tabs>
              <w:rPr>
                <w:rFonts w:cs="Arial"/>
                <w:bCs/>
                <w:color w:val="000000"/>
                <w:sz w:val="18"/>
                <w:szCs w:val="18"/>
              </w:rPr>
            </w:pPr>
          </w:p>
        </w:tc>
        <w:tc>
          <w:tcPr>
            <w:tcW w:w="199" w:type="pct"/>
            <w:shd w:val="clear" w:color="auto" w:fill="D9D9D9" w:themeFill="background1" w:themeFillShade="D9"/>
            <w:vAlign w:val="center"/>
          </w:tcPr>
          <w:p w14:paraId="4C2401CF" w14:textId="499F9586" w:rsidR="00362DFE" w:rsidRPr="002D2C2D" w:rsidRDefault="00362DFE" w:rsidP="00362DFE">
            <w:pPr>
              <w:tabs>
                <w:tab w:val="decimal" w:pos="340"/>
              </w:tabs>
              <w:rPr>
                <w:rFonts w:cs="Arial"/>
                <w:bCs/>
                <w:color w:val="000000"/>
                <w:sz w:val="18"/>
                <w:szCs w:val="18"/>
              </w:rPr>
            </w:pPr>
            <w:r w:rsidRPr="00B83846">
              <w:rPr>
                <w:rFonts w:cs="Arial"/>
                <w:color w:val="000000"/>
                <w:sz w:val="18"/>
                <w:szCs w:val="18"/>
              </w:rPr>
              <w:t>11</w:t>
            </w:r>
          </w:p>
        </w:tc>
      </w:tr>
      <w:tr w:rsidR="00362DFE" w:rsidRPr="002D2C2D" w14:paraId="014453FC" w14:textId="77777777" w:rsidTr="00221A11">
        <w:trPr>
          <w:cantSplit/>
        </w:trPr>
        <w:tc>
          <w:tcPr>
            <w:tcW w:w="456" w:type="pct"/>
            <w:shd w:val="clear" w:color="auto" w:fill="D9D9D9" w:themeFill="background1" w:themeFillShade="D9"/>
            <w:vAlign w:val="center"/>
          </w:tcPr>
          <w:p w14:paraId="27D06C64" w14:textId="3870AA27" w:rsidR="00362DFE" w:rsidRDefault="00362DFE" w:rsidP="00362DFE">
            <w:pPr>
              <w:rPr>
                <w:rFonts w:cs="Arial"/>
                <w:bCs/>
                <w:color w:val="000000"/>
                <w:sz w:val="18"/>
                <w:szCs w:val="18"/>
                <w:lang w:eastAsia="en-GB" w:bidi="ar-SA"/>
              </w:rPr>
            </w:pPr>
            <w:r>
              <w:rPr>
                <w:rFonts w:cs="Arial"/>
                <w:bCs/>
                <w:color w:val="000000"/>
                <w:sz w:val="18"/>
                <w:szCs w:val="18"/>
                <w:lang w:eastAsia="en-GB" w:bidi="ar-SA"/>
              </w:rPr>
              <w:t>20.2.2.3</w:t>
            </w:r>
          </w:p>
        </w:tc>
        <w:tc>
          <w:tcPr>
            <w:tcW w:w="1450" w:type="pct"/>
            <w:tcBorders>
              <w:bottom w:val="single" w:sz="4" w:space="0" w:color="auto"/>
            </w:tcBorders>
            <w:shd w:val="clear" w:color="auto" w:fill="D9D9D9" w:themeFill="background1" w:themeFillShade="D9"/>
            <w:vAlign w:val="center"/>
          </w:tcPr>
          <w:p w14:paraId="01DAF433" w14:textId="46871F3C" w:rsidR="00362DFE" w:rsidRPr="002D2C2D" w:rsidRDefault="00362DFE" w:rsidP="00362DFE">
            <w:pPr>
              <w:rPr>
                <w:rFonts w:cs="Arial"/>
                <w:bCs/>
                <w:color w:val="000000"/>
                <w:sz w:val="18"/>
                <w:szCs w:val="18"/>
                <w:lang w:eastAsia="en-GB" w:bidi="ar-SA"/>
              </w:rPr>
            </w:pPr>
            <w:r>
              <w:rPr>
                <w:rFonts w:cs="Arial"/>
                <w:bCs/>
                <w:color w:val="000000"/>
                <w:sz w:val="18"/>
                <w:szCs w:val="18"/>
                <w:lang w:eastAsia="en-GB" w:bidi="ar-SA"/>
              </w:rPr>
              <w:tab/>
            </w:r>
            <w:r w:rsidRPr="00B83846">
              <w:rPr>
                <w:rFonts w:cs="Arial"/>
                <w:color w:val="000000"/>
                <w:sz w:val="18"/>
                <w:szCs w:val="18"/>
                <w:lang w:eastAsia="en-GB" w:bidi="ar-SA"/>
              </w:rPr>
              <w:t>Cereal products, bars</w:t>
            </w:r>
          </w:p>
        </w:tc>
        <w:tc>
          <w:tcPr>
            <w:tcW w:w="263" w:type="pct"/>
            <w:shd w:val="clear" w:color="auto" w:fill="auto"/>
            <w:vAlign w:val="center"/>
          </w:tcPr>
          <w:p w14:paraId="47D70106" w14:textId="77777777" w:rsidR="00362DFE" w:rsidRPr="002D2C2D" w:rsidRDefault="00362DFE" w:rsidP="00362DFE">
            <w:pPr>
              <w:tabs>
                <w:tab w:val="decimal" w:pos="340"/>
              </w:tabs>
              <w:rPr>
                <w:rFonts w:cs="Arial"/>
                <w:bCs/>
                <w:color w:val="000000"/>
                <w:sz w:val="18"/>
                <w:szCs w:val="18"/>
                <w:lang w:eastAsia="en-GB" w:bidi="ar-SA"/>
              </w:rPr>
            </w:pPr>
          </w:p>
        </w:tc>
        <w:tc>
          <w:tcPr>
            <w:tcW w:w="263" w:type="pct"/>
            <w:shd w:val="clear" w:color="auto" w:fill="auto"/>
            <w:vAlign w:val="center"/>
          </w:tcPr>
          <w:p w14:paraId="1E4F1B60" w14:textId="77777777" w:rsidR="00362DFE" w:rsidRPr="002D2C2D" w:rsidRDefault="00362DFE" w:rsidP="00362DFE">
            <w:pPr>
              <w:tabs>
                <w:tab w:val="decimal" w:pos="340"/>
              </w:tabs>
              <w:rPr>
                <w:rFonts w:cs="Arial"/>
                <w:bCs/>
                <w:color w:val="000000"/>
                <w:sz w:val="18"/>
                <w:szCs w:val="18"/>
              </w:rPr>
            </w:pPr>
          </w:p>
        </w:tc>
        <w:tc>
          <w:tcPr>
            <w:tcW w:w="264" w:type="pct"/>
            <w:shd w:val="clear" w:color="auto" w:fill="D9D9D9" w:themeFill="background1" w:themeFillShade="D9"/>
            <w:vAlign w:val="center"/>
          </w:tcPr>
          <w:p w14:paraId="5BD9F456" w14:textId="0A090C15" w:rsidR="00362DFE" w:rsidRPr="002D2C2D" w:rsidRDefault="00362DFE" w:rsidP="00362DFE">
            <w:pPr>
              <w:tabs>
                <w:tab w:val="decimal" w:pos="340"/>
              </w:tabs>
              <w:rPr>
                <w:rFonts w:cs="Arial"/>
                <w:bCs/>
                <w:color w:val="000000"/>
                <w:sz w:val="18"/>
                <w:szCs w:val="18"/>
              </w:rPr>
            </w:pPr>
            <w:r w:rsidRPr="00B83846">
              <w:rPr>
                <w:rFonts w:cs="Arial"/>
                <w:color w:val="000000"/>
                <w:sz w:val="18"/>
                <w:szCs w:val="18"/>
              </w:rPr>
              <w:t>12</w:t>
            </w:r>
          </w:p>
        </w:tc>
        <w:tc>
          <w:tcPr>
            <w:tcW w:w="263" w:type="pct"/>
            <w:shd w:val="clear" w:color="auto" w:fill="auto"/>
            <w:vAlign w:val="center"/>
          </w:tcPr>
          <w:p w14:paraId="537F6580" w14:textId="77777777" w:rsidR="00362DFE" w:rsidRPr="002D2C2D" w:rsidRDefault="00362DFE" w:rsidP="00362DFE">
            <w:pPr>
              <w:tabs>
                <w:tab w:val="decimal" w:pos="340"/>
              </w:tabs>
              <w:rPr>
                <w:rFonts w:cs="Arial"/>
                <w:bCs/>
                <w:color w:val="000000"/>
                <w:sz w:val="18"/>
                <w:szCs w:val="18"/>
                <w:lang w:eastAsia="en-GB" w:bidi="ar-SA"/>
              </w:rPr>
            </w:pPr>
          </w:p>
        </w:tc>
        <w:tc>
          <w:tcPr>
            <w:tcW w:w="263" w:type="pct"/>
            <w:shd w:val="clear" w:color="auto" w:fill="auto"/>
            <w:vAlign w:val="center"/>
          </w:tcPr>
          <w:p w14:paraId="5965CCAB" w14:textId="77777777" w:rsidR="00362DFE" w:rsidRPr="002D2C2D" w:rsidRDefault="00362DFE" w:rsidP="00362DFE">
            <w:pPr>
              <w:tabs>
                <w:tab w:val="decimal" w:pos="340"/>
              </w:tabs>
              <w:rPr>
                <w:rFonts w:cs="Arial"/>
                <w:bCs/>
                <w:color w:val="000000"/>
                <w:sz w:val="18"/>
                <w:szCs w:val="18"/>
              </w:rPr>
            </w:pPr>
          </w:p>
        </w:tc>
        <w:tc>
          <w:tcPr>
            <w:tcW w:w="264" w:type="pct"/>
            <w:shd w:val="clear" w:color="auto" w:fill="D9D9D9" w:themeFill="background1" w:themeFillShade="D9"/>
            <w:vAlign w:val="center"/>
          </w:tcPr>
          <w:p w14:paraId="3169AEEA" w14:textId="182136FB" w:rsidR="00362DFE" w:rsidRPr="002D2C2D" w:rsidRDefault="00362DFE" w:rsidP="00362DFE">
            <w:pPr>
              <w:tabs>
                <w:tab w:val="decimal" w:pos="340"/>
              </w:tabs>
              <w:rPr>
                <w:rFonts w:cs="Arial"/>
                <w:bCs/>
                <w:color w:val="000000"/>
                <w:sz w:val="18"/>
                <w:szCs w:val="18"/>
              </w:rPr>
            </w:pPr>
            <w:r w:rsidRPr="00B83846">
              <w:rPr>
                <w:rFonts w:cs="Arial"/>
                <w:color w:val="000000"/>
                <w:sz w:val="18"/>
                <w:szCs w:val="18"/>
              </w:rPr>
              <w:t>12</w:t>
            </w:r>
          </w:p>
        </w:tc>
        <w:tc>
          <w:tcPr>
            <w:tcW w:w="263" w:type="pct"/>
            <w:shd w:val="clear" w:color="auto" w:fill="auto"/>
            <w:vAlign w:val="center"/>
          </w:tcPr>
          <w:p w14:paraId="3E6804F9" w14:textId="77777777" w:rsidR="00362DFE" w:rsidRPr="002D2C2D" w:rsidRDefault="00362DFE" w:rsidP="00362DFE">
            <w:pPr>
              <w:tabs>
                <w:tab w:val="decimal" w:pos="340"/>
              </w:tabs>
              <w:rPr>
                <w:rFonts w:cs="Arial"/>
                <w:bCs/>
                <w:sz w:val="18"/>
                <w:szCs w:val="18"/>
                <w:lang w:eastAsia="en-GB" w:bidi="ar-SA"/>
              </w:rPr>
            </w:pPr>
          </w:p>
        </w:tc>
        <w:tc>
          <w:tcPr>
            <w:tcW w:w="263" w:type="pct"/>
            <w:shd w:val="clear" w:color="auto" w:fill="auto"/>
            <w:vAlign w:val="center"/>
          </w:tcPr>
          <w:p w14:paraId="3793A69D" w14:textId="77777777" w:rsidR="00362DFE" w:rsidRPr="002D2C2D" w:rsidRDefault="00362DFE" w:rsidP="00362DFE">
            <w:pPr>
              <w:tabs>
                <w:tab w:val="decimal" w:pos="340"/>
              </w:tabs>
              <w:rPr>
                <w:rFonts w:cs="Arial"/>
                <w:bCs/>
                <w:sz w:val="18"/>
                <w:szCs w:val="18"/>
              </w:rPr>
            </w:pPr>
          </w:p>
        </w:tc>
        <w:tc>
          <w:tcPr>
            <w:tcW w:w="264" w:type="pct"/>
            <w:shd w:val="clear" w:color="auto" w:fill="D9D9D9" w:themeFill="background1" w:themeFillShade="D9"/>
            <w:vAlign w:val="center"/>
          </w:tcPr>
          <w:p w14:paraId="366BACED" w14:textId="4D46FB3F" w:rsidR="00362DFE" w:rsidRPr="002D2C2D" w:rsidRDefault="00362DFE" w:rsidP="00362DFE">
            <w:pPr>
              <w:tabs>
                <w:tab w:val="decimal" w:pos="340"/>
              </w:tabs>
              <w:rPr>
                <w:rFonts w:cs="Arial"/>
                <w:bCs/>
                <w:sz w:val="18"/>
                <w:szCs w:val="18"/>
              </w:rPr>
            </w:pPr>
            <w:r w:rsidRPr="00B83846">
              <w:rPr>
                <w:rFonts w:cs="Arial"/>
                <w:color w:val="000000"/>
                <w:sz w:val="18"/>
                <w:szCs w:val="18"/>
              </w:rPr>
              <w:t>5</w:t>
            </w:r>
          </w:p>
        </w:tc>
        <w:tc>
          <w:tcPr>
            <w:tcW w:w="264" w:type="pct"/>
            <w:shd w:val="clear" w:color="auto" w:fill="auto"/>
            <w:vAlign w:val="center"/>
          </w:tcPr>
          <w:p w14:paraId="5BD5DC68" w14:textId="77777777" w:rsidR="00362DFE" w:rsidRPr="002D2C2D" w:rsidRDefault="00362DFE" w:rsidP="00362DFE">
            <w:pPr>
              <w:tabs>
                <w:tab w:val="decimal" w:pos="340"/>
              </w:tabs>
              <w:rPr>
                <w:rFonts w:cs="Arial"/>
                <w:bCs/>
                <w:color w:val="000000"/>
                <w:sz w:val="18"/>
                <w:szCs w:val="18"/>
                <w:lang w:eastAsia="en-GB" w:bidi="ar-SA"/>
              </w:rPr>
            </w:pPr>
          </w:p>
        </w:tc>
        <w:tc>
          <w:tcPr>
            <w:tcW w:w="264" w:type="pct"/>
            <w:shd w:val="clear" w:color="auto" w:fill="auto"/>
            <w:vAlign w:val="center"/>
          </w:tcPr>
          <w:p w14:paraId="36757998" w14:textId="77777777" w:rsidR="00362DFE" w:rsidRPr="002D2C2D" w:rsidRDefault="00362DFE" w:rsidP="00362DFE">
            <w:pPr>
              <w:tabs>
                <w:tab w:val="decimal" w:pos="340"/>
              </w:tabs>
              <w:rPr>
                <w:rFonts w:cs="Arial"/>
                <w:bCs/>
                <w:color w:val="000000"/>
                <w:sz w:val="18"/>
                <w:szCs w:val="18"/>
              </w:rPr>
            </w:pPr>
          </w:p>
        </w:tc>
        <w:tc>
          <w:tcPr>
            <w:tcW w:w="199" w:type="pct"/>
            <w:shd w:val="clear" w:color="auto" w:fill="D9D9D9" w:themeFill="background1" w:themeFillShade="D9"/>
            <w:vAlign w:val="center"/>
          </w:tcPr>
          <w:p w14:paraId="53C680B4" w14:textId="20500230" w:rsidR="00362DFE" w:rsidRDefault="00362DFE" w:rsidP="00362DFE">
            <w:pPr>
              <w:tabs>
                <w:tab w:val="decimal" w:pos="340"/>
              </w:tabs>
              <w:rPr>
                <w:rFonts w:cs="Arial"/>
                <w:bCs/>
                <w:color w:val="000000"/>
                <w:sz w:val="18"/>
                <w:szCs w:val="18"/>
              </w:rPr>
            </w:pPr>
            <w:r w:rsidRPr="00B83846">
              <w:rPr>
                <w:rFonts w:cs="Arial"/>
                <w:color w:val="000000"/>
                <w:sz w:val="18"/>
                <w:szCs w:val="18"/>
              </w:rPr>
              <w:t>6</w:t>
            </w:r>
          </w:p>
        </w:tc>
      </w:tr>
    </w:tbl>
    <w:p w14:paraId="43BE4EDF" w14:textId="77777777" w:rsidR="00E907D7" w:rsidRPr="00B83846" w:rsidRDefault="00E907D7" w:rsidP="00E907D7">
      <w:pPr>
        <w:keepNext/>
        <w:keepLines/>
        <w:widowControl/>
        <w:rPr>
          <w:sz w:val="16"/>
          <w:szCs w:val="20"/>
        </w:rPr>
      </w:pPr>
      <w:r w:rsidRPr="00B83846">
        <w:rPr>
          <w:b/>
          <w:sz w:val="16"/>
          <w:szCs w:val="20"/>
        </w:rPr>
        <w:t xml:space="preserve">Note: </w:t>
      </w:r>
      <w:r w:rsidRPr="00B83846">
        <w:rPr>
          <w:sz w:val="16"/>
          <w:szCs w:val="20"/>
        </w:rPr>
        <w:t>Gray shading indicates that the food category / group is a major contributor to L-carnitine dietary intakes</w:t>
      </w:r>
    </w:p>
    <w:p w14:paraId="76E4990D" w14:textId="77777777" w:rsidR="00E907D7" w:rsidRPr="00B83846" w:rsidRDefault="00E907D7" w:rsidP="00E907D7">
      <w:pPr>
        <w:widowControl/>
        <w:rPr>
          <w:sz w:val="20"/>
          <w:szCs w:val="20"/>
        </w:rPr>
      </w:pPr>
      <w:r w:rsidRPr="00B83846">
        <w:rPr>
          <w:sz w:val="20"/>
          <w:szCs w:val="20"/>
        </w:rPr>
        <w:br w:type="page"/>
      </w:r>
    </w:p>
    <w:tbl>
      <w:tblPr>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ontributing food categories and food groups for Australian population groups for the Baseline and Consumer Behaviour scenarios using Day 1 and 2 of the 2011-12 NNPAS. Major contributors (greater than or equal to 5% contribution) are also listed."/>
      </w:tblPr>
      <w:tblGrid>
        <w:gridCol w:w="1276"/>
        <w:gridCol w:w="451"/>
        <w:gridCol w:w="437"/>
        <w:gridCol w:w="3027"/>
        <w:gridCol w:w="725"/>
        <w:gridCol w:w="725"/>
        <w:gridCol w:w="725"/>
        <w:gridCol w:w="725"/>
        <w:gridCol w:w="725"/>
        <w:gridCol w:w="725"/>
        <w:gridCol w:w="827"/>
        <w:gridCol w:w="827"/>
        <w:gridCol w:w="827"/>
        <w:gridCol w:w="827"/>
        <w:gridCol w:w="827"/>
        <w:gridCol w:w="556"/>
      </w:tblGrid>
      <w:tr w:rsidR="00E907D7" w:rsidRPr="00B83846" w14:paraId="69B126CF" w14:textId="77777777" w:rsidTr="00DA2B03">
        <w:trPr>
          <w:cantSplit/>
          <w:tblHeader/>
        </w:trPr>
        <w:tc>
          <w:tcPr>
            <w:tcW w:w="14232" w:type="dxa"/>
            <w:gridSpan w:val="16"/>
            <w:tcBorders>
              <w:top w:val="nil"/>
              <w:left w:val="nil"/>
              <w:bottom w:val="single" w:sz="4" w:space="0" w:color="auto"/>
              <w:right w:val="nil"/>
            </w:tcBorders>
            <w:shd w:val="clear" w:color="auto" w:fill="auto"/>
            <w:vAlign w:val="center"/>
          </w:tcPr>
          <w:p w14:paraId="3AD071F9" w14:textId="2450FBC2" w:rsidR="00E907D7" w:rsidRPr="00B83846" w:rsidRDefault="00E907D7" w:rsidP="00A05C00">
            <w:pPr>
              <w:pStyle w:val="FSTableTitle"/>
              <w:rPr>
                <w:bCs/>
                <w:color w:val="000000"/>
                <w:lang w:eastAsia="en-GB"/>
              </w:rPr>
            </w:pPr>
            <w:bookmarkStart w:id="110" w:name="_Ref512528881"/>
            <w:r w:rsidRPr="00B83846">
              <w:lastRenderedPageBreak/>
              <w:t>Table A</w:t>
            </w:r>
            <w:r w:rsidR="00A05C00">
              <w:t>3</w:t>
            </w:r>
            <w:r>
              <w:t>.</w:t>
            </w:r>
            <w:r w:rsidR="00BE485E">
              <w:rPr>
                <w:noProof/>
              </w:rPr>
              <w:fldChar w:fldCharType="begin"/>
            </w:r>
            <w:r w:rsidR="00BE485E">
              <w:rPr>
                <w:noProof/>
              </w:rPr>
              <w:instrText xml:space="preserve"> SEQ Table_A \* ARABIC \s 1 </w:instrText>
            </w:r>
            <w:r w:rsidR="00BE485E">
              <w:rPr>
                <w:noProof/>
              </w:rPr>
              <w:fldChar w:fldCharType="separate"/>
            </w:r>
            <w:r w:rsidR="00872715">
              <w:rPr>
                <w:noProof/>
              </w:rPr>
              <w:t>3</w:t>
            </w:r>
            <w:r w:rsidR="00BE485E">
              <w:rPr>
                <w:noProof/>
              </w:rPr>
              <w:fldChar w:fldCharType="end"/>
            </w:r>
            <w:bookmarkEnd w:id="110"/>
            <w:r w:rsidRPr="00B83846">
              <w:t>: Food contributors to L-carnitine dietary intakes for Australia, based on Day 1 and 2 of the 2011-12 NNPAS, for specific population groups</w:t>
            </w:r>
          </w:p>
        </w:tc>
      </w:tr>
      <w:tr w:rsidR="00E907D7" w:rsidRPr="00B83846" w14:paraId="3488F291" w14:textId="77777777" w:rsidTr="00DA2B03">
        <w:trPr>
          <w:cantSplit/>
          <w:tblHeader/>
        </w:trPr>
        <w:tc>
          <w:tcPr>
            <w:tcW w:w="1276" w:type="dxa"/>
            <w:tcBorders>
              <w:top w:val="single" w:sz="4" w:space="0" w:color="auto"/>
              <w:bottom w:val="nil"/>
            </w:tcBorders>
            <w:shd w:val="clear" w:color="auto" w:fill="auto"/>
            <w:vAlign w:val="center"/>
          </w:tcPr>
          <w:p w14:paraId="4C2ACCBC"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Food Code</w:t>
            </w:r>
          </w:p>
        </w:tc>
        <w:tc>
          <w:tcPr>
            <w:tcW w:w="3915" w:type="dxa"/>
            <w:gridSpan w:val="3"/>
            <w:tcBorders>
              <w:top w:val="single" w:sz="4" w:space="0" w:color="auto"/>
              <w:bottom w:val="nil"/>
            </w:tcBorders>
            <w:shd w:val="clear" w:color="auto" w:fill="auto"/>
            <w:vAlign w:val="center"/>
          </w:tcPr>
          <w:p w14:paraId="20FD139A"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Food Group</w:t>
            </w:r>
          </w:p>
        </w:tc>
        <w:tc>
          <w:tcPr>
            <w:tcW w:w="9041" w:type="dxa"/>
            <w:gridSpan w:val="12"/>
            <w:tcBorders>
              <w:top w:val="single" w:sz="4" w:space="0" w:color="auto"/>
            </w:tcBorders>
            <w:shd w:val="clear" w:color="auto" w:fill="auto"/>
            <w:vAlign w:val="center"/>
          </w:tcPr>
          <w:p w14:paraId="27E5C37A" w14:textId="77777777" w:rsidR="00E907D7" w:rsidRPr="00B83846" w:rsidRDefault="00E907D7" w:rsidP="00E907D7">
            <w:pPr>
              <w:widowControl/>
              <w:tabs>
                <w:tab w:val="decimal" w:pos="425"/>
              </w:tabs>
              <w:jc w:val="center"/>
              <w:rPr>
                <w:rFonts w:cs="Arial"/>
                <w:b/>
                <w:bCs/>
                <w:color w:val="000000"/>
                <w:sz w:val="18"/>
                <w:szCs w:val="18"/>
                <w:lang w:eastAsia="en-GB" w:bidi="ar-SA"/>
              </w:rPr>
            </w:pPr>
            <w:r w:rsidRPr="00B83846">
              <w:rPr>
                <w:rFonts w:cs="Arial"/>
                <w:b/>
                <w:bCs/>
                <w:color w:val="000000"/>
                <w:sz w:val="18"/>
                <w:szCs w:val="18"/>
                <w:lang w:eastAsia="en-GB" w:bidi="ar-SA"/>
              </w:rPr>
              <w:t>% Contribution</w:t>
            </w:r>
          </w:p>
        </w:tc>
      </w:tr>
      <w:tr w:rsidR="00E907D7" w:rsidRPr="00B83846" w14:paraId="462CD39C" w14:textId="77777777" w:rsidTr="00DA2B03">
        <w:trPr>
          <w:cantSplit/>
          <w:tblHeader/>
        </w:trPr>
        <w:tc>
          <w:tcPr>
            <w:tcW w:w="1276" w:type="dxa"/>
            <w:tcBorders>
              <w:bottom w:val="nil"/>
            </w:tcBorders>
            <w:shd w:val="clear" w:color="auto" w:fill="auto"/>
            <w:vAlign w:val="center"/>
          </w:tcPr>
          <w:p w14:paraId="04CE76F3" w14:textId="77777777" w:rsidR="00E907D7" w:rsidRPr="00B83846" w:rsidRDefault="00E907D7" w:rsidP="00E907D7">
            <w:pPr>
              <w:widowControl/>
              <w:rPr>
                <w:rFonts w:cs="Arial"/>
                <w:b/>
                <w:bCs/>
                <w:color w:val="000000"/>
                <w:sz w:val="18"/>
                <w:szCs w:val="18"/>
                <w:lang w:eastAsia="en-GB" w:bidi="ar-SA"/>
              </w:rPr>
            </w:pPr>
          </w:p>
        </w:tc>
        <w:tc>
          <w:tcPr>
            <w:tcW w:w="3915" w:type="dxa"/>
            <w:gridSpan w:val="3"/>
            <w:tcBorders>
              <w:bottom w:val="nil"/>
            </w:tcBorders>
            <w:shd w:val="clear" w:color="auto" w:fill="auto"/>
            <w:vAlign w:val="center"/>
            <w:hideMark/>
          </w:tcPr>
          <w:p w14:paraId="7FB60CAF" w14:textId="77777777" w:rsidR="00E907D7" w:rsidRPr="00B83846" w:rsidRDefault="00E907D7" w:rsidP="00E907D7">
            <w:pPr>
              <w:widowControl/>
              <w:jc w:val="center"/>
              <w:rPr>
                <w:rFonts w:cs="Arial"/>
                <w:b/>
                <w:bCs/>
                <w:color w:val="000000"/>
                <w:sz w:val="18"/>
                <w:szCs w:val="18"/>
                <w:lang w:eastAsia="en-GB" w:bidi="ar-SA"/>
              </w:rPr>
            </w:pPr>
          </w:p>
        </w:tc>
        <w:tc>
          <w:tcPr>
            <w:tcW w:w="2175" w:type="dxa"/>
            <w:gridSpan w:val="3"/>
            <w:shd w:val="clear" w:color="auto" w:fill="auto"/>
            <w:vAlign w:val="center"/>
            <w:hideMark/>
          </w:tcPr>
          <w:p w14:paraId="06118F90"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Elderly</w:t>
            </w:r>
          </w:p>
        </w:tc>
        <w:tc>
          <w:tcPr>
            <w:tcW w:w="2175" w:type="dxa"/>
            <w:gridSpan w:val="3"/>
            <w:shd w:val="clear" w:color="auto" w:fill="auto"/>
            <w:vAlign w:val="center"/>
            <w:hideMark/>
          </w:tcPr>
          <w:p w14:paraId="6ABD2FB2"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People who consume sports food/ beverages</w:t>
            </w:r>
          </w:p>
        </w:tc>
        <w:tc>
          <w:tcPr>
            <w:tcW w:w="2481" w:type="dxa"/>
            <w:gridSpan w:val="3"/>
            <w:shd w:val="clear" w:color="auto" w:fill="auto"/>
            <w:vAlign w:val="center"/>
            <w:hideMark/>
          </w:tcPr>
          <w:p w14:paraId="76DBBC31" w14:textId="77777777" w:rsidR="00E907D7" w:rsidRPr="00B83846" w:rsidRDefault="00E907D7" w:rsidP="00E907D7">
            <w:pPr>
              <w:widowControl/>
              <w:tabs>
                <w:tab w:val="decimal" w:pos="425"/>
              </w:tabs>
              <w:jc w:val="center"/>
              <w:rPr>
                <w:rFonts w:cs="Arial"/>
                <w:b/>
                <w:bCs/>
                <w:color w:val="000000"/>
                <w:sz w:val="18"/>
                <w:szCs w:val="18"/>
                <w:lang w:eastAsia="en-GB" w:bidi="ar-SA"/>
              </w:rPr>
            </w:pPr>
            <w:r w:rsidRPr="00B83846">
              <w:rPr>
                <w:rFonts w:cs="Arial"/>
                <w:b/>
                <w:bCs/>
                <w:color w:val="000000"/>
                <w:sz w:val="18"/>
                <w:szCs w:val="18"/>
                <w:lang w:eastAsia="en-GB" w:bidi="ar-SA"/>
              </w:rPr>
              <w:t>People who consume Wt management/ meal replacement products</w:t>
            </w:r>
          </w:p>
        </w:tc>
        <w:tc>
          <w:tcPr>
            <w:tcW w:w="2210" w:type="dxa"/>
            <w:gridSpan w:val="3"/>
            <w:shd w:val="clear" w:color="auto" w:fill="auto"/>
            <w:vAlign w:val="center"/>
            <w:hideMark/>
          </w:tcPr>
          <w:p w14:paraId="66CF9FA8" w14:textId="77777777" w:rsidR="00E907D7" w:rsidRPr="00B83846" w:rsidRDefault="00E907D7" w:rsidP="00E907D7">
            <w:pPr>
              <w:widowControl/>
              <w:tabs>
                <w:tab w:val="decimal" w:pos="425"/>
              </w:tabs>
              <w:jc w:val="center"/>
              <w:rPr>
                <w:rFonts w:cs="Arial"/>
                <w:b/>
                <w:bCs/>
                <w:color w:val="000000"/>
                <w:sz w:val="18"/>
                <w:szCs w:val="18"/>
                <w:lang w:eastAsia="en-GB" w:bidi="ar-SA"/>
              </w:rPr>
            </w:pPr>
            <w:r w:rsidRPr="00B83846">
              <w:rPr>
                <w:rFonts w:cs="Arial"/>
                <w:b/>
                <w:bCs/>
                <w:color w:val="000000"/>
                <w:sz w:val="18"/>
                <w:szCs w:val="18"/>
                <w:lang w:eastAsia="en-GB" w:bidi="ar-SA"/>
              </w:rPr>
              <w:t>People who don’t eat meat</w:t>
            </w:r>
          </w:p>
        </w:tc>
      </w:tr>
      <w:tr w:rsidR="00E907D7" w:rsidRPr="00B83846" w14:paraId="0B18AA2F" w14:textId="77777777" w:rsidTr="00DA2B03">
        <w:trPr>
          <w:cantSplit/>
          <w:trHeight w:val="358"/>
          <w:tblHeader/>
        </w:trPr>
        <w:tc>
          <w:tcPr>
            <w:tcW w:w="1276" w:type="dxa"/>
            <w:tcBorders>
              <w:top w:val="nil"/>
              <w:bottom w:val="nil"/>
            </w:tcBorders>
            <w:shd w:val="clear" w:color="auto" w:fill="auto"/>
            <w:vAlign w:val="center"/>
            <w:hideMark/>
          </w:tcPr>
          <w:p w14:paraId="40BEF0DF" w14:textId="77777777" w:rsidR="00E907D7" w:rsidRPr="00B83846" w:rsidRDefault="00E907D7" w:rsidP="00E907D7">
            <w:pPr>
              <w:widowControl/>
              <w:rPr>
                <w:rFonts w:cs="Arial"/>
                <w:b/>
                <w:bCs/>
                <w:color w:val="000000"/>
                <w:sz w:val="18"/>
                <w:szCs w:val="18"/>
                <w:lang w:eastAsia="en-GB" w:bidi="ar-SA"/>
              </w:rPr>
            </w:pPr>
          </w:p>
        </w:tc>
        <w:tc>
          <w:tcPr>
            <w:tcW w:w="451" w:type="dxa"/>
            <w:tcBorders>
              <w:top w:val="nil"/>
              <w:bottom w:val="nil"/>
              <w:right w:val="nil"/>
            </w:tcBorders>
            <w:shd w:val="clear" w:color="auto" w:fill="auto"/>
            <w:vAlign w:val="center"/>
            <w:hideMark/>
          </w:tcPr>
          <w:p w14:paraId="782B75BF" w14:textId="77777777" w:rsidR="00E907D7" w:rsidRPr="00B83846" w:rsidRDefault="00E907D7" w:rsidP="00E907D7">
            <w:pPr>
              <w:widowControl/>
              <w:rPr>
                <w:rFonts w:cs="Arial"/>
                <w:b/>
                <w:bCs/>
                <w:color w:val="000000"/>
                <w:sz w:val="18"/>
                <w:szCs w:val="18"/>
                <w:lang w:eastAsia="en-GB" w:bidi="ar-SA"/>
              </w:rPr>
            </w:pPr>
          </w:p>
        </w:tc>
        <w:tc>
          <w:tcPr>
            <w:tcW w:w="437" w:type="dxa"/>
            <w:tcBorders>
              <w:top w:val="nil"/>
              <w:left w:val="nil"/>
              <w:bottom w:val="nil"/>
              <w:right w:val="nil"/>
            </w:tcBorders>
            <w:shd w:val="clear" w:color="auto" w:fill="auto"/>
            <w:vAlign w:val="center"/>
            <w:hideMark/>
          </w:tcPr>
          <w:p w14:paraId="36511F51" w14:textId="77777777" w:rsidR="00E907D7" w:rsidRPr="00B83846" w:rsidRDefault="00E907D7" w:rsidP="00E907D7">
            <w:pPr>
              <w:widowControl/>
              <w:rPr>
                <w:rFonts w:cs="Arial"/>
                <w:b/>
                <w:bCs/>
                <w:color w:val="000000"/>
                <w:sz w:val="18"/>
                <w:szCs w:val="18"/>
                <w:lang w:eastAsia="en-GB" w:bidi="ar-SA"/>
              </w:rPr>
            </w:pPr>
          </w:p>
        </w:tc>
        <w:tc>
          <w:tcPr>
            <w:tcW w:w="3027" w:type="dxa"/>
            <w:tcBorders>
              <w:top w:val="nil"/>
              <w:left w:val="nil"/>
              <w:bottom w:val="nil"/>
            </w:tcBorders>
            <w:vAlign w:val="center"/>
          </w:tcPr>
          <w:p w14:paraId="612B34E0" w14:textId="77777777" w:rsidR="00E907D7" w:rsidRPr="00B83846" w:rsidRDefault="00E907D7" w:rsidP="00E907D7">
            <w:pPr>
              <w:widowControl/>
              <w:jc w:val="center"/>
              <w:rPr>
                <w:rFonts w:cs="Arial"/>
                <w:b/>
                <w:bCs/>
                <w:color w:val="000000"/>
                <w:sz w:val="18"/>
                <w:szCs w:val="18"/>
                <w:lang w:eastAsia="en-GB" w:bidi="ar-SA"/>
              </w:rPr>
            </w:pPr>
          </w:p>
        </w:tc>
        <w:tc>
          <w:tcPr>
            <w:tcW w:w="2175" w:type="dxa"/>
            <w:gridSpan w:val="3"/>
            <w:shd w:val="clear" w:color="auto" w:fill="auto"/>
            <w:vAlign w:val="center"/>
            <w:hideMark/>
          </w:tcPr>
          <w:p w14:paraId="51985608"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71 years and above</w:t>
            </w:r>
          </w:p>
        </w:tc>
        <w:tc>
          <w:tcPr>
            <w:tcW w:w="2175" w:type="dxa"/>
            <w:gridSpan w:val="3"/>
            <w:shd w:val="clear" w:color="auto" w:fill="auto"/>
            <w:vAlign w:val="center"/>
            <w:hideMark/>
          </w:tcPr>
          <w:p w14:paraId="5C2956E2"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2 years and above</w:t>
            </w:r>
          </w:p>
        </w:tc>
        <w:tc>
          <w:tcPr>
            <w:tcW w:w="2481" w:type="dxa"/>
            <w:gridSpan w:val="3"/>
            <w:shd w:val="clear" w:color="auto" w:fill="auto"/>
            <w:vAlign w:val="center"/>
            <w:hideMark/>
          </w:tcPr>
          <w:p w14:paraId="38F6FE1C" w14:textId="77777777" w:rsidR="00E907D7" w:rsidRPr="00B83846" w:rsidRDefault="00E907D7" w:rsidP="00E907D7">
            <w:pPr>
              <w:widowControl/>
              <w:tabs>
                <w:tab w:val="decimal" w:pos="425"/>
              </w:tabs>
              <w:jc w:val="center"/>
              <w:rPr>
                <w:rFonts w:cs="Arial"/>
                <w:b/>
                <w:bCs/>
                <w:color w:val="000000"/>
                <w:sz w:val="18"/>
                <w:szCs w:val="18"/>
                <w:lang w:eastAsia="en-GB" w:bidi="ar-SA"/>
              </w:rPr>
            </w:pPr>
            <w:r w:rsidRPr="00B83846">
              <w:rPr>
                <w:rFonts w:cs="Arial"/>
                <w:b/>
                <w:bCs/>
                <w:color w:val="000000"/>
                <w:sz w:val="18"/>
                <w:szCs w:val="18"/>
                <w:lang w:eastAsia="en-GB" w:bidi="ar-SA"/>
              </w:rPr>
              <w:t>2 years and above</w:t>
            </w:r>
          </w:p>
        </w:tc>
        <w:tc>
          <w:tcPr>
            <w:tcW w:w="2210" w:type="dxa"/>
            <w:gridSpan w:val="3"/>
            <w:shd w:val="clear" w:color="auto" w:fill="auto"/>
            <w:vAlign w:val="center"/>
            <w:hideMark/>
          </w:tcPr>
          <w:p w14:paraId="767F4220" w14:textId="77777777" w:rsidR="00E907D7" w:rsidRPr="00B83846" w:rsidRDefault="00E907D7" w:rsidP="00E907D7">
            <w:pPr>
              <w:widowControl/>
              <w:tabs>
                <w:tab w:val="decimal" w:pos="425"/>
              </w:tabs>
              <w:jc w:val="center"/>
              <w:rPr>
                <w:rFonts w:cs="Arial"/>
                <w:b/>
                <w:bCs/>
                <w:color w:val="000000"/>
                <w:sz w:val="18"/>
                <w:szCs w:val="18"/>
                <w:lang w:eastAsia="en-GB" w:bidi="ar-SA"/>
              </w:rPr>
            </w:pPr>
            <w:r w:rsidRPr="00B83846">
              <w:rPr>
                <w:rFonts w:cs="Arial"/>
                <w:b/>
                <w:bCs/>
                <w:color w:val="000000"/>
                <w:sz w:val="18"/>
                <w:szCs w:val="18"/>
                <w:lang w:eastAsia="en-GB" w:bidi="ar-SA"/>
              </w:rPr>
              <w:t>2 years and above</w:t>
            </w:r>
          </w:p>
        </w:tc>
      </w:tr>
      <w:tr w:rsidR="00E907D7" w:rsidRPr="00B83846" w14:paraId="748324DB" w14:textId="77777777" w:rsidTr="00DA2B03">
        <w:trPr>
          <w:cantSplit/>
          <w:trHeight w:val="1247"/>
          <w:tblHeader/>
        </w:trPr>
        <w:tc>
          <w:tcPr>
            <w:tcW w:w="1276" w:type="dxa"/>
            <w:tcBorders>
              <w:top w:val="nil"/>
              <w:bottom w:val="single" w:sz="4" w:space="0" w:color="auto"/>
            </w:tcBorders>
            <w:shd w:val="clear" w:color="auto" w:fill="auto"/>
            <w:vAlign w:val="center"/>
          </w:tcPr>
          <w:p w14:paraId="4C45778F" w14:textId="77777777" w:rsidR="00E907D7" w:rsidRPr="00B83846" w:rsidRDefault="00E907D7" w:rsidP="00E907D7">
            <w:pPr>
              <w:widowControl/>
              <w:rPr>
                <w:rFonts w:cs="Arial"/>
                <w:b/>
                <w:bCs/>
                <w:color w:val="000000"/>
                <w:sz w:val="18"/>
                <w:szCs w:val="18"/>
                <w:lang w:eastAsia="en-GB" w:bidi="ar-SA"/>
              </w:rPr>
            </w:pPr>
          </w:p>
        </w:tc>
        <w:tc>
          <w:tcPr>
            <w:tcW w:w="3915" w:type="dxa"/>
            <w:gridSpan w:val="3"/>
            <w:tcBorders>
              <w:top w:val="nil"/>
              <w:bottom w:val="single" w:sz="4" w:space="0" w:color="auto"/>
            </w:tcBorders>
            <w:shd w:val="clear" w:color="auto" w:fill="auto"/>
            <w:vAlign w:val="center"/>
          </w:tcPr>
          <w:p w14:paraId="2008826A" w14:textId="77777777" w:rsidR="00E907D7" w:rsidRPr="00B83846" w:rsidRDefault="00E907D7" w:rsidP="00E907D7">
            <w:pPr>
              <w:widowControl/>
              <w:rPr>
                <w:rFonts w:cs="Arial"/>
                <w:b/>
                <w:bCs/>
                <w:color w:val="000000"/>
                <w:sz w:val="18"/>
                <w:szCs w:val="18"/>
                <w:lang w:eastAsia="en-GB" w:bidi="ar-SA"/>
              </w:rPr>
            </w:pPr>
          </w:p>
        </w:tc>
        <w:tc>
          <w:tcPr>
            <w:tcW w:w="725" w:type="dxa"/>
            <w:tcBorders>
              <w:bottom w:val="single" w:sz="4" w:space="0" w:color="auto"/>
            </w:tcBorders>
            <w:shd w:val="clear" w:color="auto" w:fill="auto"/>
            <w:textDirection w:val="btLr"/>
            <w:vAlign w:val="center"/>
            <w:hideMark/>
          </w:tcPr>
          <w:p w14:paraId="017FF1B5"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725" w:type="dxa"/>
            <w:tcBorders>
              <w:bottom w:val="single" w:sz="4" w:space="0" w:color="auto"/>
            </w:tcBorders>
            <w:textDirection w:val="btLr"/>
          </w:tcPr>
          <w:p w14:paraId="24684E06"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725" w:type="dxa"/>
            <w:tcBorders>
              <w:bottom w:val="single" w:sz="4" w:space="0" w:color="auto"/>
            </w:tcBorders>
            <w:shd w:val="clear" w:color="auto" w:fill="auto"/>
            <w:textDirection w:val="btLr"/>
            <w:vAlign w:val="center"/>
            <w:hideMark/>
          </w:tcPr>
          <w:p w14:paraId="50860888"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725" w:type="dxa"/>
            <w:tcBorders>
              <w:bottom w:val="single" w:sz="4" w:space="0" w:color="auto"/>
            </w:tcBorders>
            <w:shd w:val="clear" w:color="auto" w:fill="auto"/>
            <w:textDirection w:val="btLr"/>
            <w:vAlign w:val="center"/>
            <w:hideMark/>
          </w:tcPr>
          <w:p w14:paraId="41023245"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725" w:type="dxa"/>
            <w:tcBorders>
              <w:bottom w:val="single" w:sz="4" w:space="0" w:color="auto"/>
            </w:tcBorders>
            <w:textDirection w:val="btLr"/>
          </w:tcPr>
          <w:p w14:paraId="0C4F4F98"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725" w:type="dxa"/>
            <w:tcBorders>
              <w:bottom w:val="single" w:sz="4" w:space="0" w:color="auto"/>
            </w:tcBorders>
            <w:shd w:val="clear" w:color="auto" w:fill="auto"/>
            <w:textDirection w:val="btLr"/>
            <w:vAlign w:val="center"/>
            <w:hideMark/>
          </w:tcPr>
          <w:p w14:paraId="59AD3B7B"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827" w:type="dxa"/>
            <w:tcBorders>
              <w:bottom w:val="single" w:sz="4" w:space="0" w:color="auto"/>
            </w:tcBorders>
            <w:shd w:val="clear" w:color="auto" w:fill="auto"/>
            <w:textDirection w:val="btLr"/>
            <w:vAlign w:val="center"/>
            <w:hideMark/>
          </w:tcPr>
          <w:p w14:paraId="65CFBF8A" w14:textId="77777777" w:rsidR="00E907D7" w:rsidRPr="00B83846" w:rsidRDefault="00E907D7" w:rsidP="00E907D7">
            <w:pPr>
              <w:widowControl/>
              <w:tabs>
                <w:tab w:val="decimal" w:pos="425"/>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827" w:type="dxa"/>
            <w:tcBorders>
              <w:bottom w:val="single" w:sz="4" w:space="0" w:color="auto"/>
            </w:tcBorders>
            <w:textDirection w:val="btLr"/>
          </w:tcPr>
          <w:p w14:paraId="6DF3F383" w14:textId="77777777" w:rsidR="00E907D7" w:rsidRPr="00B83846" w:rsidRDefault="00E907D7" w:rsidP="00E907D7">
            <w:pPr>
              <w:widowControl/>
              <w:tabs>
                <w:tab w:val="decimal" w:pos="425"/>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827" w:type="dxa"/>
            <w:tcBorders>
              <w:bottom w:val="single" w:sz="4" w:space="0" w:color="auto"/>
            </w:tcBorders>
            <w:shd w:val="clear" w:color="auto" w:fill="auto"/>
            <w:textDirection w:val="btLr"/>
            <w:vAlign w:val="center"/>
            <w:hideMark/>
          </w:tcPr>
          <w:p w14:paraId="42D1D563" w14:textId="77777777" w:rsidR="00E907D7" w:rsidRPr="00B83846" w:rsidRDefault="00E907D7" w:rsidP="00E907D7">
            <w:pPr>
              <w:widowControl/>
              <w:tabs>
                <w:tab w:val="decimal" w:pos="425"/>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827" w:type="dxa"/>
            <w:tcBorders>
              <w:bottom w:val="single" w:sz="4" w:space="0" w:color="auto"/>
            </w:tcBorders>
            <w:shd w:val="clear" w:color="auto" w:fill="auto"/>
            <w:textDirection w:val="btLr"/>
            <w:vAlign w:val="center"/>
            <w:hideMark/>
          </w:tcPr>
          <w:p w14:paraId="06F406EB" w14:textId="77777777" w:rsidR="00E907D7" w:rsidRPr="00B83846" w:rsidRDefault="00E907D7" w:rsidP="00E907D7">
            <w:pPr>
              <w:widowControl/>
              <w:tabs>
                <w:tab w:val="decimal" w:pos="425"/>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827" w:type="dxa"/>
            <w:tcBorders>
              <w:bottom w:val="single" w:sz="4" w:space="0" w:color="auto"/>
            </w:tcBorders>
            <w:textDirection w:val="btLr"/>
          </w:tcPr>
          <w:p w14:paraId="5ABA1194" w14:textId="77777777" w:rsidR="00E907D7" w:rsidRPr="00B83846" w:rsidRDefault="00E907D7" w:rsidP="00E907D7">
            <w:pPr>
              <w:widowControl/>
              <w:tabs>
                <w:tab w:val="decimal" w:pos="425"/>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556" w:type="dxa"/>
            <w:tcBorders>
              <w:bottom w:val="single" w:sz="4" w:space="0" w:color="auto"/>
            </w:tcBorders>
            <w:shd w:val="clear" w:color="auto" w:fill="auto"/>
            <w:textDirection w:val="btLr"/>
            <w:vAlign w:val="center"/>
            <w:hideMark/>
          </w:tcPr>
          <w:p w14:paraId="2F413B0D" w14:textId="77777777" w:rsidR="00E907D7" w:rsidRPr="00B83846" w:rsidRDefault="00E907D7" w:rsidP="00E907D7">
            <w:pPr>
              <w:widowControl/>
              <w:tabs>
                <w:tab w:val="decimal" w:pos="425"/>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r>
      <w:tr w:rsidR="00E907D7" w:rsidRPr="002D2C2D" w14:paraId="3445649F" w14:textId="77777777" w:rsidTr="00DA2B03">
        <w:trPr>
          <w:cantSplit/>
        </w:trPr>
        <w:tc>
          <w:tcPr>
            <w:tcW w:w="1276" w:type="dxa"/>
            <w:tcBorders>
              <w:bottom w:val="single" w:sz="4" w:space="0" w:color="auto"/>
            </w:tcBorders>
            <w:shd w:val="clear" w:color="auto" w:fill="D9D9D9" w:themeFill="background1" w:themeFillShade="D9"/>
            <w:vAlign w:val="center"/>
            <w:hideMark/>
          </w:tcPr>
          <w:p w14:paraId="6629DC2B"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1</w:t>
            </w:r>
          </w:p>
        </w:tc>
        <w:tc>
          <w:tcPr>
            <w:tcW w:w="3915" w:type="dxa"/>
            <w:gridSpan w:val="3"/>
            <w:tcBorders>
              <w:bottom w:val="single" w:sz="4" w:space="0" w:color="auto"/>
            </w:tcBorders>
            <w:shd w:val="clear" w:color="auto" w:fill="D9D9D9" w:themeFill="background1" w:themeFillShade="D9"/>
            <w:vAlign w:val="center"/>
            <w:hideMark/>
          </w:tcPr>
          <w:p w14:paraId="6EF04C23"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Dairy products (excluding butter &amp; butter fats)</w:t>
            </w:r>
          </w:p>
        </w:tc>
        <w:tc>
          <w:tcPr>
            <w:tcW w:w="725" w:type="dxa"/>
            <w:tcBorders>
              <w:bottom w:val="single" w:sz="4" w:space="0" w:color="auto"/>
            </w:tcBorders>
            <w:shd w:val="clear" w:color="auto" w:fill="D9D9D9" w:themeFill="background1" w:themeFillShade="D9"/>
            <w:vAlign w:val="center"/>
          </w:tcPr>
          <w:p w14:paraId="13A5D7D9"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16</w:t>
            </w:r>
          </w:p>
        </w:tc>
        <w:tc>
          <w:tcPr>
            <w:tcW w:w="725" w:type="dxa"/>
            <w:tcBorders>
              <w:bottom w:val="single" w:sz="4" w:space="0" w:color="auto"/>
            </w:tcBorders>
            <w:shd w:val="clear" w:color="auto" w:fill="D9D9D9" w:themeFill="background1" w:themeFillShade="D9"/>
            <w:vAlign w:val="center"/>
          </w:tcPr>
          <w:p w14:paraId="5C56607E"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15</w:t>
            </w:r>
          </w:p>
        </w:tc>
        <w:tc>
          <w:tcPr>
            <w:tcW w:w="725" w:type="dxa"/>
            <w:shd w:val="clear" w:color="auto" w:fill="D9D9D9" w:themeFill="background1" w:themeFillShade="D9"/>
            <w:vAlign w:val="center"/>
          </w:tcPr>
          <w:p w14:paraId="78C0B89B"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16</w:t>
            </w:r>
          </w:p>
        </w:tc>
        <w:tc>
          <w:tcPr>
            <w:tcW w:w="725" w:type="dxa"/>
            <w:tcBorders>
              <w:bottom w:val="single" w:sz="4" w:space="0" w:color="auto"/>
            </w:tcBorders>
            <w:shd w:val="clear" w:color="auto" w:fill="D9D9D9" w:themeFill="background1" w:themeFillShade="D9"/>
            <w:vAlign w:val="center"/>
          </w:tcPr>
          <w:p w14:paraId="147715A9"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9</w:t>
            </w:r>
          </w:p>
        </w:tc>
        <w:tc>
          <w:tcPr>
            <w:tcW w:w="725" w:type="dxa"/>
            <w:shd w:val="clear" w:color="auto" w:fill="auto"/>
            <w:vAlign w:val="center"/>
          </w:tcPr>
          <w:p w14:paraId="3786B7E8"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3</w:t>
            </w:r>
          </w:p>
        </w:tc>
        <w:tc>
          <w:tcPr>
            <w:tcW w:w="725" w:type="dxa"/>
            <w:shd w:val="clear" w:color="auto" w:fill="D9D9D9" w:themeFill="background1" w:themeFillShade="D9"/>
            <w:vAlign w:val="center"/>
          </w:tcPr>
          <w:p w14:paraId="464A0C02"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10</w:t>
            </w:r>
          </w:p>
        </w:tc>
        <w:tc>
          <w:tcPr>
            <w:tcW w:w="827" w:type="dxa"/>
            <w:tcBorders>
              <w:bottom w:val="single" w:sz="4" w:space="0" w:color="auto"/>
            </w:tcBorders>
            <w:shd w:val="clear" w:color="auto" w:fill="D9D9D9" w:themeFill="background1" w:themeFillShade="D9"/>
            <w:vAlign w:val="center"/>
          </w:tcPr>
          <w:p w14:paraId="21BB8291"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9</w:t>
            </w:r>
          </w:p>
        </w:tc>
        <w:tc>
          <w:tcPr>
            <w:tcW w:w="827" w:type="dxa"/>
            <w:tcBorders>
              <w:bottom w:val="single" w:sz="4" w:space="0" w:color="auto"/>
            </w:tcBorders>
            <w:shd w:val="clear" w:color="auto" w:fill="auto"/>
            <w:vAlign w:val="center"/>
          </w:tcPr>
          <w:p w14:paraId="318CC659"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4</w:t>
            </w:r>
          </w:p>
        </w:tc>
        <w:tc>
          <w:tcPr>
            <w:tcW w:w="827" w:type="dxa"/>
            <w:shd w:val="clear" w:color="auto" w:fill="D9D9D9" w:themeFill="background1" w:themeFillShade="D9"/>
            <w:vAlign w:val="center"/>
          </w:tcPr>
          <w:p w14:paraId="00A21DBA"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10</w:t>
            </w:r>
          </w:p>
        </w:tc>
        <w:tc>
          <w:tcPr>
            <w:tcW w:w="827" w:type="dxa"/>
            <w:tcBorders>
              <w:bottom w:val="single" w:sz="4" w:space="0" w:color="auto"/>
            </w:tcBorders>
            <w:shd w:val="clear" w:color="auto" w:fill="D9D9D9" w:themeFill="background1" w:themeFillShade="D9"/>
            <w:vAlign w:val="center"/>
          </w:tcPr>
          <w:p w14:paraId="665B106E"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75</w:t>
            </w:r>
          </w:p>
        </w:tc>
        <w:tc>
          <w:tcPr>
            <w:tcW w:w="827" w:type="dxa"/>
            <w:shd w:val="clear" w:color="auto" w:fill="D9D9D9" w:themeFill="background1" w:themeFillShade="D9"/>
            <w:vAlign w:val="center"/>
          </w:tcPr>
          <w:p w14:paraId="4E923E14"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75</w:t>
            </w:r>
          </w:p>
        </w:tc>
        <w:tc>
          <w:tcPr>
            <w:tcW w:w="556" w:type="dxa"/>
            <w:shd w:val="clear" w:color="auto" w:fill="D9D9D9" w:themeFill="background1" w:themeFillShade="D9"/>
            <w:vAlign w:val="center"/>
          </w:tcPr>
          <w:p w14:paraId="5B645CB5"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17</w:t>
            </w:r>
          </w:p>
        </w:tc>
      </w:tr>
      <w:tr w:rsidR="00DA2B03" w:rsidRPr="00B83846" w14:paraId="6DF367C6" w14:textId="77777777" w:rsidTr="00221A11">
        <w:trPr>
          <w:cantSplit/>
        </w:trPr>
        <w:tc>
          <w:tcPr>
            <w:tcW w:w="1276" w:type="dxa"/>
            <w:tcBorders>
              <w:bottom w:val="single" w:sz="4" w:space="0" w:color="auto"/>
              <w:right w:val="single" w:sz="4" w:space="0" w:color="auto"/>
            </w:tcBorders>
            <w:shd w:val="clear" w:color="auto" w:fill="D9D9D9" w:themeFill="background1" w:themeFillShade="D9"/>
            <w:vAlign w:val="center"/>
            <w:hideMark/>
          </w:tcPr>
          <w:p w14:paraId="2CADEDB6" w14:textId="77777777" w:rsidR="00DA2B03" w:rsidRPr="00B83846" w:rsidRDefault="00DA2B03" w:rsidP="00DF510F">
            <w:pPr>
              <w:widowControl/>
              <w:rPr>
                <w:rFonts w:cs="Arial"/>
                <w:color w:val="000000"/>
                <w:sz w:val="18"/>
                <w:szCs w:val="18"/>
                <w:lang w:eastAsia="en-GB" w:bidi="ar-SA"/>
              </w:rPr>
            </w:pPr>
            <w:r w:rsidRPr="00B83846">
              <w:rPr>
                <w:rFonts w:cs="Arial"/>
                <w:color w:val="000000"/>
                <w:sz w:val="18"/>
                <w:szCs w:val="18"/>
                <w:lang w:eastAsia="en-GB" w:bidi="ar-SA"/>
              </w:rPr>
              <w:t>1</w:t>
            </w:r>
          </w:p>
        </w:tc>
        <w:tc>
          <w:tcPr>
            <w:tcW w:w="451" w:type="dxa"/>
            <w:tcBorders>
              <w:left w:val="single" w:sz="4" w:space="0" w:color="auto"/>
              <w:bottom w:val="single" w:sz="4" w:space="0" w:color="auto"/>
              <w:right w:val="nil"/>
            </w:tcBorders>
            <w:shd w:val="clear" w:color="auto" w:fill="D9D9D9" w:themeFill="background1" w:themeFillShade="D9"/>
            <w:vAlign w:val="center"/>
            <w:hideMark/>
          </w:tcPr>
          <w:p w14:paraId="2785173E" w14:textId="77777777" w:rsidR="00DA2B03" w:rsidRPr="00B83846" w:rsidRDefault="00DA2B03" w:rsidP="00DF510F">
            <w:pPr>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D9D9D9" w:themeFill="background1" w:themeFillShade="D9"/>
            <w:vAlign w:val="center"/>
            <w:hideMark/>
          </w:tcPr>
          <w:p w14:paraId="37D95AE0" w14:textId="77777777" w:rsidR="00DA2B03" w:rsidRPr="00B83846" w:rsidRDefault="00DA2B03" w:rsidP="00DF510F">
            <w:pPr>
              <w:widowControl/>
              <w:rPr>
                <w:rFonts w:cs="Arial"/>
                <w:color w:val="000000"/>
                <w:sz w:val="18"/>
                <w:szCs w:val="18"/>
                <w:lang w:eastAsia="en-GB" w:bidi="ar-SA"/>
              </w:rPr>
            </w:pPr>
            <w:r w:rsidRPr="00B83846">
              <w:rPr>
                <w:rFonts w:cs="Arial"/>
                <w:color w:val="000000"/>
                <w:sz w:val="18"/>
                <w:szCs w:val="18"/>
                <w:lang w:eastAsia="en-GB" w:bidi="ar-SA"/>
              </w:rPr>
              <w:t>Plain milk</w:t>
            </w:r>
          </w:p>
        </w:tc>
        <w:tc>
          <w:tcPr>
            <w:tcW w:w="725" w:type="dxa"/>
            <w:shd w:val="clear" w:color="auto" w:fill="D9D9D9" w:themeFill="background1" w:themeFillShade="D9"/>
            <w:vAlign w:val="center"/>
          </w:tcPr>
          <w:p w14:paraId="28800371"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13</w:t>
            </w:r>
          </w:p>
        </w:tc>
        <w:tc>
          <w:tcPr>
            <w:tcW w:w="725" w:type="dxa"/>
            <w:shd w:val="clear" w:color="auto" w:fill="D9D9D9" w:themeFill="background1" w:themeFillShade="D9"/>
            <w:vAlign w:val="center"/>
          </w:tcPr>
          <w:p w14:paraId="5210C524" w14:textId="77777777" w:rsidR="00DA2B03" w:rsidRPr="00A20B5B" w:rsidRDefault="00DA2B03" w:rsidP="00DF510F">
            <w:pPr>
              <w:widowControl/>
              <w:tabs>
                <w:tab w:val="decimal" w:pos="340"/>
              </w:tabs>
              <w:rPr>
                <w:rFonts w:cs="Arial"/>
                <w:color w:val="000000"/>
                <w:sz w:val="18"/>
                <w:szCs w:val="18"/>
              </w:rPr>
            </w:pPr>
            <w:r w:rsidRPr="003A7740">
              <w:rPr>
                <w:rFonts w:cs="Arial"/>
                <w:color w:val="000000"/>
                <w:sz w:val="18"/>
                <w:szCs w:val="18"/>
              </w:rPr>
              <w:t>12</w:t>
            </w:r>
          </w:p>
        </w:tc>
        <w:tc>
          <w:tcPr>
            <w:tcW w:w="725" w:type="dxa"/>
            <w:shd w:val="clear" w:color="auto" w:fill="auto"/>
            <w:vAlign w:val="center"/>
          </w:tcPr>
          <w:p w14:paraId="6867CDAB"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3</w:t>
            </w:r>
          </w:p>
        </w:tc>
        <w:tc>
          <w:tcPr>
            <w:tcW w:w="725" w:type="dxa"/>
            <w:shd w:val="clear" w:color="auto" w:fill="D9D9D9" w:themeFill="background1" w:themeFillShade="D9"/>
            <w:vAlign w:val="center"/>
          </w:tcPr>
          <w:p w14:paraId="7149FFEC"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6</w:t>
            </w:r>
          </w:p>
        </w:tc>
        <w:tc>
          <w:tcPr>
            <w:tcW w:w="725" w:type="dxa"/>
            <w:vAlign w:val="center"/>
          </w:tcPr>
          <w:p w14:paraId="3EEBE2AB" w14:textId="77777777" w:rsidR="00DA2B03" w:rsidRPr="00A20B5B" w:rsidRDefault="00DA2B03" w:rsidP="00DF510F">
            <w:pPr>
              <w:widowControl/>
              <w:tabs>
                <w:tab w:val="decimal" w:pos="340"/>
              </w:tabs>
              <w:rPr>
                <w:rFonts w:cs="Arial"/>
                <w:sz w:val="18"/>
                <w:szCs w:val="18"/>
              </w:rPr>
            </w:pPr>
            <w:r w:rsidRPr="003A7740">
              <w:rPr>
                <w:rFonts w:cs="Arial"/>
                <w:sz w:val="18"/>
                <w:szCs w:val="18"/>
              </w:rPr>
              <w:t>2</w:t>
            </w:r>
          </w:p>
        </w:tc>
        <w:tc>
          <w:tcPr>
            <w:tcW w:w="725" w:type="dxa"/>
            <w:shd w:val="clear" w:color="auto" w:fill="auto"/>
            <w:vAlign w:val="center"/>
          </w:tcPr>
          <w:p w14:paraId="7A637D2E"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1</w:t>
            </w:r>
          </w:p>
        </w:tc>
        <w:tc>
          <w:tcPr>
            <w:tcW w:w="827" w:type="dxa"/>
            <w:shd w:val="clear" w:color="auto" w:fill="D9D9D9" w:themeFill="background1" w:themeFillShade="D9"/>
            <w:vAlign w:val="center"/>
          </w:tcPr>
          <w:p w14:paraId="55C63D5A"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7</w:t>
            </w:r>
          </w:p>
        </w:tc>
        <w:tc>
          <w:tcPr>
            <w:tcW w:w="827" w:type="dxa"/>
            <w:shd w:val="clear" w:color="auto" w:fill="auto"/>
            <w:vAlign w:val="center"/>
          </w:tcPr>
          <w:p w14:paraId="312C9869" w14:textId="77777777" w:rsidR="00DA2B03" w:rsidRPr="00A20B5B" w:rsidRDefault="00DA2B03" w:rsidP="00DF510F">
            <w:pPr>
              <w:widowControl/>
              <w:tabs>
                <w:tab w:val="decimal" w:pos="340"/>
              </w:tabs>
              <w:rPr>
                <w:rFonts w:cs="Arial"/>
                <w:sz w:val="18"/>
                <w:szCs w:val="18"/>
              </w:rPr>
            </w:pPr>
            <w:r w:rsidRPr="003A7740">
              <w:rPr>
                <w:rFonts w:cs="Arial"/>
                <w:sz w:val="18"/>
                <w:szCs w:val="18"/>
              </w:rPr>
              <w:t>3</w:t>
            </w:r>
          </w:p>
        </w:tc>
        <w:tc>
          <w:tcPr>
            <w:tcW w:w="827" w:type="dxa"/>
            <w:tcBorders>
              <w:bottom w:val="single" w:sz="4" w:space="0" w:color="auto"/>
            </w:tcBorders>
            <w:shd w:val="clear" w:color="auto" w:fill="auto"/>
            <w:vAlign w:val="center"/>
          </w:tcPr>
          <w:p w14:paraId="16DFD182"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1</w:t>
            </w:r>
          </w:p>
        </w:tc>
        <w:tc>
          <w:tcPr>
            <w:tcW w:w="827" w:type="dxa"/>
            <w:shd w:val="clear" w:color="auto" w:fill="D9D9D9" w:themeFill="background1" w:themeFillShade="D9"/>
            <w:vAlign w:val="center"/>
          </w:tcPr>
          <w:p w14:paraId="23752824"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63</w:t>
            </w:r>
          </w:p>
        </w:tc>
        <w:tc>
          <w:tcPr>
            <w:tcW w:w="827" w:type="dxa"/>
            <w:shd w:val="clear" w:color="auto" w:fill="D9D9D9" w:themeFill="background1" w:themeFillShade="D9"/>
            <w:vAlign w:val="center"/>
          </w:tcPr>
          <w:p w14:paraId="6091C498" w14:textId="77777777" w:rsidR="00DA2B03" w:rsidRPr="00A20B5B" w:rsidRDefault="00DA2B03" w:rsidP="00DF510F">
            <w:pPr>
              <w:widowControl/>
              <w:tabs>
                <w:tab w:val="decimal" w:pos="340"/>
              </w:tabs>
              <w:rPr>
                <w:rFonts w:cs="Arial"/>
                <w:color w:val="000000"/>
                <w:sz w:val="18"/>
                <w:szCs w:val="18"/>
              </w:rPr>
            </w:pPr>
            <w:r w:rsidRPr="003A7740">
              <w:rPr>
                <w:rFonts w:cs="Arial"/>
                <w:color w:val="000000"/>
                <w:sz w:val="18"/>
                <w:szCs w:val="18"/>
              </w:rPr>
              <w:t>63</w:t>
            </w:r>
          </w:p>
        </w:tc>
        <w:tc>
          <w:tcPr>
            <w:tcW w:w="556" w:type="dxa"/>
            <w:shd w:val="clear" w:color="auto" w:fill="auto"/>
            <w:vAlign w:val="center"/>
          </w:tcPr>
          <w:p w14:paraId="532FDB0D"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3</w:t>
            </w:r>
          </w:p>
        </w:tc>
      </w:tr>
      <w:tr w:rsidR="00DA2B03" w:rsidRPr="00B83846" w14:paraId="76874B9D" w14:textId="77777777" w:rsidTr="00221A11">
        <w:trPr>
          <w:cantSplit/>
        </w:trPr>
        <w:tc>
          <w:tcPr>
            <w:tcW w:w="1276" w:type="dxa"/>
            <w:shd w:val="clear" w:color="auto" w:fill="D9D9D9" w:themeFill="background1" w:themeFillShade="D9"/>
            <w:vAlign w:val="center"/>
            <w:hideMark/>
          </w:tcPr>
          <w:p w14:paraId="753D63E1" w14:textId="77777777" w:rsidR="00DA2B03" w:rsidRPr="00B83846" w:rsidRDefault="00DA2B03" w:rsidP="00DF510F">
            <w:pPr>
              <w:widowControl/>
              <w:rPr>
                <w:rFonts w:cs="Arial"/>
                <w:color w:val="000000"/>
                <w:sz w:val="18"/>
                <w:szCs w:val="18"/>
                <w:lang w:eastAsia="en-GB" w:bidi="ar-SA"/>
              </w:rPr>
            </w:pPr>
            <w:r w:rsidRPr="00B83846">
              <w:rPr>
                <w:rFonts w:cs="Arial"/>
                <w:color w:val="000000"/>
                <w:sz w:val="18"/>
                <w:szCs w:val="18"/>
                <w:lang w:eastAsia="en-GB" w:bidi="ar-SA"/>
              </w:rPr>
              <w:t>1.2.1</w:t>
            </w:r>
          </w:p>
        </w:tc>
        <w:tc>
          <w:tcPr>
            <w:tcW w:w="451" w:type="dxa"/>
            <w:tcBorders>
              <w:right w:val="nil"/>
            </w:tcBorders>
            <w:shd w:val="clear" w:color="auto" w:fill="D9D9D9" w:themeFill="background1" w:themeFillShade="D9"/>
            <w:vAlign w:val="center"/>
          </w:tcPr>
          <w:p w14:paraId="4F2DAB6B" w14:textId="77777777" w:rsidR="00DA2B03" w:rsidRPr="00B83846" w:rsidRDefault="00DA2B03" w:rsidP="00DF510F">
            <w:pPr>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26160B4E" w14:textId="77777777" w:rsidR="00DA2B03" w:rsidRPr="00B83846" w:rsidRDefault="00DA2B03" w:rsidP="00DF510F">
            <w:pPr>
              <w:widowControl/>
              <w:rPr>
                <w:rFonts w:cs="Arial"/>
                <w:color w:val="000000"/>
                <w:sz w:val="18"/>
                <w:szCs w:val="18"/>
                <w:lang w:eastAsia="en-GB" w:bidi="ar-SA"/>
              </w:rPr>
            </w:pPr>
            <w:r w:rsidRPr="00B83846">
              <w:rPr>
                <w:rFonts w:cs="Arial"/>
                <w:color w:val="000000"/>
                <w:sz w:val="18"/>
                <w:szCs w:val="18"/>
                <w:lang w:eastAsia="en-GB" w:bidi="ar-SA"/>
              </w:rPr>
              <w:t>Fermented &amp; rennetted milk, unflavoured</w:t>
            </w:r>
          </w:p>
        </w:tc>
        <w:tc>
          <w:tcPr>
            <w:tcW w:w="725" w:type="dxa"/>
            <w:shd w:val="clear" w:color="auto" w:fill="auto"/>
            <w:vAlign w:val="center"/>
          </w:tcPr>
          <w:p w14:paraId="36BC643C" w14:textId="77777777" w:rsidR="00DA2B03" w:rsidRPr="00743F30" w:rsidRDefault="00DA2B03" w:rsidP="00DF510F">
            <w:pPr>
              <w:widowControl/>
              <w:tabs>
                <w:tab w:val="decimal" w:pos="340"/>
              </w:tabs>
              <w:rPr>
                <w:rFonts w:cs="Arial"/>
                <w:color w:val="000000"/>
                <w:sz w:val="18"/>
                <w:szCs w:val="18"/>
                <w:highlight w:val="magenta"/>
                <w:lang w:eastAsia="en-GB" w:bidi="ar-SA"/>
              </w:rPr>
            </w:pPr>
            <w:r w:rsidRPr="00A94762">
              <w:rPr>
                <w:rFonts w:cs="Arial"/>
                <w:color w:val="000000"/>
                <w:sz w:val="18"/>
                <w:szCs w:val="18"/>
              </w:rPr>
              <w:t>&lt;1</w:t>
            </w:r>
          </w:p>
        </w:tc>
        <w:tc>
          <w:tcPr>
            <w:tcW w:w="725" w:type="dxa"/>
            <w:vAlign w:val="center"/>
          </w:tcPr>
          <w:p w14:paraId="745E34C6" w14:textId="77777777" w:rsidR="00DA2B03" w:rsidRPr="00A20B5B" w:rsidRDefault="00DA2B03" w:rsidP="00DF510F">
            <w:pPr>
              <w:widowControl/>
              <w:tabs>
                <w:tab w:val="decimal" w:pos="340"/>
              </w:tabs>
              <w:rPr>
                <w:rFonts w:cs="Arial"/>
                <w:color w:val="000000"/>
                <w:sz w:val="18"/>
                <w:szCs w:val="18"/>
              </w:rPr>
            </w:pPr>
            <w:r w:rsidRPr="00A94762">
              <w:rPr>
                <w:rFonts w:cs="Arial"/>
                <w:color w:val="000000"/>
                <w:sz w:val="18"/>
                <w:szCs w:val="18"/>
              </w:rPr>
              <w:t>&lt;1</w:t>
            </w:r>
          </w:p>
        </w:tc>
        <w:tc>
          <w:tcPr>
            <w:tcW w:w="725" w:type="dxa"/>
            <w:tcBorders>
              <w:bottom w:val="single" w:sz="4" w:space="0" w:color="auto"/>
            </w:tcBorders>
            <w:shd w:val="clear" w:color="auto" w:fill="auto"/>
            <w:vAlign w:val="center"/>
          </w:tcPr>
          <w:p w14:paraId="5D1B8E1C" w14:textId="77777777" w:rsidR="00DA2B03" w:rsidRPr="00743F30" w:rsidRDefault="00DA2B03" w:rsidP="00DF510F">
            <w:pPr>
              <w:widowControl/>
              <w:tabs>
                <w:tab w:val="decimal" w:pos="340"/>
              </w:tabs>
              <w:rPr>
                <w:rFonts w:cs="Arial"/>
                <w:color w:val="000000"/>
                <w:sz w:val="18"/>
                <w:szCs w:val="18"/>
                <w:highlight w:val="magenta"/>
                <w:lang w:eastAsia="en-GB" w:bidi="ar-SA"/>
              </w:rPr>
            </w:pPr>
            <w:r w:rsidRPr="00A94762">
              <w:rPr>
                <w:rFonts w:cs="Arial"/>
                <w:color w:val="000000"/>
                <w:sz w:val="18"/>
                <w:szCs w:val="18"/>
              </w:rPr>
              <w:t>3</w:t>
            </w:r>
          </w:p>
        </w:tc>
        <w:tc>
          <w:tcPr>
            <w:tcW w:w="725" w:type="dxa"/>
            <w:shd w:val="clear" w:color="auto" w:fill="auto"/>
            <w:vAlign w:val="center"/>
          </w:tcPr>
          <w:p w14:paraId="05279D85" w14:textId="77777777" w:rsidR="00DA2B03" w:rsidRPr="00743F30" w:rsidRDefault="00DA2B03" w:rsidP="00DF510F">
            <w:pPr>
              <w:widowControl/>
              <w:tabs>
                <w:tab w:val="decimal" w:pos="340"/>
              </w:tabs>
              <w:rPr>
                <w:rFonts w:cs="Arial"/>
                <w:sz w:val="18"/>
                <w:szCs w:val="18"/>
                <w:highlight w:val="magenta"/>
                <w:lang w:eastAsia="en-GB" w:bidi="ar-SA"/>
              </w:rPr>
            </w:pPr>
            <w:r w:rsidRPr="00A94762">
              <w:rPr>
                <w:rFonts w:cs="Arial"/>
                <w:sz w:val="18"/>
                <w:szCs w:val="18"/>
              </w:rPr>
              <w:t>&lt;1</w:t>
            </w:r>
          </w:p>
        </w:tc>
        <w:tc>
          <w:tcPr>
            <w:tcW w:w="725" w:type="dxa"/>
            <w:vAlign w:val="center"/>
          </w:tcPr>
          <w:p w14:paraId="5BD2A685" w14:textId="77777777" w:rsidR="00DA2B03" w:rsidRPr="00A20B5B" w:rsidRDefault="00DA2B03" w:rsidP="00DF510F">
            <w:pPr>
              <w:widowControl/>
              <w:tabs>
                <w:tab w:val="decimal" w:pos="340"/>
              </w:tabs>
              <w:rPr>
                <w:rFonts w:cs="Arial"/>
                <w:sz w:val="18"/>
                <w:szCs w:val="18"/>
              </w:rPr>
            </w:pPr>
            <w:r w:rsidRPr="00A94762">
              <w:rPr>
                <w:rFonts w:cs="Arial"/>
                <w:sz w:val="18"/>
                <w:szCs w:val="18"/>
              </w:rPr>
              <w:t>&lt;1</w:t>
            </w:r>
          </w:p>
        </w:tc>
        <w:tc>
          <w:tcPr>
            <w:tcW w:w="725" w:type="dxa"/>
            <w:tcBorders>
              <w:bottom w:val="single" w:sz="4" w:space="0" w:color="auto"/>
            </w:tcBorders>
            <w:shd w:val="clear" w:color="auto" w:fill="auto"/>
            <w:vAlign w:val="center"/>
          </w:tcPr>
          <w:p w14:paraId="3B4B26CA" w14:textId="77777777" w:rsidR="00DA2B03" w:rsidRPr="00743F30" w:rsidRDefault="00DA2B03" w:rsidP="00DF510F">
            <w:pPr>
              <w:widowControl/>
              <w:tabs>
                <w:tab w:val="decimal" w:pos="340"/>
              </w:tabs>
              <w:rPr>
                <w:rFonts w:cs="Arial"/>
                <w:sz w:val="18"/>
                <w:szCs w:val="18"/>
                <w:highlight w:val="magenta"/>
                <w:lang w:eastAsia="en-GB" w:bidi="ar-SA"/>
              </w:rPr>
            </w:pPr>
            <w:r w:rsidRPr="00A94762">
              <w:rPr>
                <w:rFonts w:cs="Arial"/>
                <w:sz w:val="18"/>
                <w:szCs w:val="18"/>
              </w:rPr>
              <w:t>1</w:t>
            </w:r>
          </w:p>
        </w:tc>
        <w:tc>
          <w:tcPr>
            <w:tcW w:w="827" w:type="dxa"/>
            <w:shd w:val="clear" w:color="auto" w:fill="auto"/>
            <w:vAlign w:val="center"/>
          </w:tcPr>
          <w:p w14:paraId="4D1BF17E" w14:textId="77777777" w:rsidR="00DA2B03" w:rsidRPr="00743F30" w:rsidRDefault="00DA2B03" w:rsidP="00DF510F">
            <w:pPr>
              <w:widowControl/>
              <w:tabs>
                <w:tab w:val="decimal" w:pos="340"/>
              </w:tabs>
              <w:rPr>
                <w:rFonts w:cs="Arial"/>
                <w:sz w:val="18"/>
                <w:szCs w:val="18"/>
                <w:highlight w:val="magenta"/>
                <w:lang w:eastAsia="en-GB" w:bidi="ar-SA"/>
              </w:rPr>
            </w:pPr>
            <w:r w:rsidRPr="00A94762">
              <w:rPr>
                <w:rFonts w:cs="Arial"/>
                <w:sz w:val="18"/>
                <w:szCs w:val="18"/>
              </w:rPr>
              <w:t>&lt;1</w:t>
            </w:r>
          </w:p>
        </w:tc>
        <w:tc>
          <w:tcPr>
            <w:tcW w:w="827" w:type="dxa"/>
            <w:vAlign w:val="center"/>
          </w:tcPr>
          <w:p w14:paraId="440C4E02" w14:textId="77777777" w:rsidR="00DA2B03" w:rsidRPr="00A20B5B" w:rsidRDefault="00DA2B03" w:rsidP="00DF510F">
            <w:pPr>
              <w:widowControl/>
              <w:tabs>
                <w:tab w:val="decimal" w:pos="340"/>
              </w:tabs>
              <w:rPr>
                <w:rFonts w:cs="Arial"/>
                <w:sz w:val="18"/>
                <w:szCs w:val="18"/>
              </w:rPr>
            </w:pPr>
            <w:r w:rsidRPr="00A94762">
              <w:rPr>
                <w:rFonts w:cs="Arial"/>
                <w:sz w:val="18"/>
                <w:szCs w:val="18"/>
              </w:rPr>
              <w:t>&lt;1</w:t>
            </w:r>
          </w:p>
        </w:tc>
        <w:tc>
          <w:tcPr>
            <w:tcW w:w="827" w:type="dxa"/>
            <w:tcBorders>
              <w:bottom w:val="single" w:sz="4" w:space="0" w:color="auto"/>
            </w:tcBorders>
            <w:shd w:val="clear" w:color="auto" w:fill="auto"/>
            <w:vAlign w:val="center"/>
          </w:tcPr>
          <w:p w14:paraId="27197766" w14:textId="77777777" w:rsidR="00DA2B03" w:rsidRPr="00743F30" w:rsidRDefault="00DA2B03" w:rsidP="00DF510F">
            <w:pPr>
              <w:widowControl/>
              <w:tabs>
                <w:tab w:val="decimal" w:pos="340"/>
              </w:tabs>
              <w:rPr>
                <w:rFonts w:cs="Arial"/>
                <w:sz w:val="18"/>
                <w:szCs w:val="18"/>
                <w:highlight w:val="magenta"/>
                <w:lang w:eastAsia="en-GB" w:bidi="ar-SA"/>
              </w:rPr>
            </w:pPr>
            <w:r w:rsidRPr="00A94762">
              <w:rPr>
                <w:rFonts w:cs="Arial"/>
                <w:sz w:val="18"/>
                <w:szCs w:val="18"/>
              </w:rPr>
              <w:t>1</w:t>
            </w:r>
          </w:p>
        </w:tc>
        <w:tc>
          <w:tcPr>
            <w:tcW w:w="827" w:type="dxa"/>
            <w:shd w:val="clear" w:color="auto" w:fill="auto"/>
            <w:vAlign w:val="center"/>
          </w:tcPr>
          <w:p w14:paraId="17064146" w14:textId="77777777" w:rsidR="00DA2B03" w:rsidRPr="00743F30" w:rsidRDefault="00DA2B03" w:rsidP="00DF510F">
            <w:pPr>
              <w:widowControl/>
              <w:tabs>
                <w:tab w:val="decimal" w:pos="340"/>
              </w:tabs>
              <w:rPr>
                <w:rFonts w:cs="Arial"/>
                <w:color w:val="000000"/>
                <w:sz w:val="18"/>
                <w:szCs w:val="18"/>
                <w:highlight w:val="magenta"/>
                <w:lang w:eastAsia="en-GB" w:bidi="ar-SA"/>
              </w:rPr>
            </w:pPr>
            <w:r w:rsidRPr="00A94762">
              <w:rPr>
                <w:rFonts w:cs="Arial"/>
                <w:color w:val="000000"/>
                <w:sz w:val="18"/>
                <w:szCs w:val="18"/>
              </w:rPr>
              <w:t>3</w:t>
            </w:r>
          </w:p>
        </w:tc>
        <w:tc>
          <w:tcPr>
            <w:tcW w:w="827" w:type="dxa"/>
            <w:vAlign w:val="center"/>
          </w:tcPr>
          <w:p w14:paraId="6602DD44" w14:textId="77777777" w:rsidR="00DA2B03" w:rsidRPr="00A20B5B" w:rsidRDefault="00DA2B03" w:rsidP="00DF510F">
            <w:pPr>
              <w:widowControl/>
              <w:tabs>
                <w:tab w:val="decimal" w:pos="340"/>
              </w:tabs>
              <w:rPr>
                <w:rFonts w:cs="Arial"/>
                <w:color w:val="000000"/>
                <w:sz w:val="18"/>
                <w:szCs w:val="18"/>
              </w:rPr>
            </w:pPr>
            <w:r w:rsidRPr="00A94762">
              <w:rPr>
                <w:rFonts w:cs="Arial"/>
                <w:color w:val="000000"/>
                <w:sz w:val="18"/>
                <w:szCs w:val="18"/>
              </w:rPr>
              <w:t>3</w:t>
            </w:r>
          </w:p>
        </w:tc>
        <w:tc>
          <w:tcPr>
            <w:tcW w:w="556" w:type="dxa"/>
            <w:shd w:val="clear" w:color="auto" w:fill="D9D9D9" w:themeFill="background1" w:themeFillShade="D9"/>
            <w:vAlign w:val="center"/>
          </w:tcPr>
          <w:p w14:paraId="16EF5472" w14:textId="77777777" w:rsidR="00DA2B03" w:rsidRPr="00743F30" w:rsidRDefault="00DA2B03" w:rsidP="00DF510F">
            <w:pPr>
              <w:widowControl/>
              <w:tabs>
                <w:tab w:val="decimal" w:pos="340"/>
              </w:tabs>
              <w:rPr>
                <w:rFonts w:cs="Arial"/>
                <w:color w:val="000000"/>
                <w:sz w:val="18"/>
                <w:szCs w:val="18"/>
                <w:highlight w:val="magenta"/>
                <w:lang w:eastAsia="en-GB" w:bidi="ar-SA"/>
              </w:rPr>
            </w:pPr>
            <w:r w:rsidRPr="00A94762">
              <w:rPr>
                <w:rFonts w:cs="Arial"/>
                <w:color w:val="000000"/>
                <w:sz w:val="18"/>
                <w:szCs w:val="18"/>
              </w:rPr>
              <w:t>7</w:t>
            </w:r>
          </w:p>
        </w:tc>
      </w:tr>
      <w:tr w:rsidR="00DA2B03" w:rsidRPr="00B83846" w14:paraId="2B5E9A2A" w14:textId="77777777" w:rsidTr="00221A11">
        <w:trPr>
          <w:cantSplit/>
        </w:trPr>
        <w:tc>
          <w:tcPr>
            <w:tcW w:w="1276" w:type="dxa"/>
            <w:shd w:val="clear" w:color="auto" w:fill="D9D9D9" w:themeFill="background1" w:themeFillShade="D9"/>
            <w:vAlign w:val="center"/>
            <w:hideMark/>
          </w:tcPr>
          <w:p w14:paraId="3F6CBAB3" w14:textId="77777777" w:rsidR="00DA2B03" w:rsidRPr="00B83846" w:rsidRDefault="00DA2B03" w:rsidP="00DF510F">
            <w:pPr>
              <w:widowControl/>
              <w:rPr>
                <w:rFonts w:cs="Arial"/>
                <w:color w:val="000000"/>
                <w:sz w:val="18"/>
                <w:szCs w:val="18"/>
                <w:lang w:eastAsia="en-GB" w:bidi="ar-SA"/>
              </w:rPr>
            </w:pPr>
            <w:r w:rsidRPr="00B83846">
              <w:rPr>
                <w:rFonts w:cs="Arial"/>
                <w:color w:val="000000"/>
                <w:sz w:val="18"/>
                <w:szCs w:val="18"/>
                <w:lang w:eastAsia="en-GB" w:bidi="ar-SA"/>
              </w:rPr>
              <w:t>1.2.2</w:t>
            </w:r>
          </w:p>
        </w:tc>
        <w:tc>
          <w:tcPr>
            <w:tcW w:w="451" w:type="dxa"/>
            <w:tcBorders>
              <w:right w:val="nil"/>
            </w:tcBorders>
            <w:shd w:val="clear" w:color="auto" w:fill="D9D9D9" w:themeFill="background1" w:themeFillShade="D9"/>
            <w:vAlign w:val="center"/>
          </w:tcPr>
          <w:p w14:paraId="494337D3" w14:textId="77777777" w:rsidR="00DA2B03" w:rsidRPr="00B83846" w:rsidRDefault="00DA2B03" w:rsidP="00DF510F">
            <w:pPr>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32C1687A" w14:textId="77777777" w:rsidR="00DA2B03" w:rsidRPr="00B83846" w:rsidRDefault="00DA2B03" w:rsidP="00DF510F">
            <w:pPr>
              <w:widowControl/>
              <w:rPr>
                <w:rFonts w:cs="Arial"/>
                <w:color w:val="000000"/>
                <w:sz w:val="18"/>
                <w:szCs w:val="18"/>
                <w:lang w:eastAsia="en-GB" w:bidi="ar-SA"/>
              </w:rPr>
            </w:pPr>
            <w:r w:rsidRPr="00B83846">
              <w:rPr>
                <w:rFonts w:cs="Arial"/>
                <w:color w:val="000000"/>
                <w:sz w:val="18"/>
                <w:szCs w:val="18"/>
                <w:lang w:eastAsia="en-GB" w:bidi="ar-SA"/>
              </w:rPr>
              <w:t>Fermented &amp; rennetted milk prod, flavoured</w:t>
            </w:r>
          </w:p>
        </w:tc>
        <w:tc>
          <w:tcPr>
            <w:tcW w:w="725" w:type="dxa"/>
            <w:shd w:val="clear" w:color="auto" w:fill="auto"/>
            <w:vAlign w:val="center"/>
          </w:tcPr>
          <w:p w14:paraId="40D1ED75"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vAlign w:val="center"/>
          </w:tcPr>
          <w:p w14:paraId="508F72E0" w14:textId="77777777" w:rsidR="00DA2B03" w:rsidRPr="00A20B5B" w:rsidRDefault="00DA2B03" w:rsidP="00DF510F">
            <w:pPr>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D9D9D9" w:themeFill="background1" w:themeFillShade="D9"/>
            <w:vAlign w:val="center"/>
          </w:tcPr>
          <w:p w14:paraId="2A36DF42"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8</w:t>
            </w:r>
          </w:p>
        </w:tc>
        <w:tc>
          <w:tcPr>
            <w:tcW w:w="725" w:type="dxa"/>
            <w:shd w:val="clear" w:color="auto" w:fill="auto"/>
            <w:vAlign w:val="center"/>
          </w:tcPr>
          <w:p w14:paraId="161F9F53"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&lt;1</w:t>
            </w:r>
          </w:p>
        </w:tc>
        <w:tc>
          <w:tcPr>
            <w:tcW w:w="725" w:type="dxa"/>
            <w:vAlign w:val="center"/>
          </w:tcPr>
          <w:p w14:paraId="562FFD68" w14:textId="77777777" w:rsidR="00DA2B03" w:rsidRPr="00A20B5B" w:rsidRDefault="00DA2B03" w:rsidP="00DF510F">
            <w:pPr>
              <w:widowControl/>
              <w:tabs>
                <w:tab w:val="decimal" w:pos="340"/>
              </w:tabs>
              <w:rPr>
                <w:rFonts w:cs="Arial"/>
                <w:sz w:val="18"/>
                <w:szCs w:val="18"/>
              </w:rPr>
            </w:pPr>
            <w:r w:rsidRPr="003A7740">
              <w:rPr>
                <w:rFonts w:cs="Arial"/>
                <w:sz w:val="18"/>
                <w:szCs w:val="18"/>
              </w:rPr>
              <w:t>&lt;1</w:t>
            </w:r>
          </w:p>
        </w:tc>
        <w:tc>
          <w:tcPr>
            <w:tcW w:w="725" w:type="dxa"/>
            <w:shd w:val="clear" w:color="auto" w:fill="D9D9D9" w:themeFill="background1" w:themeFillShade="D9"/>
            <w:vAlign w:val="center"/>
          </w:tcPr>
          <w:p w14:paraId="0A1958D9"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5</w:t>
            </w:r>
          </w:p>
        </w:tc>
        <w:tc>
          <w:tcPr>
            <w:tcW w:w="827" w:type="dxa"/>
            <w:shd w:val="clear" w:color="auto" w:fill="auto"/>
            <w:vAlign w:val="center"/>
          </w:tcPr>
          <w:p w14:paraId="09723D0D"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&lt;1</w:t>
            </w:r>
          </w:p>
        </w:tc>
        <w:tc>
          <w:tcPr>
            <w:tcW w:w="827" w:type="dxa"/>
            <w:vAlign w:val="center"/>
          </w:tcPr>
          <w:p w14:paraId="7E9CC262" w14:textId="77777777" w:rsidR="00DA2B03" w:rsidRPr="00A20B5B" w:rsidRDefault="00DA2B03" w:rsidP="00DF510F">
            <w:pPr>
              <w:widowControl/>
              <w:tabs>
                <w:tab w:val="decimal" w:pos="340"/>
              </w:tabs>
              <w:rPr>
                <w:rFonts w:cs="Arial"/>
                <w:sz w:val="18"/>
                <w:szCs w:val="18"/>
              </w:rPr>
            </w:pPr>
            <w:r w:rsidRPr="003A7740">
              <w:rPr>
                <w:rFonts w:cs="Arial"/>
                <w:sz w:val="18"/>
                <w:szCs w:val="18"/>
              </w:rPr>
              <w:t>&lt;1</w:t>
            </w:r>
          </w:p>
        </w:tc>
        <w:tc>
          <w:tcPr>
            <w:tcW w:w="827" w:type="dxa"/>
            <w:shd w:val="clear" w:color="auto" w:fill="D9D9D9" w:themeFill="background1" w:themeFillShade="D9"/>
            <w:vAlign w:val="center"/>
          </w:tcPr>
          <w:p w14:paraId="5EDA1F50"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5</w:t>
            </w:r>
          </w:p>
        </w:tc>
        <w:tc>
          <w:tcPr>
            <w:tcW w:w="827" w:type="dxa"/>
            <w:shd w:val="clear" w:color="auto" w:fill="auto"/>
            <w:vAlign w:val="center"/>
          </w:tcPr>
          <w:p w14:paraId="70F027B0"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2</w:t>
            </w:r>
          </w:p>
        </w:tc>
        <w:tc>
          <w:tcPr>
            <w:tcW w:w="827" w:type="dxa"/>
            <w:vAlign w:val="center"/>
          </w:tcPr>
          <w:p w14:paraId="482F6CCB" w14:textId="77777777" w:rsidR="00DA2B03" w:rsidRPr="00A20B5B" w:rsidRDefault="00DA2B03" w:rsidP="00DF510F">
            <w:pPr>
              <w:widowControl/>
              <w:tabs>
                <w:tab w:val="decimal" w:pos="340"/>
              </w:tabs>
              <w:rPr>
                <w:rFonts w:cs="Arial"/>
                <w:color w:val="000000"/>
                <w:sz w:val="18"/>
                <w:szCs w:val="18"/>
              </w:rPr>
            </w:pPr>
            <w:r w:rsidRPr="003A7740">
              <w:rPr>
                <w:rFonts w:cs="Arial"/>
                <w:color w:val="000000"/>
                <w:sz w:val="18"/>
                <w:szCs w:val="18"/>
              </w:rPr>
              <w:t>2</w:t>
            </w:r>
          </w:p>
        </w:tc>
        <w:tc>
          <w:tcPr>
            <w:tcW w:w="556" w:type="dxa"/>
            <w:shd w:val="clear" w:color="auto" w:fill="auto"/>
            <w:vAlign w:val="center"/>
          </w:tcPr>
          <w:p w14:paraId="5E6D8A46"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4</w:t>
            </w:r>
          </w:p>
        </w:tc>
      </w:tr>
      <w:tr w:rsidR="00E907D7" w:rsidRPr="002D2C2D" w14:paraId="0EC2F458" w14:textId="77777777" w:rsidTr="00DA2B03">
        <w:trPr>
          <w:cantSplit/>
        </w:trPr>
        <w:tc>
          <w:tcPr>
            <w:tcW w:w="1276" w:type="dxa"/>
            <w:shd w:val="clear" w:color="auto" w:fill="auto"/>
            <w:vAlign w:val="center"/>
            <w:hideMark/>
          </w:tcPr>
          <w:p w14:paraId="780EC41E"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2</w:t>
            </w:r>
          </w:p>
        </w:tc>
        <w:tc>
          <w:tcPr>
            <w:tcW w:w="3915" w:type="dxa"/>
            <w:gridSpan w:val="3"/>
            <w:tcBorders>
              <w:bottom w:val="single" w:sz="4" w:space="0" w:color="auto"/>
            </w:tcBorders>
            <w:shd w:val="clear" w:color="auto" w:fill="auto"/>
            <w:vAlign w:val="center"/>
          </w:tcPr>
          <w:p w14:paraId="6986BD4A"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All Edible oils &amp; oil emulsions</w:t>
            </w:r>
          </w:p>
        </w:tc>
        <w:tc>
          <w:tcPr>
            <w:tcW w:w="725" w:type="dxa"/>
            <w:shd w:val="clear" w:color="auto" w:fill="auto"/>
            <w:vAlign w:val="center"/>
          </w:tcPr>
          <w:p w14:paraId="7118AC9A" w14:textId="77777777" w:rsidR="00E907D7" w:rsidRPr="002D2C2D" w:rsidRDefault="00E907D7" w:rsidP="00E907D7">
            <w:pPr>
              <w:widowControl/>
              <w:tabs>
                <w:tab w:val="decimal" w:pos="340"/>
              </w:tabs>
              <w:rPr>
                <w:rFonts w:cs="Arial"/>
                <w:bCs/>
                <w:sz w:val="18"/>
                <w:szCs w:val="18"/>
                <w:highlight w:val="magenta"/>
                <w:lang w:eastAsia="en-GB" w:bidi="ar-SA"/>
              </w:rPr>
            </w:pPr>
            <w:r w:rsidRPr="002D2C2D">
              <w:rPr>
                <w:rFonts w:cs="Arial"/>
                <w:bCs/>
                <w:sz w:val="18"/>
                <w:szCs w:val="18"/>
              </w:rPr>
              <w:t>&lt;1</w:t>
            </w:r>
          </w:p>
        </w:tc>
        <w:tc>
          <w:tcPr>
            <w:tcW w:w="725" w:type="dxa"/>
            <w:vAlign w:val="center"/>
          </w:tcPr>
          <w:p w14:paraId="5AA27F4A" w14:textId="77777777" w:rsidR="00E907D7" w:rsidRPr="002D2C2D" w:rsidRDefault="00E907D7" w:rsidP="00E907D7">
            <w:pPr>
              <w:widowControl/>
              <w:tabs>
                <w:tab w:val="decimal" w:pos="340"/>
              </w:tabs>
              <w:rPr>
                <w:rFonts w:cs="Arial"/>
                <w:bCs/>
                <w:sz w:val="18"/>
                <w:szCs w:val="18"/>
              </w:rPr>
            </w:pPr>
            <w:r w:rsidRPr="002D2C2D">
              <w:rPr>
                <w:rFonts w:cs="Arial"/>
                <w:bCs/>
                <w:sz w:val="18"/>
                <w:szCs w:val="18"/>
              </w:rPr>
              <w:t>&lt;1</w:t>
            </w:r>
          </w:p>
        </w:tc>
        <w:tc>
          <w:tcPr>
            <w:tcW w:w="725" w:type="dxa"/>
            <w:shd w:val="clear" w:color="auto" w:fill="auto"/>
            <w:vAlign w:val="center"/>
          </w:tcPr>
          <w:p w14:paraId="26FA10BA" w14:textId="77777777" w:rsidR="00E907D7" w:rsidRPr="002D2C2D" w:rsidRDefault="00E907D7" w:rsidP="00E907D7">
            <w:pPr>
              <w:widowControl/>
              <w:tabs>
                <w:tab w:val="decimal" w:pos="340"/>
              </w:tabs>
              <w:rPr>
                <w:rFonts w:cs="Arial"/>
                <w:bCs/>
                <w:sz w:val="18"/>
                <w:szCs w:val="18"/>
                <w:highlight w:val="magenta"/>
                <w:lang w:eastAsia="en-GB" w:bidi="ar-SA"/>
              </w:rPr>
            </w:pPr>
            <w:r w:rsidRPr="002D2C2D">
              <w:rPr>
                <w:rFonts w:cs="Arial"/>
                <w:bCs/>
                <w:sz w:val="18"/>
                <w:szCs w:val="18"/>
              </w:rPr>
              <w:t>&lt;1</w:t>
            </w:r>
          </w:p>
        </w:tc>
        <w:tc>
          <w:tcPr>
            <w:tcW w:w="725" w:type="dxa"/>
            <w:shd w:val="clear" w:color="auto" w:fill="auto"/>
            <w:vAlign w:val="center"/>
          </w:tcPr>
          <w:p w14:paraId="6260770D"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725" w:type="dxa"/>
            <w:vAlign w:val="center"/>
          </w:tcPr>
          <w:p w14:paraId="29C41281"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725" w:type="dxa"/>
            <w:shd w:val="clear" w:color="auto" w:fill="auto"/>
            <w:vAlign w:val="center"/>
          </w:tcPr>
          <w:p w14:paraId="62069E1A"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827" w:type="dxa"/>
            <w:shd w:val="clear" w:color="auto" w:fill="auto"/>
            <w:vAlign w:val="center"/>
          </w:tcPr>
          <w:p w14:paraId="32EC30F9"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827" w:type="dxa"/>
            <w:vAlign w:val="center"/>
          </w:tcPr>
          <w:p w14:paraId="2A1F9F05"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827" w:type="dxa"/>
            <w:shd w:val="clear" w:color="auto" w:fill="auto"/>
            <w:vAlign w:val="center"/>
          </w:tcPr>
          <w:p w14:paraId="1A243F23"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827" w:type="dxa"/>
            <w:shd w:val="clear" w:color="auto" w:fill="auto"/>
            <w:vAlign w:val="center"/>
          </w:tcPr>
          <w:p w14:paraId="7B96DDA7"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827" w:type="dxa"/>
            <w:vAlign w:val="center"/>
          </w:tcPr>
          <w:p w14:paraId="65C25BDB"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556" w:type="dxa"/>
            <w:shd w:val="clear" w:color="auto" w:fill="auto"/>
            <w:vAlign w:val="center"/>
          </w:tcPr>
          <w:p w14:paraId="6C4ADB10"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r>
      <w:tr w:rsidR="00E907D7" w:rsidRPr="002D2C2D" w14:paraId="6848C956" w14:textId="77777777" w:rsidTr="00DA2B03">
        <w:trPr>
          <w:cantSplit/>
        </w:trPr>
        <w:tc>
          <w:tcPr>
            <w:tcW w:w="1276" w:type="dxa"/>
            <w:shd w:val="clear" w:color="auto" w:fill="auto"/>
            <w:vAlign w:val="center"/>
            <w:hideMark/>
          </w:tcPr>
          <w:p w14:paraId="729BD811"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3</w:t>
            </w:r>
          </w:p>
        </w:tc>
        <w:tc>
          <w:tcPr>
            <w:tcW w:w="3915" w:type="dxa"/>
            <w:gridSpan w:val="3"/>
            <w:shd w:val="clear" w:color="auto" w:fill="auto"/>
            <w:vAlign w:val="center"/>
          </w:tcPr>
          <w:p w14:paraId="5FBCEA87"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All Ice cream &amp; edible ices</w:t>
            </w:r>
          </w:p>
        </w:tc>
        <w:tc>
          <w:tcPr>
            <w:tcW w:w="725" w:type="dxa"/>
            <w:shd w:val="clear" w:color="auto" w:fill="auto"/>
            <w:vAlign w:val="center"/>
          </w:tcPr>
          <w:p w14:paraId="6D7E1BAD"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725" w:type="dxa"/>
            <w:vAlign w:val="center"/>
          </w:tcPr>
          <w:p w14:paraId="19F8A580"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725" w:type="dxa"/>
            <w:shd w:val="clear" w:color="auto" w:fill="auto"/>
            <w:vAlign w:val="center"/>
          </w:tcPr>
          <w:p w14:paraId="72F1D778"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725" w:type="dxa"/>
            <w:shd w:val="clear" w:color="auto" w:fill="auto"/>
            <w:vAlign w:val="center"/>
          </w:tcPr>
          <w:p w14:paraId="42E40ABC"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725" w:type="dxa"/>
            <w:vAlign w:val="center"/>
          </w:tcPr>
          <w:p w14:paraId="417C96C1"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725" w:type="dxa"/>
            <w:shd w:val="clear" w:color="auto" w:fill="auto"/>
            <w:vAlign w:val="center"/>
          </w:tcPr>
          <w:p w14:paraId="63B03663"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827" w:type="dxa"/>
            <w:shd w:val="clear" w:color="auto" w:fill="auto"/>
            <w:vAlign w:val="center"/>
          </w:tcPr>
          <w:p w14:paraId="7A2370B8"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827" w:type="dxa"/>
            <w:vAlign w:val="center"/>
          </w:tcPr>
          <w:p w14:paraId="3CA82D3E"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827" w:type="dxa"/>
            <w:shd w:val="clear" w:color="auto" w:fill="auto"/>
            <w:vAlign w:val="center"/>
          </w:tcPr>
          <w:p w14:paraId="1ADC7AAB"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827" w:type="dxa"/>
            <w:shd w:val="clear" w:color="auto" w:fill="auto"/>
            <w:vAlign w:val="center"/>
          </w:tcPr>
          <w:p w14:paraId="175AAF1E"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2</w:t>
            </w:r>
          </w:p>
        </w:tc>
        <w:tc>
          <w:tcPr>
            <w:tcW w:w="827" w:type="dxa"/>
            <w:vAlign w:val="center"/>
          </w:tcPr>
          <w:p w14:paraId="0CFCBFD5"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2</w:t>
            </w:r>
          </w:p>
        </w:tc>
        <w:tc>
          <w:tcPr>
            <w:tcW w:w="556" w:type="dxa"/>
            <w:shd w:val="clear" w:color="auto" w:fill="auto"/>
            <w:vAlign w:val="center"/>
          </w:tcPr>
          <w:p w14:paraId="57580F1E"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r>
      <w:tr w:rsidR="00E907D7" w:rsidRPr="002D2C2D" w14:paraId="30EED372" w14:textId="77777777" w:rsidTr="00DA2B03">
        <w:trPr>
          <w:cantSplit/>
        </w:trPr>
        <w:tc>
          <w:tcPr>
            <w:tcW w:w="1276" w:type="dxa"/>
            <w:shd w:val="clear" w:color="auto" w:fill="D9D9D9" w:themeFill="background1" w:themeFillShade="D9"/>
            <w:vAlign w:val="center"/>
            <w:hideMark/>
          </w:tcPr>
          <w:p w14:paraId="6B9DF17A" w14:textId="77777777" w:rsidR="00E907D7" w:rsidRPr="002D2C2D" w:rsidRDefault="00E907D7" w:rsidP="002D2C2D">
            <w:pPr>
              <w:rPr>
                <w:rFonts w:cs="Arial"/>
                <w:bCs/>
                <w:color w:val="000000"/>
                <w:sz w:val="18"/>
                <w:szCs w:val="18"/>
                <w:lang w:eastAsia="en-GB" w:bidi="ar-SA"/>
              </w:rPr>
            </w:pPr>
            <w:r w:rsidRPr="002D2C2D">
              <w:rPr>
                <w:rFonts w:cs="Arial"/>
                <w:bCs/>
                <w:color w:val="000000"/>
                <w:sz w:val="18"/>
                <w:szCs w:val="18"/>
                <w:lang w:eastAsia="en-GB" w:bidi="ar-SA"/>
              </w:rPr>
              <w:t>4</w:t>
            </w:r>
          </w:p>
        </w:tc>
        <w:tc>
          <w:tcPr>
            <w:tcW w:w="3915" w:type="dxa"/>
            <w:gridSpan w:val="3"/>
            <w:tcBorders>
              <w:bottom w:val="single" w:sz="4" w:space="0" w:color="auto"/>
            </w:tcBorders>
            <w:shd w:val="clear" w:color="auto" w:fill="D9D9D9" w:themeFill="background1" w:themeFillShade="D9"/>
            <w:vAlign w:val="center"/>
          </w:tcPr>
          <w:p w14:paraId="2545C138" w14:textId="77777777" w:rsidR="00E907D7" w:rsidRPr="002D2C2D" w:rsidRDefault="00E907D7" w:rsidP="00E907D7">
            <w:pPr>
              <w:keepNext/>
              <w:keepLines/>
              <w:widowControl/>
              <w:rPr>
                <w:rFonts w:cs="Arial"/>
                <w:bCs/>
                <w:color w:val="000000"/>
                <w:sz w:val="18"/>
                <w:szCs w:val="18"/>
                <w:lang w:eastAsia="en-GB" w:bidi="ar-SA"/>
              </w:rPr>
            </w:pPr>
            <w:r w:rsidRPr="002D2C2D">
              <w:rPr>
                <w:rFonts w:cs="Arial"/>
                <w:bCs/>
                <w:color w:val="000000"/>
                <w:sz w:val="18"/>
                <w:szCs w:val="18"/>
                <w:lang w:eastAsia="en-GB" w:bidi="ar-SA"/>
              </w:rPr>
              <w:t>All Fruit &amp; vegetables (including fungi/ nuts/ seeds/ herbs/ spices)</w:t>
            </w:r>
          </w:p>
        </w:tc>
        <w:tc>
          <w:tcPr>
            <w:tcW w:w="725" w:type="dxa"/>
            <w:shd w:val="clear" w:color="auto" w:fill="auto"/>
            <w:vAlign w:val="center"/>
          </w:tcPr>
          <w:p w14:paraId="00124A67"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3</w:t>
            </w:r>
          </w:p>
        </w:tc>
        <w:tc>
          <w:tcPr>
            <w:tcW w:w="725" w:type="dxa"/>
            <w:vAlign w:val="center"/>
          </w:tcPr>
          <w:p w14:paraId="58BD08B7"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2</w:t>
            </w:r>
          </w:p>
        </w:tc>
        <w:tc>
          <w:tcPr>
            <w:tcW w:w="725" w:type="dxa"/>
            <w:shd w:val="clear" w:color="auto" w:fill="auto"/>
            <w:vAlign w:val="center"/>
          </w:tcPr>
          <w:p w14:paraId="67043044"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725" w:type="dxa"/>
            <w:shd w:val="clear" w:color="auto" w:fill="auto"/>
            <w:vAlign w:val="center"/>
          </w:tcPr>
          <w:p w14:paraId="26BC9BBD"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1</w:t>
            </w:r>
          </w:p>
        </w:tc>
        <w:tc>
          <w:tcPr>
            <w:tcW w:w="725" w:type="dxa"/>
            <w:vAlign w:val="center"/>
          </w:tcPr>
          <w:p w14:paraId="2CAF5EE1"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&lt;1</w:t>
            </w:r>
          </w:p>
        </w:tc>
        <w:tc>
          <w:tcPr>
            <w:tcW w:w="725" w:type="dxa"/>
            <w:shd w:val="clear" w:color="auto" w:fill="auto"/>
            <w:vAlign w:val="center"/>
          </w:tcPr>
          <w:p w14:paraId="5ED7A093"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827" w:type="dxa"/>
            <w:shd w:val="clear" w:color="auto" w:fill="auto"/>
            <w:vAlign w:val="center"/>
          </w:tcPr>
          <w:p w14:paraId="11380225"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1</w:t>
            </w:r>
          </w:p>
        </w:tc>
        <w:tc>
          <w:tcPr>
            <w:tcW w:w="827" w:type="dxa"/>
            <w:vAlign w:val="center"/>
          </w:tcPr>
          <w:p w14:paraId="2CB6F7A5"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&lt;1</w:t>
            </w:r>
          </w:p>
        </w:tc>
        <w:tc>
          <w:tcPr>
            <w:tcW w:w="827" w:type="dxa"/>
            <w:shd w:val="clear" w:color="auto" w:fill="auto"/>
            <w:vAlign w:val="center"/>
          </w:tcPr>
          <w:p w14:paraId="0247433F"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827" w:type="dxa"/>
            <w:shd w:val="clear" w:color="auto" w:fill="D9D9D9" w:themeFill="background1" w:themeFillShade="D9"/>
            <w:vAlign w:val="center"/>
          </w:tcPr>
          <w:p w14:paraId="02EB7440"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11</w:t>
            </w:r>
          </w:p>
        </w:tc>
        <w:tc>
          <w:tcPr>
            <w:tcW w:w="827" w:type="dxa"/>
            <w:shd w:val="clear" w:color="auto" w:fill="D9D9D9" w:themeFill="background1" w:themeFillShade="D9"/>
            <w:vAlign w:val="center"/>
          </w:tcPr>
          <w:p w14:paraId="1DD75CBF"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11</w:t>
            </w:r>
          </w:p>
        </w:tc>
        <w:tc>
          <w:tcPr>
            <w:tcW w:w="556" w:type="dxa"/>
            <w:shd w:val="clear" w:color="auto" w:fill="auto"/>
            <w:vAlign w:val="center"/>
          </w:tcPr>
          <w:p w14:paraId="6A0DDD47"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&lt;1</w:t>
            </w:r>
          </w:p>
        </w:tc>
      </w:tr>
      <w:tr w:rsidR="00E907D7" w:rsidRPr="002D2C2D" w14:paraId="7C36E11F" w14:textId="77777777" w:rsidTr="00DA2B03">
        <w:trPr>
          <w:cantSplit/>
        </w:trPr>
        <w:tc>
          <w:tcPr>
            <w:tcW w:w="1276" w:type="dxa"/>
            <w:shd w:val="clear" w:color="auto" w:fill="auto"/>
            <w:vAlign w:val="center"/>
            <w:hideMark/>
          </w:tcPr>
          <w:p w14:paraId="023F7B2A"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5</w:t>
            </w:r>
          </w:p>
        </w:tc>
        <w:tc>
          <w:tcPr>
            <w:tcW w:w="3915" w:type="dxa"/>
            <w:gridSpan w:val="3"/>
            <w:tcBorders>
              <w:bottom w:val="single" w:sz="4" w:space="0" w:color="auto"/>
            </w:tcBorders>
            <w:shd w:val="clear" w:color="auto" w:fill="auto"/>
            <w:vAlign w:val="center"/>
          </w:tcPr>
          <w:p w14:paraId="5864AC89"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All Confectionery</w:t>
            </w:r>
          </w:p>
        </w:tc>
        <w:tc>
          <w:tcPr>
            <w:tcW w:w="725" w:type="dxa"/>
            <w:shd w:val="clear" w:color="auto" w:fill="auto"/>
            <w:vAlign w:val="center"/>
          </w:tcPr>
          <w:p w14:paraId="293BD90B"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725" w:type="dxa"/>
            <w:shd w:val="clear" w:color="auto" w:fill="auto"/>
            <w:vAlign w:val="center"/>
          </w:tcPr>
          <w:p w14:paraId="78023A3C"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725" w:type="dxa"/>
            <w:shd w:val="clear" w:color="auto" w:fill="auto"/>
            <w:vAlign w:val="center"/>
          </w:tcPr>
          <w:p w14:paraId="0880F554"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4</w:t>
            </w:r>
          </w:p>
        </w:tc>
        <w:tc>
          <w:tcPr>
            <w:tcW w:w="725" w:type="dxa"/>
            <w:shd w:val="clear" w:color="auto" w:fill="auto"/>
            <w:vAlign w:val="center"/>
          </w:tcPr>
          <w:p w14:paraId="56504FC9"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725" w:type="dxa"/>
            <w:shd w:val="clear" w:color="auto" w:fill="auto"/>
            <w:vAlign w:val="center"/>
          </w:tcPr>
          <w:p w14:paraId="6211BBAB"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725" w:type="dxa"/>
            <w:shd w:val="clear" w:color="auto" w:fill="auto"/>
            <w:vAlign w:val="center"/>
          </w:tcPr>
          <w:p w14:paraId="5D596D4E"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2</w:t>
            </w:r>
          </w:p>
        </w:tc>
        <w:tc>
          <w:tcPr>
            <w:tcW w:w="827" w:type="dxa"/>
            <w:shd w:val="clear" w:color="auto" w:fill="auto"/>
            <w:vAlign w:val="center"/>
          </w:tcPr>
          <w:p w14:paraId="4AC32F8A"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827" w:type="dxa"/>
            <w:shd w:val="clear" w:color="auto" w:fill="auto"/>
            <w:vAlign w:val="center"/>
          </w:tcPr>
          <w:p w14:paraId="3D0391AE"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827" w:type="dxa"/>
            <w:shd w:val="clear" w:color="auto" w:fill="auto"/>
            <w:vAlign w:val="center"/>
          </w:tcPr>
          <w:p w14:paraId="4CF8A42A"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2</w:t>
            </w:r>
          </w:p>
        </w:tc>
        <w:tc>
          <w:tcPr>
            <w:tcW w:w="827" w:type="dxa"/>
            <w:shd w:val="clear" w:color="auto" w:fill="auto"/>
            <w:vAlign w:val="center"/>
          </w:tcPr>
          <w:p w14:paraId="79BEC4EF"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2</w:t>
            </w:r>
          </w:p>
        </w:tc>
        <w:tc>
          <w:tcPr>
            <w:tcW w:w="827" w:type="dxa"/>
            <w:shd w:val="clear" w:color="auto" w:fill="auto"/>
            <w:vAlign w:val="center"/>
          </w:tcPr>
          <w:p w14:paraId="2695F152"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2</w:t>
            </w:r>
          </w:p>
        </w:tc>
        <w:tc>
          <w:tcPr>
            <w:tcW w:w="556" w:type="dxa"/>
            <w:shd w:val="clear" w:color="auto" w:fill="auto"/>
            <w:vAlign w:val="center"/>
          </w:tcPr>
          <w:p w14:paraId="6157B13A"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2</w:t>
            </w:r>
          </w:p>
        </w:tc>
      </w:tr>
      <w:tr w:rsidR="00E907D7" w:rsidRPr="002D2C2D" w14:paraId="7D9BC100" w14:textId="77777777" w:rsidTr="00DA2B03">
        <w:trPr>
          <w:cantSplit/>
        </w:trPr>
        <w:tc>
          <w:tcPr>
            <w:tcW w:w="1276" w:type="dxa"/>
            <w:shd w:val="clear" w:color="auto" w:fill="D9D9D9" w:themeFill="background1" w:themeFillShade="D9"/>
            <w:vAlign w:val="center"/>
            <w:hideMark/>
          </w:tcPr>
          <w:p w14:paraId="0FEAB720"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6</w:t>
            </w:r>
          </w:p>
        </w:tc>
        <w:tc>
          <w:tcPr>
            <w:tcW w:w="3915" w:type="dxa"/>
            <w:gridSpan w:val="3"/>
            <w:tcBorders>
              <w:bottom w:val="single" w:sz="4" w:space="0" w:color="auto"/>
            </w:tcBorders>
            <w:shd w:val="clear" w:color="auto" w:fill="D9D9D9" w:themeFill="background1" w:themeFillShade="D9"/>
            <w:vAlign w:val="center"/>
          </w:tcPr>
          <w:p w14:paraId="3A7FFB61"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All Cereals &amp; cereal products</w:t>
            </w:r>
          </w:p>
        </w:tc>
        <w:tc>
          <w:tcPr>
            <w:tcW w:w="725" w:type="dxa"/>
            <w:shd w:val="clear" w:color="auto" w:fill="auto"/>
            <w:vAlign w:val="center"/>
          </w:tcPr>
          <w:p w14:paraId="5ADB7DEC"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725" w:type="dxa"/>
            <w:vAlign w:val="center"/>
          </w:tcPr>
          <w:p w14:paraId="317A9DBA"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725" w:type="dxa"/>
            <w:shd w:val="clear" w:color="auto" w:fill="D9D9D9" w:themeFill="background1" w:themeFillShade="D9"/>
            <w:vAlign w:val="center"/>
          </w:tcPr>
          <w:p w14:paraId="4801BDFD"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12</w:t>
            </w:r>
          </w:p>
        </w:tc>
        <w:tc>
          <w:tcPr>
            <w:tcW w:w="725" w:type="dxa"/>
            <w:shd w:val="clear" w:color="auto" w:fill="auto"/>
            <w:vAlign w:val="center"/>
          </w:tcPr>
          <w:p w14:paraId="05E26F73"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725" w:type="dxa"/>
            <w:vAlign w:val="center"/>
          </w:tcPr>
          <w:p w14:paraId="5ADA4EC4"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725" w:type="dxa"/>
            <w:shd w:val="clear" w:color="auto" w:fill="auto"/>
            <w:vAlign w:val="center"/>
          </w:tcPr>
          <w:p w14:paraId="040C93B1"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4</w:t>
            </w:r>
          </w:p>
        </w:tc>
        <w:tc>
          <w:tcPr>
            <w:tcW w:w="827" w:type="dxa"/>
            <w:shd w:val="clear" w:color="auto" w:fill="auto"/>
            <w:vAlign w:val="center"/>
          </w:tcPr>
          <w:p w14:paraId="718AA2A6"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827" w:type="dxa"/>
            <w:vAlign w:val="center"/>
          </w:tcPr>
          <w:p w14:paraId="6E8EA0BB"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827" w:type="dxa"/>
            <w:tcBorders>
              <w:bottom w:val="single" w:sz="4" w:space="0" w:color="auto"/>
            </w:tcBorders>
            <w:shd w:val="clear" w:color="auto" w:fill="auto"/>
            <w:vAlign w:val="center"/>
          </w:tcPr>
          <w:p w14:paraId="70B90B75"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4</w:t>
            </w:r>
          </w:p>
        </w:tc>
        <w:tc>
          <w:tcPr>
            <w:tcW w:w="827" w:type="dxa"/>
            <w:shd w:val="clear" w:color="auto" w:fill="auto"/>
            <w:vAlign w:val="center"/>
          </w:tcPr>
          <w:p w14:paraId="05F98C81"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2</w:t>
            </w:r>
          </w:p>
        </w:tc>
        <w:tc>
          <w:tcPr>
            <w:tcW w:w="827" w:type="dxa"/>
            <w:vAlign w:val="center"/>
          </w:tcPr>
          <w:p w14:paraId="518FF439" w14:textId="77777777" w:rsidR="00E907D7" w:rsidRPr="002D2C2D" w:rsidRDefault="00E907D7" w:rsidP="00E907D7">
            <w:pPr>
              <w:tabs>
                <w:tab w:val="decimal" w:pos="340"/>
              </w:tabs>
              <w:rPr>
                <w:rFonts w:cs="Arial"/>
                <w:bCs/>
                <w:color w:val="000000"/>
                <w:sz w:val="18"/>
                <w:szCs w:val="18"/>
              </w:rPr>
            </w:pPr>
            <w:r w:rsidRPr="002D2C2D">
              <w:rPr>
                <w:rFonts w:cs="Arial"/>
                <w:bCs/>
                <w:color w:val="000000"/>
                <w:sz w:val="18"/>
                <w:szCs w:val="18"/>
              </w:rPr>
              <w:t>2</w:t>
            </w:r>
          </w:p>
        </w:tc>
        <w:tc>
          <w:tcPr>
            <w:tcW w:w="556" w:type="dxa"/>
            <w:shd w:val="clear" w:color="auto" w:fill="D9D9D9" w:themeFill="background1" w:themeFillShade="D9"/>
            <w:vAlign w:val="center"/>
          </w:tcPr>
          <w:p w14:paraId="1A9913DD" w14:textId="77777777" w:rsidR="00E907D7" w:rsidRPr="002D2C2D" w:rsidRDefault="00E907D7" w:rsidP="00E907D7">
            <w:pPr>
              <w:tabs>
                <w:tab w:val="decimal" w:pos="340"/>
              </w:tabs>
              <w:rPr>
                <w:rFonts w:cs="Arial"/>
                <w:bCs/>
                <w:color w:val="000000"/>
                <w:sz w:val="18"/>
                <w:szCs w:val="18"/>
                <w:lang w:eastAsia="en-GB" w:bidi="ar-SA"/>
              </w:rPr>
            </w:pPr>
            <w:r w:rsidRPr="002D2C2D">
              <w:rPr>
                <w:rFonts w:cs="Arial"/>
                <w:bCs/>
                <w:color w:val="000000"/>
                <w:sz w:val="18"/>
                <w:szCs w:val="18"/>
              </w:rPr>
              <w:t>14</w:t>
            </w:r>
          </w:p>
        </w:tc>
      </w:tr>
      <w:tr w:rsidR="00DA2B03" w:rsidRPr="00B83846" w14:paraId="05D5921E" w14:textId="77777777" w:rsidTr="00221A11">
        <w:trPr>
          <w:cantSplit/>
        </w:trPr>
        <w:tc>
          <w:tcPr>
            <w:tcW w:w="1276" w:type="dxa"/>
            <w:shd w:val="clear" w:color="auto" w:fill="D9D9D9" w:themeFill="background1" w:themeFillShade="D9"/>
            <w:vAlign w:val="center"/>
            <w:hideMark/>
          </w:tcPr>
          <w:p w14:paraId="028BBD4F" w14:textId="77777777" w:rsidR="00DA2B03" w:rsidRPr="00B83846" w:rsidRDefault="00DA2B03" w:rsidP="00DF510F">
            <w:pPr>
              <w:widowControl/>
              <w:rPr>
                <w:rFonts w:cs="Arial"/>
                <w:color w:val="000000"/>
                <w:sz w:val="18"/>
                <w:szCs w:val="18"/>
                <w:lang w:eastAsia="en-GB" w:bidi="ar-SA"/>
              </w:rPr>
            </w:pPr>
            <w:r w:rsidRPr="00B83846">
              <w:rPr>
                <w:rFonts w:cs="Arial"/>
                <w:color w:val="000000"/>
                <w:sz w:val="18"/>
                <w:szCs w:val="18"/>
                <w:lang w:eastAsia="en-GB" w:bidi="ar-SA"/>
              </w:rPr>
              <w:t>6.1.1</w:t>
            </w:r>
          </w:p>
        </w:tc>
        <w:tc>
          <w:tcPr>
            <w:tcW w:w="451" w:type="dxa"/>
            <w:tcBorders>
              <w:right w:val="nil"/>
            </w:tcBorders>
            <w:shd w:val="clear" w:color="auto" w:fill="D9D9D9" w:themeFill="background1" w:themeFillShade="D9"/>
            <w:vAlign w:val="center"/>
          </w:tcPr>
          <w:p w14:paraId="45EA1FEB" w14:textId="77777777" w:rsidR="00DA2B03" w:rsidRPr="00B83846" w:rsidRDefault="00DA2B03" w:rsidP="00DF510F">
            <w:pPr>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41D75842" w14:textId="77777777" w:rsidR="00DA2B03" w:rsidRPr="00B83846" w:rsidRDefault="00DA2B03" w:rsidP="00DF510F">
            <w:pPr>
              <w:widowControl/>
              <w:rPr>
                <w:rFonts w:cs="Arial"/>
                <w:color w:val="000000"/>
                <w:sz w:val="18"/>
                <w:szCs w:val="18"/>
                <w:lang w:eastAsia="en-GB" w:bidi="ar-SA"/>
              </w:rPr>
            </w:pPr>
            <w:r w:rsidRPr="00B83846">
              <w:rPr>
                <w:rFonts w:cs="Arial"/>
                <w:color w:val="000000"/>
                <w:sz w:val="18"/>
                <w:szCs w:val="18"/>
                <w:lang w:eastAsia="en-GB" w:bidi="ar-SA"/>
              </w:rPr>
              <w:t>Plain oats, dry</w:t>
            </w:r>
          </w:p>
        </w:tc>
        <w:tc>
          <w:tcPr>
            <w:tcW w:w="725" w:type="dxa"/>
            <w:shd w:val="clear" w:color="auto" w:fill="auto"/>
            <w:vAlign w:val="center"/>
          </w:tcPr>
          <w:p w14:paraId="7D61BD4E"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vAlign w:val="center"/>
          </w:tcPr>
          <w:p w14:paraId="29A857AB" w14:textId="77777777" w:rsidR="00DA2B03" w:rsidRPr="00B83846" w:rsidRDefault="00DA2B03" w:rsidP="00DF510F">
            <w:pPr>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D9D9D9" w:themeFill="background1" w:themeFillShade="D9"/>
            <w:vAlign w:val="center"/>
          </w:tcPr>
          <w:p w14:paraId="3A37F830"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12</w:t>
            </w:r>
          </w:p>
        </w:tc>
        <w:tc>
          <w:tcPr>
            <w:tcW w:w="725" w:type="dxa"/>
            <w:shd w:val="clear" w:color="auto" w:fill="auto"/>
            <w:vAlign w:val="center"/>
          </w:tcPr>
          <w:p w14:paraId="103924B4"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&lt;1</w:t>
            </w:r>
          </w:p>
        </w:tc>
        <w:tc>
          <w:tcPr>
            <w:tcW w:w="725" w:type="dxa"/>
            <w:vAlign w:val="center"/>
          </w:tcPr>
          <w:p w14:paraId="7B41CA01" w14:textId="77777777" w:rsidR="00DA2B03" w:rsidRPr="00B83846" w:rsidRDefault="00DA2B03" w:rsidP="00DF510F">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25EF868B"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3</w:t>
            </w:r>
          </w:p>
        </w:tc>
        <w:tc>
          <w:tcPr>
            <w:tcW w:w="827" w:type="dxa"/>
            <w:shd w:val="clear" w:color="auto" w:fill="auto"/>
            <w:vAlign w:val="center"/>
          </w:tcPr>
          <w:p w14:paraId="710957D6"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&lt;1</w:t>
            </w:r>
          </w:p>
        </w:tc>
        <w:tc>
          <w:tcPr>
            <w:tcW w:w="827" w:type="dxa"/>
            <w:vAlign w:val="center"/>
          </w:tcPr>
          <w:p w14:paraId="0E7BA8AD" w14:textId="77777777" w:rsidR="00DA2B03" w:rsidRPr="00B83846" w:rsidRDefault="00DA2B03" w:rsidP="00DF510F">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3902B91C"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4</w:t>
            </w:r>
          </w:p>
        </w:tc>
        <w:tc>
          <w:tcPr>
            <w:tcW w:w="827" w:type="dxa"/>
            <w:shd w:val="clear" w:color="auto" w:fill="auto"/>
            <w:vAlign w:val="center"/>
          </w:tcPr>
          <w:p w14:paraId="38842CDB"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827" w:type="dxa"/>
            <w:vAlign w:val="center"/>
          </w:tcPr>
          <w:p w14:paraId="41B9A48D" w14:textId="77777777" w:rsidR="00DA2B03" w:rsidRPr="00B83846" w:rsidRDefault="00DA2B03" w:rsidP="00DF510F">
            <w:pPr>
              <w:widowControl/>
              <w:tabs>
                <w:tab w:val="decimal" w:pos="340"/>
              </w:tabs>
              <w:rPr>
                <w:rFonts w:cs="Arial"/>
                <w:color w:val="000000"/>
                <w:sz w:val="18"/>
                <w:szCs w:val="18"/>
              </w:rPr>
            </w:pPr>
            <w:r w:rsidRPr="003A7740">
              <w:rPr>
                <w:rFonts w:cs="Arial"/>
                <w:color w:val="000000"/>
                <w:sz w:val="18"/>
                <w:szCs w:val="18"/>
              </w:rPr>
              <w:t>&lt;1</w:t>
            </w:r>
          </w:p>
        </w:tc>
        <w:tc>
          <w:tcPr>
            <w:tcW w:w="556" w:type="dxa"/>
            <w:shd w:val="clear" w:color="auto" w:fill="D9D9D9" w:themeFill="background1" w:themeFillShade="D9"/>
            <w:vAlign w:val="center"/>
          </w:tcPr>
          <w:p w14:paraId="09EA8AA5"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14</w:t>
            </w:r>
          </w:p>
        </w:tc>
      </w:tr>
      <w:tr w:rsidR="00E907D7" w:rsidRPr="002D2C2D" w14:paraId="48E71E4C" w14:textId="77777777" w:rsidTr="00DA2B03">
        <w:trPr>
          <w:cantSplit/>
        </w:trPr>
        <w:tc>
          <w:tcPr>
            <w:tcW w:w="1276" w:type="dxa"/>
            <w:shd w:val="clear" w:color="auto" w:fill="auto"/>
            <w:vAlign w:val="center"/>
            <w:hideMark/>
          </w:tcPr>
          <w:p w14:paraId="3D38A8BE"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7</w:t>
            </w:r>
          </w:p>
        </w:tc>
        <w:tc>
          <w:tcPr>
            <w:tcW w:w="3915" w:type="dxa"/>
            <w:gridSpan w:val="3"/>
            <w:tcBorders>
              <w:bottom w:val="single" w:sz="4" w:space="0" w:color="auto"/>
            </w:tcBorders>
            <w:shd w:val="clear" w:color="auto" w:fill="auto"/>
            <w:vAlign w:val="center"/>
          </w:tcPr>
          <w:p w14:paraId="41AE60B5"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All Breads &amp; bakery products</w:t>
            </w:r>
          </w:p>
        </w:tc>
        <w:tc>
          <w:tcPr>
            <w:tcW w:w="725" w:type="dxa"/>
            <w:shd w:val="clear" w:color="auto" w:fill="auto"/>
            <w:vAlign w:val="center"/>
          </w:tcPr>
          <w:p w14:paraId="59C0D7DE"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725" w:type="dxa"/>
            <w:vAlign w:val="center"/>
          </w:tcPr>
          <w:p w14:paraId="562650DD"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725" w:type="dxa"/>
            <w:shd w:val="clear" w:color="auto" w:fill="auto"/>
            <w:vAlign w:val="center"/>
          </w:tcPr>
          <w:p w14:paraId="16F919BC"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725" w:type="dxa"/>
            <w:shd w:val="clear" w:color="auto" w:fill="auto"/>
            <w:vAlign w:val="center"/>
          </w:tcPr>
          <w:p w14:paraId="6D5D06E7"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725" w:type="dxa"/>
            <w:vAlign w:val="center"/>
          </w:tcPr>
          <w:p w14:paraId="24DEC24F"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725" w:type="dxa"/>
            <w:shd w:val="clear" w:color="auto" w:fill="auto"/>
            <w:vAlign w:val="center"/>
          </w:tcPr>
          <w:p w14:paraId="10D103E1"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827" w:type="dxa"/>
            <w:shd w:val="clear" w:color="auto" w:fill="auto"/>
            <w:vAlign w:val="center"/>
          </w:tcPr>
          <w:p w14:paraId="3D8E848A"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827" w:type="dxa"/>
            <w:vAlign w:val="center"/>
          </w:tcPr>
          <w:p w14:paraId="1F7F65A5"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827" w:type="dxa"/>
            <w:shd w:val="clear" w:color="auto" w:fill="auto"/>
            <w:vAlign w:val="center"/>
          </w:tcPr>
          <w:p w14:paraId="756B37AA"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827" w:type="dxa"/>
            <w:shd w:val="clear" w:color="auto" w:fill="auto"/>
            <w:vAlign w:val="center"/>
          </w:tcPr>
          <w:p w14:paraId="2D4374F6"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2</w:t>
            </w:r>
          </w:p>
        </w:tc>
        <w:tc>
          <w:tcPr>
            <w:tcW w:w="827" w:type="dxa"/>
            <w:vAlign w:val="center"/>
          </w:tcPr>
          <w:p w14:paraId="0FEAD31E"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2</w:t>
            </w:r>
          </w:p>
        </w:tc>
        <w:tc>
          <w:tcPr>
            <w:tcW w:w="556" w:type="dxa"/>
            <w:shd w:val="clear" w:color="auto" w:fill="auto"/>
            <w:vAlign w:val="center"/>
          </w:tcPr>
          <w:p w14:paraId="3EB1DFE5"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r>
      <w:tr w:rsidR="00E907D7" w:rsidRPr="002D2C2D" w14:paraId="5711B62D" w14:textId="77777777" w:rsidTr="00DA2B03">
        <w:trPr>
          <w:cantSplit/>
        </w:trPr>
        <w:tc>
          <w:tcPr>
            <w:tcW w:w="1276" w:type="dxa"/>
            <w:shd w:val="clear" w:color="auto" w:fill="D9D9D9" w:themeFill="background1" w:themeFillShade="D9"/>
            <w:vAlign w:val="center"/>
            <w:hideMark/>
          </w:tcPr>
          <w:p w14:paraId="4B9FBF04" w14:textId="77777777" w:rsidR="00E907D7" w:rsidRPr="002D2C2D" w:rsidRDefault="00E907D7" w:rsidP="002D2C2D">
            <w:pPr>
              <w:rPr>
                <w:rFonts w:cs="Arial"/>
                <w:bCs/>
                <w:color w:val="000000"/>
                <w:sz w:val="18"/>
                <w:szCs w:val="18"/>
                <w:lang w:eastAsia="en-GB" w:bidi="ar-SA"/>
              </w:rPr>
            </w:pPr>
            <w:r w:rsidRPr="002D2C2D">
              <w:rPr>
                <w:rFonts w:cs="Arial"/>
                <w:bCs/>
                <w:color w:val="000000"/>
                <w:sz w:val="18"/>
                <w:szCs w:val="18"/>
                <w:lang w:eastAsia="en-GB" w:bidi="ar-SA"/>
              </w:rPr>
              <w:t>8</w:t>
            </w:r>
          </w:p>
        </w:tc>
        <w:tc>
          <w:tcPr>
            <w:tcW w:w="3915" w:type="dxa"/>
            <w:gridSpan w:val="3"/>
            <w:tcBorders>
              <w:bottom w:val="single" w:sz="4" w:space="0" w:color="auto"/>
            </w:tcBorders>
            <w:shd w:val="clear" w:color="auto" w:fill="D9D9D9" w:themeFill="background1" w:themeFillShade="D9"/>
            <w:vAlign w:val="center"/>
          </w:tcPr>
          <w:p w14:paraId="4A6FE92C" w14:textId="77777777" w:rsidR="00E907D7" w:rsidRPr="002D2C2D" w:rsidRDefault="00E907D7" w:rsidP="00E907D7">
            <w:pPr>
              <w:keepNext/>
              <w:keepLines/>
              <w:widowControl/>
              <w:rPr>
                <w:rFonts w:cs="Arial"/>
                <w:bCs/>
                <w:color w:val="000000"/>
                <w:sz w:val="18"/>
                <w:szCs w:val="18"/>
                <w:lang w:eastAsia="en-GB" w:bidi="ar-SA"/>
              </w:rPr>
            </w:pPr>
            <w:r w:rsidRPr="002D2C2D">
              <w:rPr>
                <w:rFonts w:cs="Arial"/>
                <w:bCs/>
                <w:color w:val="000000"/>
                <w:sz w:val="18"/>
                <w:szCs w:val="18"/>
                <w:lang w:eastAsia="en-GB" w:bidi="ar-SA"/>
              </w:rPr>
              <w:t>All Meat &amp; meat products (including poultry &amp; game)</w:t>
            </w:r>
          </w:p>
        </w:tc>
        <w:tc>
          <w:tcPr>
            <w:tcW w:w="725" w:type="dxa"/>
            <w:shd w:val="clear" w:color="auto" w:fill="D9D9D9" w:themeFill="background1" w:themeFillShade="D9"/>
            <w:vAlign w:val="center"/>
          </w:tcPr>
          <w:p w14:paraId="42512C54"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74</w:t>
            </w:r>
          </w:p>
        </w:tc>
        <w:tc>
          <w:tcPr>
            <w:tcW w:w="725" w:type="dxa"/>
            <w:shd w:val="clear" w:color="auto" w:fill="D9D9D9" w:themeFill="background1" w:themeFillShade="D9"/>
            <w:vAlign w:val="center"/>
          </w:tcPr>
          <w:p w14:paraId="3F1E6935"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68</w:t>
            </w:r>
          </w:p>
        </w:tc>
        <w:tc>
          <w:tcPr>
            <w:tcW w:w="725" w:type="dxa"/>
            <w:shd w:val="clear" w:color="auto" w:fill="D9D9D9" w:themeFill="background1" w:themeFillShade="D9"/>
            <w:vAlign w:val="center"/>
          </w:tcPr>
          <w:p w14:paraId="0CB6F62A"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15</w:t>
            </w:r>
          </w:p>
        </w:tc>
        <w:tc>
          <w:tcPr>
            <w:tcW w:w="725" w:type="dxa"/>
            <w:tcBorders>
              <w:bottom w:val="single" w:sz="4" w:space="0" w:color="auto"/>
            </w:tcBorders>
            <w:shd w:val="clear" w:color="auto" w:fill="D9D9D9" w:themeFill="background1" w:themeFillShade="D9"/>
            <w:vAlign w:val="center"/>
          </w:tcPr>
          <w:p w14:paraId="620E6FEA"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43</w:t>
            </w:r>
          </w:p>
        </w:tc>
        <w:tc>
          <w:tcPr>
            <w:tcW w:w="725" w:type="dxa"/>
            <w:shd w:val="clear" w:color="auto" w:fill="D9D9D9" w:themeFill="background1" w:themeFillShade="D9"/>
            <w:vAlign w:val="center"/>
          </w:tcPr>
          <w:p w14:paraId="5EE848DC"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16</w:t>
            </w:r>
          </w:p>
        </w:tc>
        <w:tc>
          <w:tcPr>
            <w:tcW w:w="725" w:type="dxa"/>
            <w:shd w:val="clear" w:color="auto" w:fill="D9D9D9" w:themeFill="background1" w:themeFillShade="D9"/>
            <w:vAlign w:val="center"/>
          </w:tcPr>
          <w:p w14:paraId="10400C7F"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7</w:t>
            </w:r>
          </w:p>
        </w:tc>
        <w:tc>
          <w:tcPr>
            <w:tcW w:w="827" w:type="dxa"/>
            <w:shd w:val="clear" w:color="auto" w:fill="D9D9D9" w:themeFill="background1" w:themeFillShade="D9"/>
            <w:vAlign w:val="center"/>
          </w:tcPr>
          <w:p w14:paraId="042C1F2F"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50</w:t>
            </w:r>
          </w:p>
        </w:tc>
        <w:tc>
          <w:tcPr>
            <w:tcW w:w="827" w:type="dxa"/>
            <w:shd w:val="clear" w:color="auto" w:fill="D9D9D9" w:themeFill="background1" w:themeFillShade="D9"/>
            <w:vAlign w:val="center"/>
          </w:tcPr>
          <w:p w14:paraId="2BB506A6"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21</w:t>
            </w:r>
          </w:p>
        </w:tc>
        <w:tc>
          <w:tcPr>
            <w:tcW w:w="827" w:type="dxa"/>
            <w:shd w:val="clear" w:color="auto" w:fill="D9D9D9" w:themeFill="background1" w:themeFillShade="D9"/>
            <w:vAlign w:val="center"/>
          </w:tcPr>
          <w:p w14:paraId="5ACCC719"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8</w:t>
            </w:r>
          </w:p>
        </w:tc>
        <w:tc>
          <w:tcPr>
            <w:tcW w:w="827" w:type="dxa"/>
            <w:shd w:val="clear" w:color="auto" w:fill="auto"/>
            <w:vAlign w:val="center"/>
          </w:tcPr>
          <w:p w14:paraId="7CFEFE24"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0</w:t>
            </w:r>
          </w:p>
        </w:tc>
        <w:tc>
          <w:tcPr>
            <w:tcW w:w="827" w:type="dxa"/>
            <w:vAlign w:val="center"/>
          </w:tcPr>
          <w:p w14:paraId="5D68B924"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0</w:t>
            </w:r>
          </w:p>
        </w:tc>
        <w:tc>
          <w:tcPr>
            <w:tcW w:w="556" w:type="dxa"/>
            <w:shd w:val="clear" w:color="auto" w:fill="auto"/>
            <w:vAlign w:val="center"/>
          </w:tcPr>
          <w:p w14:paraId="159382E8"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0</w:t>
            </w:r>
          </w:p>
        </w:tc>
      </w:tr>
      <w:tr w:rsidR="00DA2B03" w:rsidRPr="00B83846" w14:paraId="739FB7F9" w14:textId="77777777" w:rsidTr="00221A11">
        <w:trPr>
          <w:cantSplit/>
        </w:trPr>
        <w:tc>
          <w:tcPr>
            <w:tcW w:w="1276" w:type="dxa"/>
            <w:shd w:val="clear" w:color="auto" w:fill="D9D9D9" w:themeFill="background1" w:themeFillShade="D9"/>
            <w:vAlign w:val="center"/>
            <w:hideMark/>
          </w:tcPr>
          <w:p w14:paraId="042EE6A8" w14:textId="77777777" w:rsidR="00DA2B03" w:rsidRPr="00B83846" w:rsidRDefault="00DA2B03"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8.1.1</w:t>
            </w:r>
          </w:p>
        </w:tc>
        <w:tc>
          <w:tcPr>
            <w:tcW w:w="451" w:type="dxa"/>
            <w:tcBorders>
              <w:right w:val="nil"/>
            </w:tcBorders>
            <w:shd w:val="clear" w:color="auto" w:fill="D9D9D9" w:themeFill="background1" w:themeFillShade="D9"/>
            <w:vAlign w:val="center"/>
          </w:tcPr>
          <w:p w14:paraId="16537135" w14:textId="77777777" w:rsidR="00DA2B03" w:rsidRPr="00B83846" w:rsidRDefault="00DA2B03" w:rsidP="00DF510F">
            <w:pPr>
              <w:keepNext/>
              <w:keepLines/>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1A2ABE3F" w14:textId="77777777" w:rsidR="00DA2B03" w:rsidRPr="00B83846" w:rsidRDefault="00DA2B03"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Poultry (excluding duck)</w:t>
            </w:r>
          </w:p>
        </w:tc>
        <w:tc>
          <w:tcPr>
            <w:tcW w:w="725" w:type="dxa"/>
            <w:shd w:val="clear" w:color="auto" w:fill="D9D9D9" w:themeFill="background1" w:themeFillShade="D9"/>
            <w:vAlign w:val="center"/>
          </w:tcPr>
          <w:p w14:paraId="74D12F01" w14:textId="77777777" w:rsidR="00DA2B03" w:rsidRPr="003A7740" w:rsidRDefault="00DA2B03" w:rsidP="00DF510F">
            <w:pPr>
              <w:keepNext/>
              <w:keepLines/>
              <w:widowControl/>
              <w:tabs>
                <w:tab w:val="decimal" w:pos="340"/>
              </w:tabs>
              <w:rPr>
                <w:rFonts w:cs="Arial"/>
                <w:color w:val="000000"/>
                <w:sz w:val="18"/>
                <w:szCs w:val="18"/>
                <w:lang w:eastAsia="en-GB" w:bidi="ar-SA"/>
              </w:rPr>
            </w:pPr>
            <w:r w:rsidRPr="003A7740">
              <w:rPr>
                <w:rFonts w:cs="Arial"/>
                <w:color w:val="000000"/>
                <w:sz w:val="18"/>
                <w:szCs w:val="18"/>
              </w:rPr>
              <w:t>5</w:t>
            </w:r>
          </w:p>
        </w:tc>
        <w:tc>
          <w:tcPr>
            <w:tcW w:w="725" w:type="dxa"/>
            <w:shd w:val="clear" w:color="auto" w:fill="D9D9D9" w:themeFill="background1" w:themeFillShade="D9"/>
            <w:vAlign w:val="center"/>
          </w:tcPr>
          <w:p w14:paraId="18053B71" w14:textId="77777777" w:rsidR="00DA2B03" w:rsidRPr="00B83846" w:rsidRDefault="00DA2B03" w:rsidP="00DF510F">
            <w:pPr>
              <w:keepNext/>
              <w:keepLines/>
              <w:widowControl/>
              <w:tabs>
                <w:tab w:val="decimal" w:pos="340"/>
              </w:tabs>
              <w:rPr>
                <w:rFonts w:cs="Arial"/>
                <w:color w:val="000000"/>
                <w:sz w:val="18"/>
                <w:szCs w:val="18"/>
              </w:rPr>
            </w:pPr>
            <w:r w:rsidRPr="003A7740">
              <w:rPr>
                <w:rFonts w:cs="Arial"/>
                <w:color w:val="000000"/>
                <w:sz w:val="18"/>
                <w:szCs w:val="18"/>
              </w:rPr>
              <w:t>5</w:t>
            </w:r>
          </w:p>
        </w:tc>
        <w:tc>
          <w:tcPr>
            <w:tcW w:w="725" w:type="dxa"/>
            <w:shd w:val="clear" w:color="auto" w:fill="auto"/>
            <w:vAlign w:val="center"/>
          </w:tcPr>
          <w:p w14:paraId="1BC61E1E" w14:textId="77777777" w:rsidR="00DA2B03" w:rsidRPr="003A7740" w:rsidRDefault="00DA2B03" w:rsidP="00DF510F">
            <w:pPr>
              <w:keepNext/>
              <w:keepLines/>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shd w:val="clear" w:color="auto" w:fill="auto"/>
            <w:vAlign w:val="center"/>
          </w:tcPr>
          <w:p w14:paraId="1A7E23FE" w14:textId="77777777" w:rsidR="00DA2B03" w:rsidRPr="003A7740" w:rsidRDefault="00DA2B03" w:rsidP="00DF510F">
            <w:pPr>
              <w:keepNext/>
              <w:keepLines/>
              <w:widowControl/>
              <w:tabs>
                <w:tab w:val="decimal" w:pos="340"/>
              </w:tabs>
              <w:rPr>
                <w:rFonts w:cs="Arial"/>
                <w:sz w:val="18"/>
                <w:szCs w:val="18"/>
                <w:lang w:eastAsia="en-GB" w:bidi="ar-SA"/>
              </w:rPr>
            </w:pPr>
            <w:r w:rsidRPr="003A7740">
              <w:rPr>
                <w:rFonts w:cs="Arial"/>
                <w:sz w:val="18"/>
                <w:szCs w:val="18"/>
              </w:rPr>
              <w:t>4</w:t>
            </w:r>
          </w:p>
        </w:tc>
        <w:tc>
          <w:tcPr>
            <w:tcW w:w="725" w:type="dxa"/>
            <w:vAlign w:val="center"/>
          </w:tcPr>
          <w:p w14:paraId="74377880" w14:textId="77777777" w:rsidR="00DA2B03" w:rsidRPr="00B83846" w:rsidRDefault="00DA2B03" w:rsidP="00DF510F">
            <w:pPr>
              <w:keepNext/>
              <w:keepLines/>
              <w:widowControl/>
              <w:tabs>
                <w:tab w:val="decimal" w:pos="340"/>
              </w:tabs>
              <w:rPr>
                <w:rFonts w:cs="Arial"/>
                <w:sz w:val="18"/>
                <w:szCs w:val="18"/>
              </w:rPr>
            </w:pPr>
            <w:r w:rsidRPr="003A7740">
              <w:rPr>
                <w:rFonts w:cs="Arial"/>
                <w:sz w:val="18"/>
                <w:szCs w:val="18"/>
              </w:rPr>
              <w:t>2</w:t>
            </w:r>
          </w:p>
        </w:tc>
        <w:tc>
          <w:tcPr>
            <w:tcW w:w="725" w:type="dxa"/>
            <w:shd w:val="clear" w:color="auto" w:fill="auto"/>
            <w:vAlign w:val="center"/>
          </w:tcPr>
          <w:p w14:paraId="0F16AD4E" w14:textId="77777777" w:rsidR="00DA2B03" w:rsidRPr="003A7740" w:rsidRDefault="00DA2B03" w:rsidP="00DF510F">
            <w:pPr>
              <w:keepNext/>
              <w:keepLines/>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D9D9D9" w:themeFill="background1" w:themeFillShade="D9"/>
            <w:vAlign w:val="center"/>
          </w:tcPr>
          <w:p w14:paraId="740344E7" w14:textId="77777777" w:rsidR="00DA2B03" w:rsidRPr="003A7740" w:rsidRDefault="00DA2B03" w:rsidP="00DF510F">
            <w:pPr>
              <w:keepNext/>
              <w:keepLines/>
              <w:widowControl/>
              <w:tabs>
                <w:tab w:val="decimal" w:pos="340"/>
              </w:tabs>
              <w:rPr>
                <w:rFonts w:cs="Arial"/>
                <w:sz w:val="18"/>
                <w:szCs w:val="18"/>
                <w:lang w:eastAsia="en-GB" w:bidi="ar-SA"/>
              </w:rPr>
            </w:pPr>
            <w:r w:rsidRPr="003A7740">
              <w:rPr>
                <w:rFonts w:cs="Arial"/>
                <w:sz w:val="18"/>
                <w:szCs w:val="18"/>
              </w:rPr>
              <w:t>5</w:t>
            </w:r>
          </w:p>
        </w:tc>
        <w:tc>
          <w:tcPr>
            <w:tcW w:w="827" w:type="dxa"/>
            <w:shd w:val="clear" w:color="auto" w:fill="auto"/>
            <w:vAlign w:val="center"/>
          </w:tcPr>
          <w:p w14:paraId="3C773B45" w14:textId="77777777" w:rsidR="00DA2B03" w:rsidRPr="00B83846" w:rsidRDefault="00DA2B03" w:rsidP="00DF510F">
            <w:pPr>
              <w:keepNext/>
              <w:keepLines/>
              <w:widowControl/>
              <w:tabs>
                <w:tab w:val="decimal" w:pos="340"/>
              </w:tabs>
              <w:rPr>
                <w:rFonts w:cs="Arial"/>
                <w:sz w:val="18"/>
                <w:szCs w:val="18"/>
              </w:rPr>
            </w:pPr>
            <w:r w:rsidRPr="003A7740">
              <w:rPr>
                <w:rFonts w:cs="Arial"/>
                <w:sz w:val="18"/>
                <w:szCs w:val="18"/>
              </w:rPr>
              <w:t>2</w:t>
            </w:r>
          </w:p>
        </w:tc>
        <w:tc>
          <w:tcPr>
            <w:tcW w:w="827" w:type="dxa"/>
            <w:shd w:val="clear" w:color="auto" w:fill="auto"/>
            <w:vAlign w:val="center"/>
          </w:tcPr>
          <w:p w14:paraId="45298887" w14:textId="77777777" w:rsidR="00DA2B03" w:rsidRPr="003A7740" w:rsidRDefault="00DA2B03" w:rsidP="00DF510F">
            <w:pPr>
              <w:keepNext/>
              <w:keepLines/>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6567814D" w14:textId="77777777" w:rsidR="00DA2B03" w:rsidRPr="003A7740" w:rsidRDefault="00DA2B03" w:rsidP="00DF510F">
            <w:pPr>
              <w:keepNext/>
              <w:keepLines/>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4ED85425" w14:textId="77777777" w:rsidR="00DA2B03" w:rsidRPr="00B83846" w:rsidRDefault="00DA2B03" w:rsidP="00DF510F">
            <w:pPr>
              <w:keepNext/>
              <w:keepLines/>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5C20DBDE" w14:textId="77777777" w:rsidR="00DA2B03" w:rsidRPr="003A7740" w:rsidRDefault="00DA2B03" w:rsidP="00DF510F">
            <w:pPr>
              <w:keepNext/>
              <w:keepLines/>
              <w:widowControl/>
              <w:tabs>
                <w:tab w:val="decimal" w:pos="340"/>
              </w:tabs>
              <w:rPr>
                <w:rFonts w:cs="Arial"/>
                <w:color w:val="000000"/>
                <w:sz w:val="18"/>
                <w:szCs w:val="18"/>
                <w:lang w:eastAsia="en-GB" w:bidi="ar-SA"/>
              </w:rPr>
            </w:pPr>
            <w:r w:rsidRPr="003A7740">
              <w:rPr>
                <w:rFonts w:cs="Arial"/>
                <w:color w:val="000000"/>
                <w:sz w:val="18"/>
                <w:szCs w:val="18"/>
              </w:rPr>
              <w:t>0</w:t>
            </w:r>
          </w:p>
        </w:tc>
      </w:tr>
      <w:tr w:rsidR="00DA2B03" w:rsidRPr="00B83846" w14:paraId="12DAEAEE" w14:textId="77777777" w:rsidTr="00221A11">
        <w:trPr>
          <w:cantSplit/>
        </w:trPr>
        <w:tc>
          <w:tcPr>
            <w:tcW w:w="1276" w:type="dxa"/>
            <w:shd w:val="clear" w:color="auto" w:fill="D9D9D9" w:themeFill="background1" w:themeFillShade="D9"/>
            <w:vAlign w:val="center"/>
            <w:hideMark/>
          </w:tcPr>
          <w:p w14:paraId="6061A863" w14:textId="77777777" w:rsidR="00DA2B03" w:rsidRPr="00B83846" w:rsidRDefault="00DA2B03" w:rsidP="00DF510F">
            <w:pPr>
              <w:widowControl/>
              <w:rPr>
                <w:rFonts w:cs="Arial"/>
                <w:color w:val="000000"/>
                <w:sz w:val="18"/>
                <w:szCs w:val="18"/>
                <w:lang w:eastAsia="en-GB" w:bidi="ar-SA"/>
              </w:rPr>
            </w:pPr>
            <w:r w:rsidRPr="00B83846">
              <w:rPr>
                <w:rFonts w:cs="Arial"/>
                <w:color w:val="000000"/>
                <w:sz w:val="18"/>
                <w:szCs w:val="18"/>
                <w:lang w:eastAsia="en-GB" w:bidi="ar-SA"/>
              </w:rPr>
              <w:t>8.1.3.2</w:t>
            </w:r>
          </w:p>
        </w:tc>
        <w:tc>
          <w:tcPr>
            <w:tcW w:w="451" w:type="dxa"/>
            <w:tcBorders>
              <w:bottom w:val="single" w:sz="4" w:space="0" w:color="auto"/>
              <w:right w:val="nil"/>
            </w:tcBorders>
            <w:shd w:val="clear" w:color="auto" w:fill="D9D9D9" w:themeFill="background1" w:themeFillShade="D9"/>
            <w:vAlign w:val="center"/>
            <w:hideMark/>
          </w:tcPr>
          <w:p w14:paraId="1D85D2DB" w14:textId="77777777" w:rsidR="00DA2B03" w:rsidRPr="00B83846" w:rsidRDefault="00DA2B03" w:rsidP="00DF510F">
            <w:pPr>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D9D9D9" w:themeFill="background1" w:themeFillShade="D9"/>
            <w:vAlign w:val="center"/>
            <w:hideMark/>
          </w:tcPr>
          <w:p w14:paraId="31F6DCD3" w14:textId="77777777" w:rsidR="00DA2B03" w:rsidRPr="00B83846" w:rsidRDefault="00DA2B03" w:rsidP="00DF510F">
            <w:pPr>
              <w:widowControl/>
              <w:rPr>
                <w:rFonts w:cs="Arial"/>
                <w:color w:val="000000"/>
                <w:sz w:val="18"/>
                <w:szCs w:val="18"/>
                <w:lang w:eastAsia="en-GB" w:bidi="ar-SA"/>
              </w:rPr>
            </w:pPr>
            <w:r w:rsidRPr="00B83846">
              <w:rPr>
                <w:rFonts w:cs="Arial"/>
                <w:color w:val="000000"/>
                <w:sz w:val="18"/>
                <w:szCs w:val="18"/>
                <w:lang w:eastAsia="en-GB" w:bidi="ar-SA"/>
              </w:rPr>
              <w:t>Red meat, excluding game</w:t>
            </w:r>
          </w:p>
        </w:tc>
        <w:tc>
          <w:tcPr>
            <w:tcW w:w="725" w:type="dxa"/>
            <w:shd w:val="clear" w:color="auto" w:fill="D9D9D9" w:themeFill="background1" w:themeFillShade="D9"/>
            <w:vAlign w:val="center"/>
          </w:tcPr>
          <w:p w14:paraId="66824625"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57</w:t>
            </w:r>
          </w:p>
        </w:tc>
        <w:tc>
          <w:tcPr>
            <w:tcW w:w="725" w:type="dxa"/>
            <w:shd w:val="clear" w:color="auto" w:fill="D9D9D9" w:themeFill="background1" w:themeFillShade="D9"/>
            <w:vAlign w:val="center"/>
          </w:tcPr>
          <w:p w14:paraId="2EC9DBD3" w14:textId="77777777" w:rsidR="00DA2B03" w:rsidRPr="00B83846" w:rsidRDefault="00DA2B03" w:rsidP="00DF510F">
            <w:pPr>
              <w:widowControl/>
              <w:tabs>
                <w:tab w:val="decimal" w:pos="340"/>
              </w:tabs>
              <w:rPr>
                <w:rFonts w:cs="Arial"/>
                <w:color w:val="000000"/>
                <w:sz w:val="18"/>
                <w:szCs w:val="18"/>
              </w:rPr>
            </w:pPr>
            <w:r w:rsidRPr="003A7740">
              <w:rPr>
                <w:rFonts w:cs="Arial"/>
                <w:color w:val="000000"/>
                <w:sz w:val="18"/>
                <w:szCs w:val="18"/>
              </w:rPr>
              <w:t>52</w:t>
            </w:r>
          </w:p>
        </w:tc>
        <w:tc>
          <w:tcPr>
            <w:tcW w:w="725" w:type="dxa"/>
            <w:shd w:val="clear" w:color="auto" w:fill="D9D9D9" w:themeFill="background1" w:themeFillShade="D9"/>
            <w:vAlign w:val="center"/>
          </w:tcPr>
          <w:p w14:paraId="1102F417"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11</w:t>
            </w:r>
          </w:p>
        </w:tc>
        <w:tc>
          <w:tcPr>
            <w:tcW w:w="725" w:type="dxa"/>
            <w:shd w:val="clear" w:color="auto" w:fill="D9D9D9" w:themeFill="background1" w:themeFillShade="D9"/>
            <w:vAlign w:val="center"/>
          </w:tcPr>
          <w:p w14:paraId="395ABFF1"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31</w:t>
            </w:r>
          </w:p>
        </w:tc>
        <w:tc>
          <w:tcPr>
            <w:tcW w:w="725" w:type="dxa"/>
            <w:shd w:val="clear" w:color="auto" w:fill="D9D9D9" w:themeFill="background1" w:themeFillShade="D9"/>
            <w:vAlign w:val="center"/>
          </w:tcPr>
          <w:p w14:paraId="6982531F" w14:textId="77777777" w:rsidR="00DA2B03" w:rsidRPr="00B83846" w:rsidRDefault="00DA2B03" w:rsidP="00DF510F">
            <w:pPr>
              <w:widowControl/>
              <w:tabs>
                <w:tab w:val="decimal" w:pos="340"/>
              </w:tabs>
              <w:rPr>
                <w:rFonts w:cs="Arial"/>
                <w:sz w:val="18"/>
                <w:szCs w:val="18"/>
              </w:rPr>
            </w:pPr>
            <w:r w:rsidRPr="003A7740">
              <w:rPr>
                <w:rFonts w:cs="Arial"/>
                <w:sz w:val="18"/>
                <w:szCs w:val="18"/>
              </w:rPr>
              <w:t>11</w:t>
            </w:r>
          </w:p>
        </w:tc>
        <w:tc>
          <w:tcPr>
            <w:tcW w:w="725" w:type="dxa"/>
            <w:shd w:val="clear" w:color="auto" w:fill="D9D9D9" w:themeFill="background1" w:themeFillShade="D9"/>
            <w:vAlign w:val="center"/>
          </w:tcPr>
          <w:p w14:paraId="47BBAC8B"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5</w:t>
            </w:r>
          </w:p>
        </w:tc>
        <w:tc>
          <w:tcPr>
            <w:tcW w:w="827" w:type="dxa"/>
            <w:shd w:val="clear" w:color="auto" w:fill="D9D9D9" w:themeFill="background1" w:themeFillShade="D9"/>
            <w:vAlign w:val="center"/>
          </w:tcPr>
          <w:p w14:paraId="05D73A00"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37</w:t>
            </w:r>
          </w:p>
        </w:tc>
        <w:tc>
          <w:tcPr>
            <w:tcW w:w="827" w:type="dxa"/>
            <w:shd w:val="clear" w:color="auto" w:fill="D9D9D9" w:themeFill="background1" w:themeFillShade="D9"/>
            <w:vAlign w:val="center"/>
          </w:tcPr>
          <w:p w14:paraId="2CD8BBE3" w14:textId="77777777" w:rsidR="00DA2B03" w:rsidRPr="00B83846" w:rsidRDefault="00DA2B03" w:rsidP="00DF510F">
            <w:pPr>
              <w:widowControl/>
              <w:tabs>
                <w:tab w:val="decimal" w:pos="340"/>
              </w:tabs>
              <w:rPr>
                <w:rFonts w:cs="Arial"/>
                <w:sz w:val="18"/>
                <w:szCs w:val="18"/>
              </w:rPr>
            </w:pPr>
            <w:r w:rsidRPr="003A7740">
              <w:rPr>
                <w:rFonts w:cs="Arial"/>
                <w:sz w:val="18"/>
                <w:szCs w:val="18"/>
              </w:rPr>
              <w:t>16</w:t>
            </w:r>
          </w:p>
        </w:tc>
        <w:tc>
          <w:tcPr>
            <w:tcW w:w="827" w:type="dxa"/>
            <w:shd w:val="clear" w:color="auto" w:fill="D9D9D9" w:themeFill="background1" w:themeFillShade="D9"/>
            <w:vAlign w:val="center"/>
          </w:tcPr>
          <w:p w14:paraId="11ACBB8D"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6</w:t>
            </w:r>
          </w:p>
        </w:tc>
        <w:tc>
          <w:tcPr>
            <w:tcW w:w="827" w:type="dxa"/>
            <w:shd w:val="clear" w:color="auto" w:fill="auto"/>
            <w:vAlign w:val="center"/>
          </w:tcPr>
          <w:p w14:paraId="2AA3B9A9"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66164D07" w14:textId="77777777" w:rsidR="00DA2B03" w:rsidRPr="00B83846" w:rsidRDefault="00DA2B03" w:rsidP="00DF510F">
            <w:pPr>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0095EE12"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0</w:t>
            </w:r>
          </w:p>
        </w:tc>
      </w:tr>
      <w:tr w:rsidR="00DA2B03" w:rsidRPr="00B83846" w14:paraId="19ED2C3F" w14:textId="77777777" w:rsidTr="00221A11">
        <w:trPr>
          <w:cantSplit/>
        </w:trPr>
        <w:tc>
          <w:tcPr>
            <w:tcW w:w="1276" w:type="dxa"/>
            <w:shd w:val="clear" w:color="auto" w:fill="D9D9D9" w:themeFill="background1" w:themeFillShade="D9"/>
            <w:vAlign w:val="center"/>
            <w:hideMark/>
          </w:tcPr>
          <w:p w14:paraId="61AFA495" w14:textId="77777777" w:rsidR="00DA2B03" w:rsidRPr="00B83846" w:rsidRDefault="00DA2B03" w:rsidP="00DF510F">
            <w:pPr>
              <w:widowControl/>
              <w:rPr>
                <w:rFonts w:cs="Arial"/>
                <w:color w:val="000000"/>
                <w:sz w:val="18"/>
                <w:szCs w:val="18"/>
                <w:lang w:eastAsia="en-GB" w:bidi="ar-SA"/>
              </w:rPr>
            </w:pPr>
            <w:r w:rsidRPr="00B83846">
              <w:rPr>
                <w:rFonts w:cs="Arial"/>
                <w:color w:val="000000"/>
                <w:sz w:val="18"/>
                <w:szCs w:val="18"/>
                <w:lang w:eastAsia="en-GB" w:bidi="ar-SA"/>
              </w:rPr>
              <w:t>8.2</w:t>
            </w:r>
          </w:p>
        </w:tc>
        <w:tc>
          <w:tcPr>
            <w:tcW w:w="451" w:type="dxa"/>
            <w:tcBorders>
              <w:right w:val="nil"/>
            </w:tcBorders>
            <w:shd w:val="clear" w:color="auto" w:fill="D9D9D9" w:themeFill="background1" w:themeFillShade="D9"/>
            <w:vAlign w:val="center"/>
          </w:tcPr>
          <w:p w14:paraId="2A49E1F7" w14:textId="77777777" w:rsidR="00DA2B03" w:rsidRPr="00B83846" w:rsidRDefault="00DA2B03" w:rsidP="00DF510F">
            <w:pPr>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6F6E818A" w14:textId="77777777" w:rsidR="00DA2B03" w:rsidRPr="00B83846" w:rsidRDefault="00DA2B03" w:rsidP="00DF510F">
            <w:pPr>
              <w:widowControl/>
              <w:rPr>
                <w:rFonts w:cs="Arial"/>
                <w:color w:val="000000"/>
                <w:sz w:val="18"/>
                <w:szCs w:val="18"/>
                <w:lang w:eastAsia="en-GB" w:bidi="ar-SA"/>
              </w:rPr>
            </w:pPr>
            <w:r w:rsidRPr="00B83846">
              <w:rPr>
                <w:rFonts w:cs="Arial"/>
                <w:color w:val="000000"/>
                <w:sz w:val="18"/>
                <w:szCs w:val="18"/>
                <w:lang w:eastAsia="en-GB" w:bidi="ar-SA"/>
              </w:rPr>
              <w:t>Processed meat/ poultry/ game products in whole/ cut pieces (e.g. ham, bacon, smoked chicken)</w:t>
            </w:r>
          </w:p>
        </w:tc>
        <w:tc>
          <w:tcPr>
            <w:tcW w:w="725" w:type="dxa"/>
            <w:shd w:val="clear" w:color="auto" w:fill="D9D9D9" w:themeFill="background1" w:themeFillShade="D9"/>
            <w:vAlign w:val="center"/>
          </w:tcPr>
          <w:p w14:paraId="7D6C8FE7"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5</w:t>
            </w:r>
          </w:p>
        </w:tc>
        <w:tc>
          <w:tcPr>
            <w:tcW w:w="725" w:type="dxa"/>
            <w:shd w:val="clear" w:color="auto" w:fill="auto"/>
            <w:vAlign w:val="center"/>
          </w:tcPr>
          <w:p w14:paraId="48D98C06" w14:textId="77777777" w:rsidR="00DA2B03" w:rsidRPr="00B83846" w:rsidRDefault="00DA2B03" w:rsidP="00DF510F">
            <w:pPr>
              <w:widowControl/>
              <w:tabs>
                <w:tab w:val="decimal" w:pos="340"/>
              </w:tabs>
              <w:rPr>
                <w:rFonts w:cs="Arial"/>
                <w:color w:val="000000"/>
                <w:sz w:val="18"/>
                <w:szCs w:val="18"/>
              </w:rPr>
            </w:pPr>
            <w:r w:rsidRPr="003A7740">
              <w:rPr>
                <w:rFonts w:cs="Arial"/>
                <w:color w:val="000000"/>
                <w:sz w:val="18"/>
                <w:szCs w:val="18"/>
              </w:rPr>
              <w:t>4</w:t>
            </w:r>
          </w:p>
        </w:tc>
        <w:tc>
          <w:tcPr>
            <w:tcW w:w="725" w:type="dxa"/>
            <w:shd w:val="clear" w:color="auto" w:fill="auto"/>
            <w:vAlign w:val="center"/>
          </w:tcPr>
          <w:p w14:paraId="5CDDACCD"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shd w:val="clear" w:color="auto" w:fill="auto"/>
            <w:vAlign w:val="center"/>
          </w:tcPr>
          <w:p w14:paraId="3F3B2085"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2</w:t>
            </w:r>
          </w:p>
        </w:tc>
        <w:tc>
          <w:tcPr>
            <w:tcW w:w="725" w:type="dxa"/>
            <w:vAlign w:val="center"/>
          </w:tcPr>
          <w:p w14:paraId="5A5B654F" w14:textId="77777777" w:rsidR="00DA2B03" w:rsidRPr="00B83846" w:rsidRDefault="00DA2B03" w:rsidP="00DF510F">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7F4A5D1D"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62E3246F"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2</w:t>
            </w:r>
          </w:p>
        </w:tc>
        <w:tc>
          <w:tcPr>
            <w:tcW w:w="827" w:type="dxa"/>
            <w:vAlign w:val="center"/>
          </w:tcPr>
          <w:p w14:paraId="3EF99CC0" w14:textId="77777777" w:rsidR="00DA2B03" w:rsidRPr="00B83846" w:rsidRDefault="00DA2B03" w:rsidP="00DF510F">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08FF5735"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46C13D7B"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7E607E7B" w14:textId="77777777" w:rsidR="00DA2B03" w:rsidRPr="00B83846" w:rsidRDefault="00DA2B03" w:rsidP="00DF510F">
            <w:pPr>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56E13CFA"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0</w:t>
            </w:r>
          </w:p>
        </w:tc>
      </w:tr>
      <w:tr w:rsidR="00E907D7" w:rsidRPr="002D2C2D" w14:paraId="0E5338E1" w14:textId="77777777" w:rsidTr="00DA2B03">
        <w:trPr>
          <w:cantSplit/>
        </w:trPr>
        <w:tc>
          <w:tcPr>
            <w:tcW w:w="1276" w:type="dxa"/>
            <w:shd w:val="clear" w:color="auto" w:fill="auto"/>
            <w:vAlign w:val="center"/>
            <w:hideMark/>
          </w:tcPr>
          <w:p w14:paraId="52A0E71B"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9</w:t>
            </w:r>
          </w:p>
        </w:tc>
        <w:tc>
          <w:tcPr>
            <w:tcW w:w="3915" w:type="dxa"/>
            <w:gridSpan w:val="3"/>
            <w:tcBorders>
              <w:bottom w:val="single" w:sz="4" w:space="0" w:color="auto"/>
            </w:tcBorders>
            <w:shd w:val="clear" w:color="auto" w:fill="auto"/>
            <w:vAlign w:val="center"/>
          </w:tcPr>
          <w:p w14:paraId="01CEE3FC"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All Fish &amp; fish products</w:t>
            </w:r>
          </w:p>
        </w:tc>
        <w:tc>
          <w:tcPr>
            <w:tcW w:w="725" w:type="dxa"/>
            <w:shd w:val="clear" w:color="auto" w:fill="auto"/>
            <w:vAlign w:val="center"/>
          </w:tcPr>
          <w:p w14:paraId="790CE09B"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1</w:t>
            </w:r>
          </w:p>
        </w:tc>
        <w:tc>
          <w:tcPr>
            <w:tcW w:w="725" w:type="dxa"/>
            <w:vAlign w:val="center"/>
          </w:tcPr>
          <w:p w14:paraId="7E11A500"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1</w:t>
            </w:r>
          </w:p>
        </w:tc>
        <w:tc>
          <w:tcPr>
            <w:tcW w:w="725" w:type="dxa"/>
            <w:shd w:val="clear" w:color="auto" w:fill="auto"/>
            <w:vAlign w:val="center"/>
          </w:tcPr>
          <w:p w14:paraId="05F3EA2A"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725" w:type="dxa"/>
            <w:shd w:val="clear" w:color="auto" w:fill="auto"/>
            <w:vAlign w:val="center"/>
          </w:tcPr>
          <w:p w14:paraId="796AF5CA"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725" w:type="dxa"/>
            <w:vAlign w:val="center"/>
          </w:tcPr>
          <w:p w14:paraId="176450DA"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725" w:type="dxa"/>
            <w:shd w:val="clear" w:color="auto" w:fill="auto"/>
            <w:vAlign w:val="center"/>
          </w:tcPr>
          <w:p w14:paraId="7E7E8871"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827" w:type="dxa"/>
            <w:shd w:val="clear" w:color="auto" w:fill="auto"/>
            <w:vAlign w:val="center"/>
          </w:tcPr>
          <w:p w14:paraId="574561AB"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827" w:type="dxa"/>
            <w:vAlign w:val="center"/>
          </w:tcPr>
          <w:p w14:paraId="1BC0B876"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827" w:type="dxa"/>
            <w:shd w:val="clear" w:color="auto" w:fill="auto"/>
            <w:vAlign w:val="center"/>
          </w:tcPr>
          <w:p w14:paraId="4B714A74"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827" w:type="dxa"/>
            <w:shd w:val="clear" w:color="auto" w:fill="auto"/>
            <w:vAlign w:val="center"/>
          </w:tcPr>
          <w:p w14:paraId="544217D6"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0</w:t>
            </w:r>
          </w:p>
        </w:tc>
        <w:tc>
          <w:tcPr>
            <w:tcW w:w="827" w:type="dxa"/>
            <w:vAlign w:val="center"/>
          </w:tcPr>
          <w:p w14:paraId="06994277"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0</w:t>
            </w:r>
          </w:p>
        </w:tc>
        <w:tc>
          <w:tcPr>
            <w:tcW w:w="556" w:type="dxa"/>
            <w:shd w:val="clear" w:color="auto" w:fill="auto"/>
            <w:vAlign w:val="center"/>
          </w:tcPr>
          <w:p w14:paraId="40977AEA"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0</w:t>
            </w:r>
          </w:p>
        </w:tc>
      </w:tr>
      <w:tr w:rsidR="00E907D7" w:rsidRPr="002D2C2D" w14:paraId="78711DAB" w14:textId="77777777" w:rsidTr="00DA2B03">
        <w:trPr>
          <w:cantSplit/>
        </w:trPr>
        <w:tc>
          <w:tcPr>
            <w:tcW w:w="1276" w:type="dxa"/>
            <w:shd w:val="clear" w:color="auto" w:fill="auto"/>
            <w:vAlign w:val="center"/>
            <w:hideMark/>
          </w:tcPr>
          <w:p w14:paraId="2B648762"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10</w:t>
            </w:r>
          </w:p>
        </w:tc>
        <w:tc>
          <w:tcPr>
            <w:tcW w:w="3915" w:type="dxa"/>
            <w:gridSpan w:val="3"/>
            <w:tcBorders>
              <w:bottom w:val="single" w:sz="4" w:space="0" w:color="auto"/>
            </w:tcBorders>
            <w:shd w:val="clear" w:color="auto" w:fill="auto"/>
            <w:vAlign w:val="center"/>
          </w:tcPr>
          <w:p w14:paraId="4AAA7352"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All Egg &amp; egg products</w:t>
            </w:r>
          </w:p>
        </w:tc>
        <w:tc>
          <w:tcPr>
            <w:tcW w:w="725" w:type="dxa"/>
            <w:shd w:val="clear" w:color="auto" w:fill="auto"/>
            <w:vAlign w:val="center"/>
          </w:tcPr>
          <w:p w14:paraId="0816FDE3"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725" w:type="dxa"/>
            <w:vAlign w:val="center"/>
          </w:tcPr>
          <w:p w14:paraId="7516B2EC"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725" w:type="dxa"/>
            <w:shd w:val="clear" w:color="auto" w:fill="auto"/>
            <w:vAlign w:val="center"/>
          </w:tcPr>
          <w:p w14:paraId="02DAF030"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725" w:type="dxa"/>
            <w:shd w:val="clear" w:color="auto" w:fill="auto"/>
            <w:vAlign w:val="center"/>
          </w:tcPr>
          <w:p w14:paraId="243D1D02"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725" w:type="dxa"/>
            <w:vAlign w:val="center"/>
          </w:tcPr>
          <w:p w14:paraId="578E98B7"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725" w:type="dxa"/>
            <w:shd w:val="clear" w:color="auto" w:fill="auto"/>
            <w:vAlign w:val="center"/>
          </w:tcPr>
          <w:p w14:paraId="14857DCC"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827" w:type="dxa"/>
            <w:shd w:val="clear" w:color="auto" w:fill="auto"/>
            <w:vAlign w:val="center"/>
          </w:tcPr>
          <w:p w14:paraId="6037C25D"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827" w:type="dxa"/>
            <w:vAlign w:val="center"/>
          </w:tcPr>
          <w:p w14:paraId="56286005"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827" w:type="dxa"/>
            <w:shd w:val="clear" w:color="auto" w:fill="auto"/>
            <w:vAlign w:val="center"/>
          </w:tcPr>
          <w:p w14:paraId="65F891C8"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827" w:type="dxa"/>
            <w:shd w:val="clear" w:color="auto" w:fill="auto"/>
            <w:vAlign w:val="center"/>
          </w:tcPr>
          <w:p w14:paraId="0BFD8A10"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827" w:type="dxa"/>
            <w:vAlign w:val="center"/>
          </w:tcPr>
          <w:p w14:paraId="18A64A94"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556" w:type="dxa"/>
            <w:shd w:val="clear" w:color="auto" w:fill="auto"/>
            <w:vAlign w:val="center"/>
          </w:tcPr>
          <w:p w14:paraId="3E87BD2C"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r>
      <w:tr w:rsidR="00E907D7" w:rsidRPr="002D2C2D" w14:paraId="1AFA4A0D" w14:textId="77777777" w:rsidTr="00DA2B03">
        <w:trPr>
          <w:cantSplit/>
        </w:trPr>
        <w:tc>
          <w:tcPr>
            <w:tcW w:w="1276" w:type="dxa"/>
            <w:shd w:val="clear" w:color="auto" w:fill="auto"/>
            <w:vAlign w:val="center"/>
            <w:hideMark/>
          </w:tcPr>
          <w:p w14:paraId="63B26C89"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12</w:t>
            </w:r>
          </w:p>
        </w:tc>
        <w:tc>
          <w:tcPr>
            <w:tcW w:w="3915" w:type="dxa"/>
            <w:gridSpan w:val="3"/>
            <w:tcBorders>
              <w:bottom w:val="single" w:sz="4" w:space="0" w:color="auto"/>
            </w:tcBorders>
            <w:shd w:val="clear" w:color="auto" w:fill="auto"/>
            <w:vAlign w:val="center"/>
          </w:tcPr>
          <w:p w14:paraId="4EFAA720"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All Salts &amp; condiments</w:t>
            </w:r>
          </w:p>
        </w:tc>
        <w:tc>
          <w:tcPr>
            <w:tcW w:w="725" w:type="dxa"/>
            <w:shd w:val="clear" w:color="auto" w:fill="auto"/>
            <w:vAlign w:val="center"/>
          </w:tcPr>
          <w:p w14:paraId="00EA4AEC"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725" w:type="dxa"/>
            <w:vAlign w:val="center"/>
          </w:tcPr>
          <w:p w14:paraId="37490079"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725" w:type="dxa"/>
            <w:shd w:val="clear" w:color="auto" w:fill="auto"/>
            <w:vAlign w:val="center"/>
          </w:tcPr>
          <w:p w14:paraId="06A3F967"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725" w:type="dxa"/>
            <w:shd w:val="clear" w:color="auto" w:fill="auto"/>
            <w:vAlign w:val="center"/>
          </w:tcPr>
          <w:p w14:paraId="5BA3A262"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725" w:type="dxa"/>
            <w:vAlign w:val="center"/>
          </w:tcPr>
          <w:p w14:paraId="2F996BC2"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725" w:type="dxa"/>
            <w:shd w:val="clear" w:color="auto" w:fill="auto"/>
            <w:vAlign w:val="center"/>
          </w:tcPr>
          <w:p w14:paraId="2BC7C95E"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827" w:type="dxa"/>
            <w:shd w:val="clear" w:color="auto" w:fill="auto"/>
            <w:vAlign w:val="center"/>
          </w:tcPr>
          <w:p w14:paraId="2A84F776"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827" w:type="dxa"/>
            <w:vAlign w:val="center"/>
          </w:tcPr>
          <w:p w14:paraId="4A163B50"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827" w:type="dxa"/>
            <w:shd w:val="clear" w:color="auto" w:fill="auto"/>
            <w:vAlign w:val="center"/>
          </w:tcPr>
          <w:p w14:paraId="51EE56E9"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827" w:type="dxa"/>
            <w:shd w:val="clear" w:color="auto" w:fill="auto"/>
            <w:vAlign w:val="center"/>
          </w:tcPr>
          <w:p w14:paraId="3F89033C"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827" w:type="dxa"/>
            <w:vAlign w:val="center"/>
          </w:tcPr>
          <w:p w14:paraId="064DDF6E"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556" w:type="dxa"/>
            <w:shd w:val="clear" w:color="auto" w:fill="auto"/>
            <w:vAlign w:val="center"/>
          </w:tcPr>
          <w:p w14:paraId="74812F23"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r>
      <w:tr w:rsidR="00E907D7" w:rsidRPr="002D2C2D" w14:paraId="3643A99D" w14:textId="77777777" w:rsidTr="00DA2B03">
        <w:trPr>
          <w:cantSplit/>
        </w:trPr>
        <w:tc>
          <w:tcPr>
            <w:tcW w:w="1276" w:type="dxa"/>
            <w:shd w:val="clear" w:color="auto" w:fill="D9D9D9" w:themeFill="background1" w:themeFillShade="D9"/>
            <w:vAlign w:val="center"/>
            <w:hideMark/>
          </w:tcPr>
          <w:p w14:paraId="371A3391" w14:textId="77777777" w:rsidR="00E907D7" w:rsidRPr="002D2C2D" w:rsidRDefault="00E907D7" w:rsidP="00221A11">
            <w:pPr>
              <w:keepNext/>
              <w:keepLines/>
              <w:widowControl/>
              <w:rPr>
                <w:rFonts w:cs="Arial"/>
                <w:bCs/>
                <w:color w:val="000000"/>
                <w:sz w:val="18"/>
                <w:szCs w:val="18"/>
                <w:lang w:eastAsia="en-GB" w:bidi="ar-SA"/>
              </w:rPr>
            </w:pPr>
            <w:r w:rsidRPr="002D2C2D">
              <w:rPr>
                <w:rFonts w:cs="Arial"/>
                <w:bCs/>
                <w:color w:val="000000"/>
                <w:sz w:val="18"/>
                <w:szCs w:val="18"/>
                <w:lang w:eastAsia="en-GB" w:bidi="ar-SA"/>
              </w:rPr>
              <w:lastRenderedPageBreak/>
              <w:t>13</w:t>
            </w:r>
          </w:p>
        </w:tc>
        <w:tc>
          <w:tcPr>
            <w:tcW w:w="3915" w:type="dxa"/>
            <w:gridSpan w:val="3"/>
            <w:tcBorders>
              <w:bottom w:val="single" w:sz="4" w:space="0" w:color="auto"/>
            </w:tcBorders>
            <w:shd w:val="clear" w:color="auto" w:fill="D9D9D9" w:themeFill="background1" w:themeFillShade="D9"/>
            <w:vAlign w:val="center"/>
          </w:tcPr>
          <w:p w14:paraId="03390F3B" w14:textId="77777777" w:rsidR="00E907D7" w:rsidRPr="002D2C2D" w:rsidRDefault="00E907D7" w:rsidP="00221A11">
            <w:pPr>
              <w:keepNext/>
              <w:keepLines/>
              <w:widowControl/>
              <w:rPr>
                <w:rFonts w:cs="Arial"/>
                <w:bCs/>
                <w:color w:val="000000"/>
                <w:sz w:val="18"/>
                <w:szCs w:val="18"/>
                <w:lang w:eastAsia="en-GB" w:bidi="ar-SA"/>
              </w:rPr>
            </w:pPr>
            <w:r w:rsidRPr="002D2C2D">
              <w:rPr>
                <w:rFonts w:cs="Arial"/>
                <w:bCs/>
                <w:color w:val="000000"/>
                <w:sz w:val="18"/>
                <w:szCs w:val="18"/>
                <w:lang w:eastAsia="en-GB" w:bidi="ar-SA"/>
              </w:rPr>
              <w:t>All Foods intended for particular dietary uses</w:t>
            </w:r>
          </w:p>
        </w:tc>
        <w:tc>
          <w:tcPr>
            <w:tcW w:w="725" w:type="dxa"/>
            <w:shd w:val="clear" w:color="auto" w:fill="auto"/>
            <w:vAlign w:val="center"/>
          </w:tcPr>
          <w:p w14:paraId="3F09FDD6" w14:textId="77777777" w:rsidR="00E907D7" w:rsidRPr="002D2C2D" w:rsidRDefault="00E907D7" w:rsidP="00221A11">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3</w:t>
            </w:r>
          </w:p>
        </w:tc>
        <w:tc>
          <w:tcPr>
            <w:tcW w:w="725" w:type="dxa"/>
            <w:shd w:val="clear" w:color="auto" w:fill="D9D9D9" w:themeFill="background1" w:themeFillShade="D9"/>
            <w:vAlign w:val="center"/>
          </w:tcPr>
          <w:p w14:paraId="7D5BC572" w14:textId="77777777" w:rsidR="00E907D7" w:rsidRPr="002D2C2D" w:rsidRDefault="00E907D7" w:rsidP="00221A11">
            <w:pPr>
              <w:keepNext/>
              <w:keepLines/>
              <w:widowControl/>
              <w:tabs>
                <w:tab w:val="decimal" w:pos="340"/>
              </w:tabs>
              <w:rPr>
                <w:rFonts w:cs="Arial"/>
                <w:bCs/>
                <w:color w:val="000000"/>
                <w:sz w:val="18"/>
                <w:szCs w:val="18"/>
              </w:rPr>
            </w:pPr>
            <w:r w:rsidRPr="002D2C2D">
              <w:rPr>
                <w:rFonts w:cs="Arial"/>
                <w:bCs/>
                <w:color w:val="000000"/>
                <w:sz w:val="18"/>
                <w:szCs w:val="18"/>
              </w:rPr>
              <w:t>10</w:t>
            </w:r>
          </w:p>
        </w:tc>
        <w:tc>
          <w:tcPr>
            <w:tcW w:w="725" w:type="dxa"/>
            <w:shd w:val="clear" w:color="auto" w:fill="auto"/>
            <w:vAlign w:val="center"/>
          </w:tcPr>
          <w:p w14:paraId="44B29AED" w14:textId="77777777" w:rsidR="00E907D7" w:rsidRPr="002D2C2D" w:rsidRDefault="00E907D7" w:rsidP="00221A11">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4</w:t>
            </w:r>
          </w:p>
        </w:tc>
        <w:tc>
          <w:tcPr>
            <w:tcW w:w="725" w:type="dxa"/>
            <w:shd w:val="clear" w:color="auto" w:fill="D9D9D9" w:themeFill="background1" w:themeFillShade="D9"/>
            <w:vAlign w:val="center"/>
          </w:tcPr>
          <w:p w14:paraId="12EE6153" w14:textId="77777777" w:rsidR="00E907D7" w:rsidRPr="002D2C2D" w:rsidRDefault="00E907D7" w:rsidP="00221A11">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44</w:t>
            </w:r>
          </w:p>
        </w:tc>
        <w:tc>
          <w:tcPr>
            <w:tcW w:w="725" w:type="dxa"/>
            <w:shd w:val="clear" w:color="auto" w:fill="D9D9D9" w:themeFill="background1" w:themeFillShade="D9"/>
            <w:vAlign w:val="center"/>
          </w:tcPr>
          <w:p w14:paraId="5E185DDB" w14:textId="77777777" w:rsidR="00E907D7" w:rsidRPr="002D2C2D" w:rsidRDefault="00E907D7" w:rsidP="00221A11">
            <w:pPr>
              <w:keepNext/>
              <w:keepLines/>
              <w:widowControl/>
              <w:tabs>
                <w:tab w:val="decimal" w:pos="340"/>
              </w:tabs>
              <w:rPr>
                <w:rFonts w:cs="Arial"/>
                <w:bCs/>
                <w:color w:val="000000"/>
                <w:sz w:val="18"/>
                <w:szCs w:val="18"/>
              </w:rPr>
            </w:pPr>
            <w:r w:rsidRPr="002D2C2D">
              <w:rPr>
                <w:rFonts w:cs="Arial"/>
                <w:bCs/>
                <w:color w:val="000000"/>
                <w:sz w:val="18"/>
                <w:szCs w:val="18"/>
              </w:rPr>
              <w:t>80</w:t>
            </w:r>
          </w:p>
        </w:tc>
        <w:tc>
          <w:tcPr>
            <w:tcW w:w="725" w:type="dxa"/>
            <w:shd w:val="clear" w:color="auto" w:fill="D9D9D9" w:themeFill="background1" w:themeFillShade="D9"/>
            <w:vAlign w:val="center"/>
          </w:tcPr>
          <w:p w14:paraId="67D576F1" w14:textId="77777777" w:rsidR="00E907D7" w:rsidRPr="002D2C2D" w:rsidRDefault="00E907D7" w:rsidP="00221A11">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40</w:t>
            </w:r>
          </w:p>
        </w:tc>
        <w:tc>
          <w:tcPr>
            <w:tcW w:w="827" w:type="dxa"/>
            <w:shd w:val="clear" w:color="auto" w:fill="D9D9D9" w:themeFill="background1" w:themeFillShade="D9"/>
            <w:vAlign w:val="center"/>
          </w:tcPr>
          <w:p w14:paraId="0340FA55" w14:textId="77777777" w:rsidR="00E907D7" w:rsidRPr="002D2C2D" w:rsidRDefault="00E907D7" w:rsidP="00221A11">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37</w:t>
            </w:r>
          </w:p>
        </w:tc>
        <w:tc>
          <w:tcPr>
            <w:tcW w:w="827" w:type="dxa"/>
            <w:shd w:val="clear" w:color="auto" w:fill="D9D9D9" w:themeFill="background1" w:themeFillShade="D9"/>
            <w:vAlign w:val="center"/>
          </w:tcPr>
          <w:p w14:paraId="6ED04F3D" w14:textId="77777777" w:rsidR="00E907D7" w:rsidRPr="002D2C2D" w:rsidRDefault="00E907D7" w:rsidP="00221A11">
            <w:pPr>
              <w:keepNext/>
              <w:keepLines/>
              <w:widowControl/>
              <w:tabs>
                <w:tab w:val="decimal" w:pos="340"/>
              </w:tabs>
              <w:rPr>
                <w:rFonts w:cs="Arial"/>
                <w:bCs/>
                <w:color w:val="000000"/>
                <w:sz w:val="18"/>
                <w:szCs w:val="18"/>
              </w:rPr>
            </w:pPr>
            <w:r w:rsidRPr="002D2C2D">
              <w:rPr>
                <w:rFonts w:cs="Arial"/>
                <w:bCs/>
                <w:color w:val="000000"/>
                <w:sz w:val="18"/>
                <w:szCs w:val="18"/>
              </w:rPr>
              <w:t>73</w:t>
            </w:r>
          </w:p>
        </w:tc>
        <w:tc>
          <w:tcPr>
            <w:tcW w:w="827" w:type="dxa"/>
            <w:shd w:val="clear" w:color="auto" w:fill="D9D9D9" w:themeFill="background1" w:themeFillShade="D9"/>
            <w:vAlign w:val="center"/>
          </w:tcPr>
          <w:p w14:paraId="487CD87D" w14:textId="77777777" w:rsidR="00E907D7" w:rsidRPr="002D2C2D" w:rsidRDefault="00E907D7" w:rsidP="00221A11">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42</w:t>
            </w:r>
          </w:p>
        </w:tc>
        <w:tc>
          <w:tcPr>
            <w:tcW w:w="827" w:type="dxa"/>
            <w:shd w:val="clear" w:color="auto" w:fill="auto"/>
            <w:vAlign w:val="center"/>
          </w:tcPr>
          <w:p w14:paraId="788A1198" w14:textId="77777777" w:rsidR="00E907D7" w:rsidRPr="002D2C2D" w:rsidRDefault="00E907D7" w:rsidP="00221A11">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4</w:t>
            </w:r>
          </w:p>
        </w:tc>
        <w:tc>
          <w:tcPr>
            <w:tcW w:w="827" w:type="dxa"/>
            <w:vAlign w:val="center"/>
          </w:tcPr>
          <w:p w14:paraId="63D1DA6B" w14:textId="77777777" w:rsidR="00E907D7" w:rsidRPr="002D2C2D" w:rsidRDefault="00E907D7" w:rsidP="00221A11">
            <w:pPr>
              <w:keepNext/>
              <w:keepLines/>
              <w:widowControl/>
              <w:tabs>
                <w:tab w:val="decimal" w:pos="340"/>
              </w:tabs>
              <w:rPr>
                <w:rFonts w:cs="Arial"/>
                <w:bCs/>
                <w:color w:val="000000"/>
                <w:sz w:val="18"/>
                <w:szCs w:val="18"/>
              </w:rPr>
            </w:pPr>
            <w:r w:rsidRPr="002D2C2D">
              <w:rPr>
                <w:rFonts w:cs="Arial"/>
                <w:bCs/>
                <w:color w:val="000000"/>
                <w:sz w:val="18"/>
                <w:szCs w:val="18"/>
              </w:rPr>
              <w:t>4</w:t>
            </w:r>
          </w:p>
        </w:tc>
        <w:tc>
          <w:tcPr>
            <w:tcW w:w="556" w:type="dxa"/>
            <w:shd w:val="clear" w:color="auto" w:fill="auto"/>
            <w:vAlign w:val="center"/>
          </w:tcPr>
          <w:p w14:paraId="04B531C9" w14:textId="77777777" w:rsidR="00E907D7" w:rsidRPr="002D2C2D" w:rsidRDefault="00E907D7" w:rsidP="00221A11">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4</w:t>
            </w:r>
          </w:p>
        </w:tc>
      </w:tr>
      <w:tr w:rsidR="00E907D7" w:rsidRPr="002D2C2D" w14:paraId="712F9E6D" w14:textId="77777777" w:rsidTr="00DA2B03">
        <w:trPr>
          <w:cantSplit/>
        </w:trPr>
        <w:tc>
          <w:tcPr>
            <w:tcW w:w="1276" w:type="dxa"/>
            <w:tcBorders>
              <w:bottom w:val="single" w:sz="4" w:space="0" w:color="auto"/>
            </w:tcBorders>
            <w:shd w:val="clear" w:color="auto" w:fill="auto"/>
            <w:vAlign w:val="center"/>
            <w:hideMark/>
          </w:tcPr>
          <w:p w14:paraId="2AE67389" w14:textId="77777777" w:rsidR="00E907D7" w:rsidRPr="002D2C2D" w:rsidRDefault="00E907D7" w:rsidP="00221A11">
            <w:pPr>
              <w:keepNext/>
              <w:keepLines/>
              <w:widowControl/>
              <w:rPr>
                <w:rFonts w:cs="Arial"/>
                <w:color w:val="000000"/>
                <w:sz w:val="18"/>
                <w:szCs w:val="18"/>
                <w:lang w:eastAsia="en-GB" w:bidi="ar-SA"/>
              </w:rPr>
            </w:pPr>
            <w:r w:rsidRPr="002D2C2D">
              <w:rPr>
                <w:rFonts w:cs="Arial"/>
                <w:color w:val="000000"/>
                <w:sz w:val="18"/>
                <w:szCs w:val="18"/>
                <w:lang w:eastAsia="en-GB" w:bidi="ar-SA"/>
              </w:rPr>
              <w:t>13.3.1</w:t>
            </w:r>
          </w:p>
        </w:tc>
        <w:tc>
          <w:tcPr>
            <w:tcW w:w="451" w:type="dxa"/>
            <w:tcBorders>
              <w:bottom w:val="single" w:sz="4" w:space="0" w:color="auto"/>
              <w:right w:val="nil"/>
            </w:tcBorders>
            <w:shd w:val="clear" w:color="auto" w:fill="auto"/>
            <w:vAlign w:val="center"/>
          </w:tcPr>
          <w:p w14:paraId="65EB2396" w14:textId="77777777" w:rsidR="00E907D7" w:rsidRPr="002D2C2D" w:rsidRDefault="00E907D7" w:rsidP="00221A11">
            <w:pPr>
              <w:keepNext/>
              <w:keepLines/>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auto"/>
            <w:vAlign w:val="center"/>
          </w:tcPr>
          <w:p w14:paraId="08C12303" w14:textId="77777777" w:rsidR="00E907D7" w:rsidRPr="002D2C2D" w:rsidRDefault="00E907D7" w:rsidP="00221A11">
            <w:pPr>
              <w:keepNext/>
              <w:keepLines/>
              <w:widowControl/>
              <w:rPr>
                <w:rFonts w:cs="Arial"/>
                <w:color w:val="000000" w:themeColor="text1"/>
                <w:sz w:val="18"/>
                <w:szCs w:val="18"/>
                <w:lang w:eastAsia="en-GB" w:bidi="ar-SA"/>
              </w:rPr>
            </w:pPr>
            <w:r w:rsidRPr="002D2C2D">
              <w:rPr>
                <w:rFonts w:cs="Arial"/>
                <w:color w:val="000000"/>
                <w:sz w:val="18"/>
                <w:szCs w:val="18"/>
              </w:rPr>
              <w:t>Solid formula meal replacement &amp; formulated supplementary foods</w:t>
            </w:r>
          </w:p>
        </w:tc>
        <w:tc>
          <w:tcPr>
            <w:tcW w:w="725" w:type="dxa"/>
            <w:shd w:val="clear" w:color="auto" w:fill="auto"/>
            <w:vAlign w:val="center"/>
          </w:tcPr>
          <w:p w14:paraId="7468E4AE" w14:textId="77777777" w:rsidR="00E907D7" w:rsidRPr="002D2C2D" w:rsidRDefault="00E907D7"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725" w:type="dxa"/>
            <w:vAlign w:val="center"/>
          </w:tcPr>
          <w:p w14:paraId="7719E90F" w14:textId="77777777" w:rsidR="00E907D7" w:rsidRPr="002D2C2D" w:rsidRDefault="00E907D7" w:rsidP="00221A11">
            <w:pPr>
              <w:keepNext/>
              <w:keepLines/>
              <w:widowControl/>
              <w:tabs>
                <w:tab w:val="decimal" w:pos="340"/>
              </w:tabs>
              <w:rPr>
                <w:rFonts w:cs="Arial"/>
                <w:color w:val="000000"/>
                <w:sz w:val="18"/>
                <w:szCs w:val="18"/>
              </w:rPr>
            </w:pPr>
            <w:r w:rsidRPr="002D2C2D">
              <w:rPr>
                <w:rFonts w:cs="Arial"/>
                <w:color w:val="000000"/>
                <w:sz w:val="18"/>
                <w:szCs w:val="18"/>
              </w:rPr>
              <w:t>&lt;1</w:t>
            </w:r>
          </w:p>
        </w:tc>
        <w:tc>
          <w:tcPr>
            <w:tcW w:w="725" w:type="dxa"/>
            <w:shd w:val="clear" w:color="auto" w:fill="auto"/>
            <w:vAlign w:val="center"/>
          </w:tcPr>
          <w:p w14:paraId="380EDC69" w14:textId="77777777" w:rsidR="00E907D7" w:rsidRPr="002D2C2D" w:rsidRDefault="00E907D7"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725" w:type="dxa"/>
            <w:shd w:val="clear" w:color="auto" w:fill="auto"/>
            <w:vAlign w:val="center"/>
          </w:tcPr>
          <w:p w14:paraId="2D2A7AA4" w14:textId="77777777" w:rsidR="00E907D7" w:rsidRPr="002D2C2D" w:rsidRDefault="00E907D7" w:rsidP="00221A11">
            <w:pPr>
              <w:keepNext/>
              <w:keepLines/>
              <w:widowControl/>
              <w:tabs>
                <w:tab w:val="decimal" w:pos="340"/>
              </w:tabs>
              <w:rPr>
                <w:rFonts w:cs="Arial"/>
                <w:sz w:val="18"/>
                <w:szCs w:val="18"/>
                <w:lang w:eastAsia="en-GB" w:bidi="ar-SA"/>
              </w:rPr>
            </w:pPr>
            <w:r w:rsidRPr="002D2C2D">
              <w:rPr>
                <w:rFonts w:cs="Arial"/>
                <w:sz w:val="18"/>
                <w:szCs w:val="18"/>
              </w:rPr>
              <w:t>&lt;1</w:t>
            </w:r>
          </w:p>
        </w:tc>
        <w:tc>
          <w:tcPr>
            <w:tcW w:w="725" w:type="dxa"/>
            <w:vAlign w:val="center"/>
          </w:tcPr>
          <w:p w14:paraId="51AFBEE4" w14:textId="77777777" w:rsidR="00E907D7" w:rsidRPr="002D2C2D" w:rsidRDefault="00E907D7" w:rsidP="00221A11">
            <w:pPr>
              <w:keepNext/>
              <w:keepLines/>
              <w:widowControl/>
              <w:tabs>
                <w:tab w:val="decimal" w:pos="340"/>
              </w:tabs>
              <w:rPr>
                <w:rFonts w:cs="Arial"/>
                <w:sz w:val="18"/>
                <w:szCs w:val="18"/>
              </w:rPr>
            </w:pPr>
            <w:r w:rsidRPr="002D2C2D">
              <w:rPr>
                <w:rFonts w:cs="Arial"/>
                <w:sz w:val="18"/>
                <w:szCs w:val="18"/>
              </w:rPr>
              <w:t>&lt;1</w:t>
            </w:r>
          </w:p>
        </w:tc>
        <w:tc>
          <w:tcPr>
            <w:tcW w:w="725" w:type="dxa"/>
            <w:shd w:val="clear" w:color="auto" w:fill="auto"/>
            <w:vAlign w:val="center"/>
          </w:tcPr>
          <w:p w14:paraId="5E3B1E72" w14:textId="77777777" w:rsidR="00E907D7" w:rsidRPr="002D2C2D" w:rsidRDefault="00E907D7" w:rsidP="00221A11">
            <w:pPr>
              <w:keepNext/>
              <w:keepLines/>
              <w:widowControl/>
              <w:tabs>
                <w:tab w:val="decimal" w:pos="340"/>
              </w:tabs>
              <w:rPr>
                <w:rFonts w:cs="Arial"/>
                <w:sz w:val="18"/>
                <w:szCs w:val="18"/>
                <w:lang w:eastAsia="en-GB" w:bidi="ar-SA"/>
              </w:rPr>
            </w:pPr>
            <w:r w:rsidRPr="002D2C2D">
              <w:rPr>
                <w:rFonts w:cs="Arial"/>
                <w:sz w:val="18"/>
                <w:szCs w:val="18"/>
              </w:rPr>
              <w:t>&lt;1</w:t>
            </w:r>
          </w:p>
        </w:tc>
        <w:tc>
          <w:tcPr>
            <w:tcW w:w="827" w:type="dxa"/>
            <w:tcBorders>
              <w:bottom w:val="single" w:sz="4" w:space="0" w:color="auto"/>
            </w:tcBorders>
            <w:shd w:val="clear" w:color="auto" w:fill="auto"/>
            <w:vAlign w:val="center"/>
          </w:tcPr>
          <w:p w14:paraId="1D0BF1A7" w14:textId="77777777" w:rsidR="00E907D7" w:rsidRPr="002D2C2D" w:rsidRDefault="00E907D7" w:rsidP="00221A11">
            <w:pPr>
              <w:keepNext/>
              <w:keepLines/>
              <w:widowControl/>
              <w:tabs>
                <w:tab w:val="decimal" w:pos="340"/>
              </w:tabs>
              <w:rPr>
                <w:rFonts w:cs="Arial"/>
                <w:sz w:val="18"/>
                <w:szCs w:val="18"/>
                <w:lang w:eastAsia="en-GB" w:bidi="ar-SA"/>
              </w:rPr>
            </w:pPr>
            <w:r w:rsidRPr="002D2C2D">
              <w:rPr>
                <w:rFonts w:cs="Arial"/>
                <w:sz w:val="18"/>
                <w:szCs w:val="18"/>
              </w:rPr>
              <w:t>&lt;1</w:t>
            </w:r>
          </w:p>
        </w:tc>
        <w:tc>
          <w:tcPr>
            <w:tcW w:w="827" w:type="dxa"/>
            <w:tcBorders>
              <w:bottom w:val="single" w:sz="4" w:space="0" w:color="auto"/>
            </w:tcBorders>
            <w:vAlign w:val="center"/>
          </w:tcPr>
          <w:p w14:paraId="6E425F45" w14:textId="77777777" w:rsidR="00E907D7" w:rsidRPr="002D2C2D" w:rsidRDefault="00E907D7" w:rsidP="00221A11">
            <w:pPr>
              <w:keepNext/>
              <w:keepLines/>
              <w:widowControl/>
              <w:tabs>
                <w:tab w:val="decimal" w:pos="340"/>
              </w:tabs>
              <w:rPr>
                <w:rFonts w:cs="Arial"/>
                <w:sz w:val="18"/>
                <w:szCs w:val="18"/>
              </w:rPr>
            </w:pPr>
            <w:r w:rsidRPr="002D2C2D">
              <w:rPr>
                <w:rFonts w:cs="Arial"/>
                <w:sz w:val="18"/>
                <w:szCs w:val="18"/>
              </w:rPr>
              <w:t>&lt;1</w:t>
            </w:r>
          </w:p>
        </w:tc>
        <w:tc>
          <w:tcPr>
            <w:tcW w:w="827" w:type="dxa"/>
            <w:tcBorders>
              <w:bottom w:val="single" w:sz="4" w:space="0" w:color="auto"/>
            </w:tcBorders>
            <w:shd w:val="clear" w:color="auto" w:fill="auto"/>
            <w:vAlign w:val="center"/>
          </w:tcPr>
          <w:p w14:paraId="034DBE79" w14:textId="77777777" w:rsidR="00E907D7" w:rsidRPr="002D2C2D" w:rsidRDefault="00E907D7" w:rsidP="00221A11">
            <w:pPr>
              <w:keepNext/>
              <w:keepLines/>
              <w:widowControl/>
              <w:tabs>
                <w:tab w:val="decimal" w:pos="340"/>
              </w:tabs>
              <w:rPr>
                <w:rFonts w:cs="Arial"/>
                <w:sz w:val="18"/>
                <w:szCs w:val="18"/>
                <w:lang w:eastAsia="en-GB" w:bidi="ar-SA"/>
              </w:rPr>
            </w:pPr>
            <w:r w:rsidRPr="002D2C2D">
              <w:rPr>
                <w:rFonts w:cs="Arial"/>
                <w:sz w:val="18"/>
                <w:szCs w:val="18"/>
              </w:rPr>
              <w:t>2</w:t>
            </w:r>
          </w:p>
        </w:tc>
        <w:tc>
          <w:tcPr>
            <w:tcW w:w="827" w:type="dxa"/>
            <w:shd w:val="clear" w:color="auto" w:fill="auto"/>
            <w:vAlign w:val="center"/>
          </w:tcPr>
          <w:p w14:paraId="5890EAB8" w14:textId="77777777" w:rsidR="00E907D7" w:rsidRPr="002D2C2D" w:rsidRDefault="00E907D7"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0</w:t>
            </w:r>
          </w:p>
        </w:tc>
        <w:tc>
          <w:tcPr>
            <w:tcW w:w="827" w:type="dxa"/>
            <w:vAlign w:val="center"/>
          </w:tcPr>
          <w:p w14:paraId="4A89689E" w14:textId="77777777" w:rsidR="00E907D7" w:rsidRPr="002D2C2D" w:rsidRDefault="00E907D7" w:rsidP="00221A11">
            <w:pPr>
              <w:keepNext/>
              <w:keepLines/>
              <w:widowControl/>
              <w:tabs>
                <w:tab w:val="decimal" w:pos="340"/>
              </w:tabs>
              <w:rPr>
                <w:rFonts w:cs="Arial"/>
                <w:color w:val="000000"/>
                <w:sz w:val="18"/>
                <w:szCs w:val="18"/>
              </w:rPr>
            </w:pPr>
            <w:r w:rsidRPr="002D2C2D">
              <w:rPr>
                <w:rFonts w:cs="Arial"/>
                <w:color w:val="000000"/>
                <w:sz w:val="18"/>
                <w:szCs w:val="18"/>
              </w:rPr>
              <w:t>0</w:t>
            </w:r>
          </w:p>
        </w:tc>
        <w:tc>
          <w:tcPr>
            <w:tcW w:w="556" w:type="dxa"/>
            <w:shd w:val="clear" w:color="auto" w:fill="auto"/>
            <w:vAlign w:val="center"/>
          </w:tcPr>
          <w:p w14:paraId="147F42BA" w14:textId="77777777" w:rsidR="00E907D7" w:rsidRPr="002D2C2D" w:rsidRDefault="00E907D7"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0</w:t>
            </w:r>
          </w:p>
        </w:tc>
      </w:tr>
      <w:tr w:rsidR="00E907D7" w:rsidRPr="002D2C2D" w14:paraId="30BCD04F" w14:textId="77777777" w:rsidTr="00DA2B03">
        <w:trPr>
          <w:cantSplit/>
        </w:trPr>
        <w:tc>
          <w:tcPr>
            <w:tcW w:w="1276" w:type="dxa"/>
            <w:tcBorders>
              <w:bottom w:val="single" w:sz="4" w:space="0" w:color="auto"/>
            </w:tcBorders>
            <w:shd w:val="clear" w:color="auto" w:fill="D9D9D9" w:themeFill="background1" w:themeFillShade="D9"/>
            <w:vAlign w:val="center"/>
            <w:hideMark/>
          </w:tcPr>
          <w:p w14:paraId="4ADDB907" w14:textId="77777777" w:rsidR="00E907D7" w:rsidRPr="002D2C2D" w:rsidRDefault="00E907D7" w:rsidP="00221A11">
            <w:pPr>
              <w:keepNext/>
              <w:keepLines/>
              <w:widowControl/>
              <w:rPr>
                <w:rFonts w:cs="Arial"/>
                <w:color w:val="000000"/>
                <w:sz w:val="18"/>
                <w:szCs w:val="18"/>
                <w:lang w:eastAsia="en-GB" w:bidi="ar-SA"/>
              </w:rPr>
            </w:pPr>
            <w:r w:rsidRPr="002D2C2D">
              <w:rPr>
                <w:rFonts w:cs="Arial"/>
                <w:color w:val="000000"/>
                <w:sz w:val="18"/>
                <w:szCs w:val="18"/>
                <w:lang w:eastAsia="en-GB" w:bidi="ar-SA"/>
              </w:rPr>
              <w:t>13.3.2</w:t>
            </w:r>
          </w:p>
        </w:tc>
        <w:tc>
          <w:tcPr>
            <w:tcW w:w="451" w:type="dxa"/>
            <w:tcBorders>
              <w:bottom w:val="single" w:sz="4" w:space="0" w:color="auto"/>
              <w:right w:val="nil"/>
            </w:tcBorders>
            <w:shd w:val="clear" w:color="auto" w:fill="D9D9D9" w:themeFill="background1" w:themeFillShade="D9"/>
            <w:vAlign w:val="center"/>
          </w:tcPr>
          <w:p w14:paraId="37101E15" w14:textId="77777777" w:rsidR="00E907D7" w:rsidRPr="002D2C2D" w:rsidRDefault="00E907D7" w:rsidP="00221A11">
            <w:pPr>
              <w:keepNext/>
              <w:keepLines/>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D9D9D9" w:themeFill="background1" w:themeFillShade="D9"/>
            <w:vAlign w:val="center"/>
          </w:tcPr>
          <w:p w14:paraId="005ECB9F" w14:textId="77777777" w:rsidR="00E907D7" w:rsidRPr="002D2C2D" w:rsidRDefault="00E907D7" w:rsidP="00221A11">
            <w:pPr>
              <w:keepNext/>
              <w:keepLines/>
              <w:widowControl/>
              <w:rPr>
                <w:rFonts w:cs="Arial"/>
                <w:color w:val="000000" w:themeColor="text1"/>
                <w:sz w:val="18"/>
                <w:szCs w:val="18"/>
                <w:lang w:eastAsia="en-GB" w:bidi="ar-SA"/>
              </w:rPr>
            </w:pPr>
            <w:r w:rsidRPr="002D2C2D">
              <w:rPr>
                <w:rFonts w:cs="Arial"/>
                <w:color w:val="000000"/>
                <w:sz w:val="18"/>
                <w:szCs w:val="18"/>
              </w:rPr>
              <w:t>Liquid formula meal replacement &amp; formulated supplementary foods</w:t>
            </w:r>
          </w:p>
        </w:tc>
        <w:tc>
          <w:tcPr>
            <w:tcW w:w="725" w:type="dxa"/>
            <w:shd w:val="clear" w:color="auto" w:fill="auto"/>
            <w:vAlign w:val="center"/>
          </w:tcPr>
          <w:p w14:paraId="4FB64AE2" w14:textId="77777777" w:rsidR="00E907D7" w:rsidRPr="002D2C2D" w:rsidRDefault="00E907D7"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725" w:type="dxa"/>
            <w:tcBorders>
              <w:bottom w:val="single" w:sz="4" w:space="0" w:color="auto"/>
            </w:tcBorders>
            <w:vAlign w:val="center"/>
          </w:tcPr>
          <w:p w14:paraId="1F639BD1" w14:textId="77777777" w:rsidR="00E907D7" w:rsidRPr="002D2C2D" w:rsidRDefault="00E907D7" w:rsidP="00221A11">
            <w:pPr>
              <w:keepNext/>
              <w:keepLines/>
              <w:widowControl/>
              <w:tabs>
                <w:tab w:val="decimal" w:pos="340"/>
              </w:tabs>
              <w:rPr>
                <w:rFonts w:cs="Arial"/>
                <w:color w:val="000000"/>
                <w:sz w:val="18"/>
                <w:szCs w:val="18"/>
              </w:rPr>
            </w:pPr>
            <w:r w:rsidRPr="002D2C2D">
              <w:rPr>
                <w:rFonts w:cs="Arial"/>
                <w:color w:val="000000"/>
                <w:sz w:val="18"/>
                <w:szCs w:val="18"/>
              </w:rPr>
              <w:t>&lt;1</w:t>
            </w:r>
          </w:p>
        </w:tc>
        <w:tc>
          <w:tcPr>
            <w:tcW w:w="725" w:type="dxa"/>
            <w:shd w:val="clear" w:color="auto" w:fill="auto"/>
            <w:vAlign w:val="center"/>
          </w:tcPr>
          <w:p w14:paraId="4B5D6F60" w14:textId="77777777" w:rsidR="00E907D7" w:rsidRPr="002D2C2D" w:rsidRDefault="00E907D7"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2</w:t>
            </w:r>
          </w:p>
        </w:tc>
        <w:tc>
          <w:tcPr>
            <w:tcW w:w="725" w:type="dxa"/>
            <w:tcBorders>
              <w:bottom w:val="single" w:sz="4" w:space="0" w:color="auto"/>
            </w:tcBorders>
            <w:shd w:val="clear" w:color="auto" w:fill="auto"/>
            <w:vAlign w:val="center"/>
          </w:tcPr>
          <w:p w14:paraId="5A869688" w14:textId="77777777" w:rsidR="00E907D7" w:rsidRPr="002D2C2D" w:rsidRDefault="00E907D7" w:rsidP="00221A11">
            <w:pPr>
              <w:keepNext/>
              <w:keepLines/>
              <w:widowControl/>
              <w:tabs>
                <w:tab w:val="decimal" w:pos="340"/>
              </w:tabs>
              <w:rPr>
                <w:rFonts w:cs="Arial"/>
                <w:sz w:val="18"/>
                <w:szCs w:val="18"/>
                <w:lang w:eastAsia="en-GB" w:bidi="ar-SA"/>
              </w:rPr>
            </w:pPr>
            <w:r w:rsidRPr="002D2C2D">
              <w:rPr>
                <w:rFonts w:cs="Arial"/>
                <w:sz w:val="18"/>
                <w:szCs w:val="18"/>
              </w:rPr>
              <w:t>&lt;1</w:t>
            </w:r>
          </w:p>
        </w:tc>
        <w:tc>
          <w:tcPr>
            <w:tcW w:w="725" w:type="dxa"/>
            <w:tcBorders>
              <w:bottom w:val="single" w:sz="4" w:space="0" w:color="auto"/>
            </w:tcBorders>
            <w:vAlign w:val="center"/>
          </w:tcPr>
          <w:p w14:paraId="7849C561" w14:textId="77777777" w:rsidR="00E907D7" w:rsidRPr="002D2C2D" w:rsidRDefault="00E907D7" w:rsidP="00221A11">
            <w:pPr>
              <w:keepNext/>
              <w:keepLines/>
              <w:widowControl/>
              <w:tabs>
                <w:tab w:val="decimal" w:pos="340"/>
              </w:tabs>
              <w:rPr>
                <w:rFonts w:cs="Arial"/>
                <w:sz w:val="18"/>
                <w:szCs w:val="18"/>
              </w:rPr>
            </w:pPr>
            <w:r w:rsidRPr="002D2C2D">
              <w:rPr>
                <w:rFonts w:cs="Arial"/>
                <w:sz w:val="18"/>
                <w:szCs w:val="18"/>
              </w:rPr>
              <w:t>&lt;1</w:t>
            </w:r>
          </w:p>
        </w:tc>
        <w:tc>
          <w:tcPr>
            <w:tcW w:w="725" w:type="dxa"/>
            <w:tcBorders>
              <w:bottom w:val="single" w:sz="4" w:space="0" w:color="auto"/>
            </w:tcBorders>
            <w:shd w:val="clear" w:color="auto" w:fill="auto"/>
            <w:vAlign w:val="center"/>
          </w:tcPr>
          <w:p w14:paraId="4126229C" w14:textId="77777777" w:rsidR="00E907D7" w:rsidRPr="002D2C2D" w:rsidRDefault="00E907D7" w:rsidP="00221A11">
            <w:pPr>
              <w:keepNext/>
              <w:keepLines/>
              <w:widowControl/>
              <w:tabs>
                <w:tab w:val="decimal" w:pos="340"/>
              </w:tabs>
              <w:rPr>
                <w:rFonts w:cs="Arial"/>
                <w:sz w:val="18"/>
                <w:szCs w:val="18"/>
                <w:lang w:eastAsia="en-GB" w:bidi="ar-SA"/>
              </w:rPr>
            </w:pPr>
            <w:r w:rsidRPr="002D2C2D">
              <w:rPr>
                <w:rFonts w:cs="Arial"/>
                <w:sz w:val="18"/>
                <w:szCs w:val="18"/>
              </w:rPr>
              <w:t>2</w:t>
            </w:r>
          </w:p>
        </w:tc>
        <w:tc>
          <w:tcPr>
            <w:tcW w:w="827" w:type="dxa"/>
            <w:tcBorders>
              <w:bottom w:val="single" w:sz="4" w:space="0" w:color="auto"/>
              <w:right w:val="single" w:sz="4" w:space="0" w:color="auto"/>
            </w:tcBorders>
            <w:shd w:val="clear" w:color="auto" w:fill="auto"/>
            <w:vAlign w:val="center"/>
          </w:tcPr>
          <w:p w14:paraId="6F0A84A0" w14:textId="77777777" w:rsidR="00E907D7" w:rsidRPr="002D2C2D" w:rsidRDefault="00E907D7" w:rsidP="00221A11">
            <w:pPr>
              <w:keepNext/>
              <w:keepLines/>
              <w:widowControl/>
              <w:tabs>
                <w:tab w:val="decimal" w:pos="340"/>
              </w:tabs>
              <w:rPr>
                <w:rFonts w:cs="Arial"/>
                <w:sz w:val="18"/>
                <w:szCs w:val="18"/>
                <w:lang w:eastAsia="en-GB" w:bidi="ar-SA"/>
              </w:rPr>
            </w:pPr>
            <w:r w:rsidRPr="002D2C2D">
              <w:rPr>
                <w:rFonts w:cs="Arial"/>
                <w:sz w:val="18"/>
                <w:szCs w:val="18"/>
              </w:rPr>
              <w:t>3</w:t>
            </w:r>
          </w:p>
        </w:tc>
        <w:tc>
          <w:tcPr>
            <w:tcW w:w="827" w:type="dxa"/>
            <w:tcBorders>
              <w:left w:val="single" w:sz="4" w:space="0" w:color="auto"/>
              <w:bottom w:val="single" w:sz="4" w:space="0" w:color="auto"/>
            </w:tcBorders>
            <w:shd w:val="clear" w:color="auto" w:fill="auto"/>
            <w:vAlign w:val="center"/>
          </w:tcPr>
          <w:p w14:paraId="018ED2AF" w14:textId="77777777" w:rsidR="00E907D7" w:rsidRPr="002D2C2D" w:rsidRDefault="00E907D7" w:rsidP="00221A11">
            <w:pPr>
              <w:keepNext/>
              <w:keepLines/>
              <w:widowControl/>
              <w:tabs>
                <w:tab w:val="decimal" w:pos="340"/>
              </w:tabs>
              <w:rPr>
                <w:rFonts w:cs="Arial"/>
                <w:sz w:val="18"/>
                <w:szCs w:val="18"/>
              </w:rPr>
            </w:pPr>
            <w:r w:rsidRPr="002D2C2D">
              <w:rPr>
                <w:rFonts w:cs="Arial"/>
                <w:sz w:val="18"/>
                <w:szCs w:val="18"/>
              </w:rPr>
              <w:t>1</w:t>
            </w:r>
          </w:p>
        </w:tc>
        <w:tc>
          <w:tcPr>
            <w:tcW w:w="827" w:type="dxa"/>
            <w:tcBorders>
              <w:bottom w:val="single" w:sz="4" w:space="0" w:color="auto"/>
            </w:tcBorders>
            <w:shd w:val="clear" w:color="auto" w:fill="D9D9D9" w:themeFill="background1" w:themeFillShade="D9"/>
            <w:vAlign w:val="center"/>
          </w:tcPr>
          <w:p w14:paraId="5F352E0F" w14:textId="77777777" w:rsidR="00E907D7" w:rsidRPr="002D2C2D" w:rsidRDefault="00E907D7" w:rsidP="00221A11">
            <w:pPr>
              <w:keepNext/>
              <w:keepLines/>
              <w:widowControl/>
              <w:tabs>
                <w:tab w:val="decimal" w:pos="340"/>
              </w:tabs>
              <w:rPr>
                <w:rFonts w:cs="Arial"/>
                <w:sz w:val="18"/>
                <w:szCs w:val="18"/>
                <w:lang w:eastAsia="en-GB" w:bidi="ar-SA"/>
              </w:rPr>
            </w:pPr>
            <w:r w:rsidRPr="002D2C2D">
              <w:rPr>
                <w:rFonts w:cs="Arial"/>
                <w:sz w:val="18"/>
                <w:szCs w:val="18"/>
              </w:rPr>
              <w:t>12</w:t>
            </w:r>
          </w:p>
        </w:tc>
        <w:tc>
          <w:tcPr>
            <w:tcW w:w="827" w:type="dxa"/>
            <w:shd w:val="clear" w:color="auto" w:fill="auto"/>
            <w:vAlign w:val="center"/>
          </w:tcPr>
          <w:p w14:paraId="1634CEEB" w14:textId="77777777" w:rsidR="00E907D7" w:rsidRPr="002D2C2D" w:rsidRDefault="00E907D7"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4</w:t>
            </w:r>
          </w:p>
        </w:tc>
        <w:tc>
          <w:tcPr>
            <w:tcW w:w="827" w:type="dxa"/>
            <w:vAlign w:val="center"/>
          </w:tcPr>
          <w:p w14:paraId="02F2C7AB" w14:textId="77777777" w:rsidR="00E907D7" w:rsidRPr="002D2C2D" w:rsidRDefault="00E907D7" w:rsidP="00221A11">
            <w:pPr>
              <w:keepNext/>
              <w:keepLines/>
              <w:widowControl/>
              <w:tabs>
                <w:tab w:val="decimal" w:pos="340"/>
              </w:tabs>
              <w:rPr>
                <w:rFonts w:cs="Arial"/>
                <w:color w:val="000000"/>
                <w:sz w:val="18"/>
                <w:szCs w:val="18"/>
              </w:rPr>
            </w:pPr>
            <w:r w:rsidRPr="002D2C2D">
              <w:rPr>
                <w:rFonts w:cs="Arial"/>
                <w:color w:val="000000"/>
                <w:sz w:val="18"/>
                <w:szCs w:val="18"/>
              </w:rPr>
              <w:t>4</w:t>
            </w:r>
          </w:p>
        </w:tc>
        <w:tc>
          <w:tcPr>
            <w:tcW w:w="556" w:type="dxa"/>
            <w:shd w:val="clear" w:color="auto" w:fill="auto"/>
            <w:vAlign w:val="center"/>
          </w:tcPr>
          <w:p w14:paraId="36E2AABC" w14:textId="77777777" w:rsidR="00E907D7" w:rsidRPr="002D2C2D" w:rsidRDefault="00E907D7"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4</w:t>
            </w:r>
          </w:p>
        </w:tc>
      </w:tr>
      <w:tr w:rsidR="00E907D7" w:rsidRPr="002D2C2D" w14:paraId="23297204" w14:textId="77777777" w:rsidTr="00DA2B03">
        <w:trPr>
          <w:cantSplit/>
        </w:trPr>
        <w:tc>
          <w:tcPr>
            <w:tcW w:w="1276" w:type="dxa"/>
            <w:tcBorders>
              <w:bottom w:val="single" w:sz="4" w:space="0" w:color="auto"/>
              <w:right w:val="single" w:sz="4" w:space="0" w:color="auto"/>
            </w:tcBorders>
            <w:shd w:val="clear" w:color="auto" w:fill="D9D9D9" w:themeFill="background1" w:themeFillShade="D9"/>
            <w:vAlign w:val="center"/>
            <w:hideMark/>
          </w:tcPr>
          <w:p w14:paraId="5690214B" w14:textId="77777777" w:rsidR="00E907D7" w:rsidRPr="002D2C2D" w:rsidRDefault="00E907D7" w:rsidP="00221A11">
            <w:pPr>
              <w:keepNext/>
              <w:keepLines/>
              <w:widowControl/>
              <w:rPr>
                <w:rFonts w:cs="Arial"/>
                <w:color w:val="000000"/>
                <w:sz w:val="18"/>
                <w:szCs w:val="18"/>
                <w:lang w:eastAsia="en-GB" w:bidi="ar-SA"/>
              </w:rPr>
            </w:pPr>
            <w:r w:rsidRPr="002D2C2D">
              <w:rPr>
                <w:rFonts w:cs="Arial"/>
                <w:color w:val="000000"/>
                <w:sz w:val="18"/>
                <w:szCs w:val="18"/>
                <w:lang w:eastAsia="en-GB" w:bidi="ar-SA"/>
              </w:rPr>
              <w:t>13.4.1</w:t>
            </w:r>
          </w:p>
        </w:tc>
        <w:tc>
          <w:tcPr>
            <w:tcW w:w="451" w:type="dxa"/>
            <w:tcBorders>
              <w:left w:val="single" w:sz="4" w:space="0" w:color="auto"/>
              <w:bottom w:val="single" w:sz="4" w:space="0" w:color="auto"/>
              <w:right w:val="nil"/>
            </w:tcBorders>
            <w:shd w:val="clear" w:color="auto" w:fill="D9D9D9" w:themeFill="background1" w:themeFillShade="D9"/>
            <w:vAlign w:val="center"/>
          </w:tcPr>
          <w:p w14:paraId="725A15BB" w14:textId="77777777" w:rsidR="00E907D7" w:rsidRPr="002D2C2D" w:rsidRDefault="00E907D7" w:rsidP="00221A11">
            <w:pPr>
              <w:keepNext/>
              <w:keepLines/>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D9D9D9" w:themeFill="background1" w:themeFillShade="D9"/>
            <w:vAlign w:val="center"/>
            <w:hideMark/>
          </w:tcPr>
          <w:p w14:paraId="05009ED3" w14:textId="77777777" w:rsidR="00E907D7" w:rsidRPr="002D2C2D" w:rsidRDefault="00E907D7" w:rsidP="00221A11">
            <w:pPr>
              <w:keepNext/>
              <w:keepLines/>
              <w:widowControl/>
              <w:rPr>
                <w:rFonts w:cs="Arial"/>
                <w:color w:val="000000"/>
                <w:sz w:val="18"/>
                <w:szCs w:val="18"/>
                <w:lang w:eastAsia="en-GB" w:bidi="ar-SA"/>
              </w:rPr>
            </w:pPr>
            <w:r w:rsidRPr="002D2C2D">
              <w:rPr>
                <w:rFonts w:cs="Arial"/>
                <w:color w:val="000000"/>
                <w:sz w:val="18"/>
                <w:szCs w:val="18"/>
                <w:lang w:eastAsia="en-GB" w:bidi="ar-SA"/>
              </w:rPr>
              <w:t>Solid formulated supplementary sports foods</w:t>
            </w:r>
          </w:p>
        </w:tc>
        <w:tc>
          <w:tcPr>
            <w:tcW w:w="725" w:type="dxa"/>
            <w:shd w:val="clear" w:color="auto" w:fill="auto"/>
            <w:vAlign w:val="center"/>
          </w:tcPr>
          <w:p w14:paraId="03D9A9BF" w14:textId="77777777" w:rsidR="00E907D7" w:rsidRPr="002D2C2D" w:rsidRDefault="00E907D7"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725" w:type="dxa"/>
            <w:shd w:val="clear" w:color="auto" w:fill="D9D9D9" w:themeFill="background1" w:themeFillShade="D9"/>
            <w:vAlign w:val="center"/>
          </w:tcPr>
          <w:p w14:paraId="5051B47D" w14:textId="77777777" w:rsidR="00E907D7" w:rsidRPr="002D2C2D" w:rsidRDefault="00E907D7" w:rsidP="00221A11">
            <w:pPr>
              <w:keepNext/>
              <w:keepLines/>
              <w:widowControl/>
              <w:tabs>
                <w:tab w:val="decimal" w:pos="340"/>
              </w:tabs>
              <w:rPr>
                <w:rFonts w:cs="Arial"/>
                <w:color w:val="000000"/>
                <w:sz w:val="18"/>
                <w:szCs w:val="18"/>
              </w:rPr>
            </w:pPr>
            <w:r w:rsidRPr="002D2C2D">
              <w:rPr>
                <w:rFonts w:cs="Arial"/>
                <w:color w:val="000000"/>
                <w:sz w:val="18"/>
                <w:szCs w:val="18"/>
              </w:rPr>
              <w:t>5</w:t>
            </w:r>
          </w:p>
        </w:tc>
        <w:tc>
          <w:tcPr>
            <w:tcW w:w="725" w:type="dxa"/>
            <w:shd w:val="clear" w:color="auto" w:fill="auto"/>
            <w:vAlign w:val="center"/>
          </w:tcPr>
          <w:p w14:paraId="698610C6" w14:textId="77777777" w:rsidR="00E907D7" w:rsidRPr="002D2C2D" w:rsidRDefault="00E907D7"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725" w:type="dxa"/>
            <w:tcBorders>
              <w:bottom w:val="single" w:sz="4" w:space="0" w:color="auto"/>
            </w:tcBorders>
            <w:shd w:val="clear" w:color="auto" w:fill="D9D9D9" w:themeFill="background1" w:themeFillShade="D9"/>
            <w:vAlign w:val="center"/>
          </w:tcPr>
          <w:p w14:paraId="573E7550" w14:textId="77777777" w:rsidR="00E907D7" w:rsidRPr="002D2C2D" w:rsidRDefault="00E907D7" w:rsidP="00221A11">
            <w:pPr>
              <w:keepNext/>
              <w:keepLines/>
              <w:widowControl/>
              <w:tabs>
                <w:tab w:val="decimal" w:pos="340"/>
              </w:tabs>
              <w:rPr>
                <w:rFonts w:cs="Arial"/>
                <w:sz w:val="18"/>
                <w:szCs w:val="18"/>
                <w:lang w:eastAsia="en-GB" w:bidi="ar-SA"/>
              </w:rPr>
            </w:pPr>
            <w:r w:rsidRPr="002D2C2D">
              <w:rPr>
                <w:rFonts w:cs="Arial"/>
                <w:sz w:val="18"/>
                <w:szCs w:val="18"/>
              </w:rPr>
              <w:t>7</w:t>
            </w:r>
          </w:p>
        </w:tc>
        <w:tc>
          <w:tcPr>
            <w:tcW w:w="725" w:type="dxa"/>
            <w:tcBorders>
              <w:bottom w:val="single" w:sz="4" w:space="0" w:color="auto"/>
            </w:tcBorders>
            <w:shd w:val="clear" w:color="auto" w:fill="D9D9D9" w:themeFill="background1" w:themeFillShade="D9"/>
            <w:vAlign w:val="center"/>
          </w:tcPr>
          <w:p w14:paraId="122761CC" w14:textId="77777777" w:rsidR="00E907D7" w:rsidRPr="002D2C2D" w:rsidRDefault="00E907D7" w:rsidP="00221A11">
            <w:pPr>
              <w:keepNext/>
              <w:keepLines/>
              <w:widowControl/>
              <w:tabs>
                <w:tab w:val="decimal" w:pos="340"/>
              </w:tabs>
              <w:rPr>
                <w:rFonts w:cs="Arial"/>
                <w:sz w:val="18"/>
                <w:szCs w:val="18"/>
              </w:rPr>
            </w:pPr>
            <w:r w:rsidRPr="002D2C2D">
              <w:rPr>
                <w:rFonts w:cs="Arial"/>
                <w:sz w:val="18"/>
                <w:szCs w:val="18"/>
              </w:rPr>
              <w:t>12</w:t>
            </w:r>
          </w:p>
        </w:tc>
        <w:tc>
          <w:tcPr>
            <w:tcW w:w="725" w:type="dxa"/>
            <w:tcBorders>
              <w:bottom w:val="single" w:sz="4" w:space="0" w:color="auto"/>
            </w:tcBorders>
            <w:shd w:val="clear" w:color="auto" w:fill="D9D9D9" w:themeFill="background1" w:themeFillShade="D9"/>
            <w:vAlign w:val="center"/>
          </w:tcPr>
          <w:p w14:paraId="0BDF7986" w14:textId="77777777" w:rsidR="00E907D7" w:rsidRPr="002D2C2D" w:rsidRDefault="00E907D7" w:rsidP="00221A11">
            <w:pPr>
              <w:keepNext/>
              <w:keepLines/>
              <w:widowControl/>
              <w:tabs>
                <w:tab w:val="decimal" w:pos="340"/>
              </w:tabs>
              <w:rPr>
                <w:rFonts w:cs="Arial"/>
                <w:sz w:val="18"/>
                <w:szCs w:val="18"/>
                <w:lang w:eastAsia="en-GB" w:bidi="ar-SA"/>
              </w:rPr>
            </w:pPr>
            <w:r w:rsidRPr="002D2C2D">
              <w:rPr>
                <w:rFonts w:cs="Arial"/>
                <w:sz w:val="18"/>
                <w:szCs w:val="18"/>
              </w:rPr>
              <w:t>6</w:t>
            </w:r>
          </w:p>
        </w:tc>
        <w:tc>
          <w:tcPr>
            <w:tcW w:w="827" w:type="dxa"/>
            <w:tcBorders>
              <w:bottom w:val="single" w:sz="4" w:space="0" w:color="auto"/>
            </w:tcBorders>
            <w:shd w:val="clear" w:color="auto" w:fill="D9D9D9" w:themeFill="background1" w:themeFillShade="D9"/>
            <w:vAlign w:val="center"/>
          </w:tcPr>
          <w:p w14:paraId="1745B5D1" w14:textId="77777777" w:rsidR="00E907D7" w:rsidRPr="002D2C2D" w:rsidRDefault="00E907D7" w:rsidP="00221A11">
            <w:pPr>
              <w:keepNext/>
              <w:keepLines/>
              <w:widowControl/>
              <w:tabs>
                <w:tab w:val="decimal" w:pos="340"/>
              </w:tabs>
              <w:rPr>
                <w:rFonts w:cs="Arial"/>
                <w:sz w:val="18"/>
                <w:szCs w:val="18"/>
                <w:lang w:eastAsia="en-GB" w:bidi="ar-SA"/>
              </w:rPr>
            </w:pPr>
            <w:r w:rsidRPr="002D2C2D">
              <w:rPr>
                <w:rFonts w:cs="Arial"/>
                <w:sz w:val="18"/>
                <w:szCs w:val="18"/>
              </w:rPr>
              <w:t>14</w:t>
            </w:r>
          </w:p>
        </w:tc>
        <w:tc>
          <w:tcPr>
            <w:tcW w:w="827" w:type="dxa"/>
            <w:tcBorders>
              <w:bottom w:val="single" w:sz="4" w:space="0" w:color="auto"/>
            </w:tcBorders>
            <w:shd w:val="clear" w:color="auto" w:fill="D9D9D9" w:themeFill="background1" w:themeFillShade="D9"/>
            <w:vAlign w:val="center"/>
          </w:tcPr>
          <w:p w14:paraId="685CC5E0" w14:textId="77777777" w:rsidR="00E907D7" w:rsidRPr="002D2C2D" w:rsidRDefault="00E907D7" w:rsidP="00221A11">
            <w:pPr>
              <w:keepNext/>
              <w:keepLines/>
              <w:widowControl/>
              <w:tabs>
                <w:tab w:val="decimal" w:pos="340"/>
              </w:tabs>
              <w:rPr>
                <w:rFonts w:cs="Arial"/>
                <w:sz w:val="18"/>
                <w:szCs w:val="18"/>
              </w:rPr>
            </w:pPr>
            <w:r w:rsidRPr="002D2C2D">
              <w:rPr>
                <w:rFonts w:cs="Arial"/>
                <w:sz w:val="18"/>
                <w:szCs w:val="18"/>
              </w:rPr>
              <w:t>30</w:t>
            </w:r>
          </w:p>
        </w:tc>
        <w:tc>
          <w:tcPr>
            <w:tcW w:w="827" w:type="dxa"/>
            <w:tcBorders>
              <w:bottom w:val="single" w:sz="4" w:space="0" w:color="auto"/>
            </w:tcBorders>
            <w:shd w:val="clear" w:color="auto" w:fill="D9D9D9" w:themeFill="background1" w:themeFillShade="D9"/>
            <w:vAlign w:val="center"/>
          </w:tcPr>
          <w:p w14:paraId="4A200FFF" w14:textId="77777777" w:rsidR="00E907D7" w:rsidRPr="002D2C2D" w:rsidRDefault="00E907D7" w:rsidP="00221A11">
            <w:pPr>
              <w:keepNext/>
              <w:keepLines/>
              <w:widowControl/>
              <w:tabs>
                <w:tab w:val="decimal" w:pos="340"/>
              </w:tabs>
              <w:rPr>
                <w:rFonts w:cs="Arial"/>
                <w:sz w:val="18"/>
                <w:szCs w:val="18"/>
                <w:lang w:eastAsia="en-GB" w:bidi="ar-SA"/>
              </w:rPr>
            </w:pPr>
            <w:r w:rsidRPr="002D2C2D">
              <w:rPr>
                <w:rFonts w:cs="Arial"/>
                <w:sz w:val="18"/>
                <w:szCs w:val="18"/>
              </w:rPr>
              <w:t>12</w:t>
            </w:r>
          </w:p>
        </w:tc>
        <w:tc>
          <w:tcPr>
            <w:tcW w:w="827" w:type="dxa"/>
            <w:shd w:val="clear" w:color="auto" w:fill="auto"/>
            <w:vAlign w:val="center"/>
          </w:tcPr>
          <w:p w14:paraId="4B127983" w14:textId="77777777" w:rsidR="00E907D7" w:rsidRPr="002D2C2D" w:rsidRDefault="00E907D7"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0</w:t>
            </w:r>
          </w:p>
        </w:tc>
        <w:tc>
          <w:tcPr>
            <w:tcW w:w="827" w:type="dxa"/>
            <w:vAlign w:val="center"/>
          </w:tcPr>
          <w:p w14:paraId="1ECC6232" w14:textId="77777777" w:rsidR="00E907D7" w:rsidRPr="002D2C2D" w:rsidRDefault="00E907D7" w:rsidP="00221A11">
            <w:pPr>
              <w:keepNext/>
              <w:keepLines/>
              <w:widowControl/>
              <w:tabs>
                <w:tab w:val="decimal" w:pos="340"/>
              </w:tabs>
              <w:rPr>
                <w:rFonts w:cs="Arial"/>
                <w:color w:val="000000"/>
                <w:sz w:val="18"/>
                <w:szCs w:val="18"/>
              </w:rPr>
            </w:pPr>
            <w:r w:rsidRPr="002D2C2D">
              <w:rPr>
                <w:rFonts w:cs="Arial"/>
                <w:color w:val="000000"/>
                <w:sz w:val="18"/>
                <w:szCs w:val="18"/>
              </w:rPr>
              <w:t>0</w:t>
            </w:r>
          </w:p>
        </w:tc>
        <w:tc>
          <w:tcPr>
            <w:tcW w:w="556" w:type="dxa"/>
            <w:shd w:val="clear" w:color="auto" w:fill="auto"/>
            <w:vAlign w:val="center"/>
          </w:tcPr>
          <w:p w14:paraId="21DFD635" w14:textId="77777777" w:rsidR="00E907D7" w:rsidRPr="002D2C2D" w:rsidRDefault="00E907D7"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0</w:t>
            </w:r>
          </w:p>
        </w:tc>
      </w:tr>
      <w:tr w:rsidR="00E907D7" w:rsidRPr="002D2C2D" w14:paraId="566072E4" w14:textId="77777777" w:rsidTr="00DA2B03">
        <w:trPr>
          <w:cantSplit/>
        </w:trPr>
        <w:tc>
          <w:tcPr>
            <w:tcW w:w="1276" w:type="dxa"/>
            <w:shd w:val="clear" w:color="auto" w:fill="D9D9D9" w:themeFill="background1" w:themeFillShade="D9"/>
            <w:vAlign w:val="center"/>
            <w:hideMark/>
          </w:tcPr>
          <w:p w14:paraId="0807D73A" w14:textId="77777777" w:rsidR="00E907D7" w:rsidRPr="002D2C2D" w:rsidRDefault="00E907D7" w:rsidP="00221A11">
            <w:pPr>
              <w:keepNext/>
              <w:keepLines/>
              <w:widowControl/>
              <w:rPr>
                <w:rFonts w:cs="Arial"/>
                <w:color w:val="000000"/>
                <w:sz w:val="18"/>
                <w:szCs w:val="18"/>
                <w:lang w:eastAsia="en-GB" w:bidi="ar-SA"/>
              </w:rPr>
            </w:pPr>
            <w:r w:rsidRPr="002D2C2D">
              <w:rPr>
                <w:rFonts w:cs="Arial"/>
                <w:color w:val="000000"/>
                <w:sz w:val="18"/>
                <w:szCs w:val="18"/>
                <w:lang w:eastAsia="en-GB" w:bidi="ar-SA"/>
              </w:rPr>
              <w:t>13.4.2</w:t>
            </w:r>
          </w:p>
        </w:tc>
        <w:tc>
          <w:tcPr>
            <w:tcW w:w="451" w:type="dxa"/>
            <w:tcBorders>
              <w:right w:val="nil"/>
            </w:tcBorders>
            <w:shd w:val="clear" w:color="auto" w:fill="D9D9D9" w:themeFill="background1" w:themeFillShade="D9"/>
            <w:vAlign w:val="center"/>
          </w:tcPr>
          <w:p w14:paraId="2FD88265" w14:textId="77777777" w:rsidR="00E907D7" w:rsidRPr="002D2C2D" w:rsidRDefault="00E907D7" w:rsidP="00221A11">
            <w:pPr>
              <w:keepNext/>
              <w:keepLines/>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200F2A9E" w14:textId="77777777" w:rsidR="00E907D7" w:rsidRPr="002D2C2D" w:rsidRDefault="00E907D7" w:rsidP="00221A11">
            <w:pPr>
              <w:keepNext/>
              <w:keepLines/>
              <w:widowControl/>
              <w:rPr>
                <w:rFonts w:cs="Arial"/>
                <w:color w:val="000000"/>
                <w:sz w:val="18"/>
                <w:szCs w:val="18"/>
                <w:lang w:eastAsia="en-GB" w:bidi="ar-SA"/>
              </w:rPr>
            </w:pPr>
            <w:r w:rsidRPr="002D2C2D">
              <w:rPr>
                <w:rFonts w:cs="Arial"/>
                <w:color w:val="000000"/>
                <w:sz w:val="18"/>
                <w:szCs w:val="18"/>
                <w:lang w:eastAsia="en-GB" w:bidi="ar-SA"/>
              </w:rPr>
              <w:t>Liquid formulated supplementary sports foods</w:t>
            </w:r>
          </w:p>
        </w:tc>
        <w:tc>
          <w:tcPr>
            <w:tcW w:w="725" w:type="dxa"/>
            <w:shd w:val="clear" w:color="auto" w:fill="auto"/>
            <w:vAlign w:val="center"/>
          </w:tcPr>
          <w:p w14:paraId="00E2C5A5" w14:textId="77777777" w:rsidR="00E907D7" w:rsidRPr="002D2C2D" w:rsidRDefault="00E907D7"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1</w:t>
            </w:r>
          </w:p>
        </w:tc>
        <w:tc>
          <w:tcPr>
            <w:tcW w:w="725" w:type="dxa"/>
            <w:shd w:val="clear" w:color="auto" w:fill="D9D9D9" w:themeFill="background1" w:themeFillShade="D9"/>
            <w:vAlign w:val="center"/>
          </w:tcPr>
          <w:p w14:paraId="16C5010B" w14:textId="77777777" w:rsidR="00E907D7" w:rsidRPr="002D2C2D" w:rsidRDefault="00E907D7" w:rsidP="00221A11">
            <w:pPr>
              <w:keepNext/>
              <w:keepLines/>
              <w:widowControl/>
              <w:tabs>
                <w:tab w:val="decimal" w:pos="340"/>
              </w:tabs>
              <w:rPr>
                <w:rFonts w:cs="Arial"/>
                <w:color w:val="000000"/>
                <w:sz w:val="18"/>
                <w:szCs w:val="18"/>
              </w:rPr>
            </w:pPr>
            <w:r w:rsidRPr="002D2C2D">
              <w:rPr>
                <w:rFonts w:cs="Arial"/>
                <w:color w:val="000000"/>
                <w:sz w:val="18"/>
                <w:szCs w:val="18"/>
              </w:rPr>
              <w:t>5</w:t>
            </w:r>
          </w:p>
        </w:tc>
        <w:tc>
          <w:tcPr>
            <w:tcW w:w="725" w:type="dxa"/>
            <w:shd w:val="clear" w:color="auto" w:fill="auto"/>
            <w:vAlign w:val="center"/>
          </w:tcPr>
          <w:p w14:paraId="1EC5BC05" w14:textId="77777777" w:rsidR="00E907D7" w:rsidRPr="002D2C2D" w:rsidRDefault="00E907D7"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1</w:t>
            </w:r>
          </w:p>
        </w:tc>
        <w:tc>
          <w:tcPr>
            <w:tcW w:w="725" w:type="dxa"/>
            <w:shd w:val="clear" w:color="auto" w:fill="D9D9D9" w:themeFill="background1" w:themeFillShade="D9"/>
            <w:vAlign w:val="center"/>
          </w:tcPr>
          <w:p w14:paraId="22CAD390" w14:textId="77777777" w:rsidR="00E907D7" w:rsidRPr="002D2C2D" w:rsidRDefault="00E907D7" w:rsidP="00221A11">
            <w:pPr>
              <w:keepNext/>
              <w:keepLines/>
              <w:widowControl/>
              <w:tabs>
                <w:tab w:val="decimal" w:pos="340"/>
              </w:tabs>
              <w:rPr>
                <w:rFonts w:cs="Arial"/>
                <w:sz w:val="18"/>
                <w:szCs w:val="18"/>
                <w:lang w:eastAsia="en-GB" w:bidi="ar-SA"/>
              </w:rPr>
            </w:pPr>
            <w:r w:rsidRPr="002D2C2D">
              <w:rPr>
                <w:rFonts w:cs="Arial"/>
                <w:sz w:val="18"/>
                <w:szCs w:val="18"/>
              </w:rPr>
              <w:t>37</w:t>
            </w:r>
          </w:p>
        </w:tc>
        <w:tc>
          <w:tcPr>
            <w:tcW w:w="725" w:type="dxa"/>
            <w:shd w:val="clear" w:color="auto" w:fill="D9D9D9" w:themeFill="background1" w:themeFillShade="D9"/>
            <w:vAlign w:val="center"/>
          </w:tcPr>
          <w:p w14:paraId="5A22FEEF" w14:textId="77777777" w:rsidR="00E907D7" w:rsidRPr="002D2C2D" w:rsidRDefault="00E907D7" w:rsidP="00221A11">
            <w:pPr>
              <w:keepNext/>
              <w:keepLines/>
              <w:widowControl/>
              <w:tabs>
                <w:tab w:val="decimal" w:pos="340"/>
              </w:tabs>
              <w:rPr>
                <w:rFonts w:cs="Arial"/>
                <w:sz w:val="18"/>
                <w:szCs w:val="18"/>
              </w:rPr>
            </w:pPr>
            <w:r w:rsidRPr="002D2C2D">
              <w:rPr>
                <w:rFonts w:cs="Arial"/>
                <w:sz w:val="18"/>
                <w:szCs w:val="18"/>
              </w:rPr>
              <w:t>68</w:t>
            </w:r>
          </w:p>
        </w:tc>
        <w:tc>
          <w:tcPr>
            <w:tcW w:w="725" w:type="dxa"/>
            <w:shd w:val="clear" w:color="auto" w:fill="D9D9D9" w:themeFill="background1" w:themeFillShade="D9"/>
            <w:vAlign w:val="center"/>
          </w:tcPr>
          <w:p w14:paraId="0B9B0130" w14:textId="77777777" w:rsidR="00E907D7" w:rsidRPr="002D2C2D" w:rsidRDefault="00E907D7" w:rsidP="00221A11">
            <w:pPr>
              <w:keepNext/>
              <w:keepLines/>
              <w:widowControl/>
              <w:tabs>
                <w:tab w:val="decimal" w:pos="340"/>
              </w:tabs>
              <w:rPr>
                <w:rFonts w:cs="Arial"/>
                <w:sz w:val="18"/>
                <w:szCs w:val="18"/>
                <w:lang w:eastAsia="en-GB" w:bidi="ar-SA"/>
              </w:rPr>
            </w:pPr>
            <w:r w:rsidRPr="002D2C2D">
              <w:rPr>
                <w:rFonts w:cs="Arial"/>
                <w:sz w:val="18"/>
                <w:szCs w:val="18"/>
              </w:rPr>
              <w:t>32</w:t>
            </w:r>
          </w:p>
        </w:tc>
        <w:tc>
          <w:tcPr>
            <w:tcW w:w="827" w:type="dxa"/>
            <w:shd w:val="clear" w:color="auto" w:fill="D9D9D9" w:themeFill="background1" w:themeFillShade="D9"/>
            <w:vAlign w:val="center"/>
          </w:tcPr>
          <w:p w14:paraId="54894EE0" w14:textId="77777777" w:rsidR="00E907D7" w:rsidRPr="002D2C2D" w:rsidRDefault="00E907D7" w:rsidP="00221A11">
            <w:pPr>
              <w:keepNext/>
              <w:keepLines/>
              <w:widowControl/>
              <w:tabs>
                <w:tab w:val="decimal" w:pos="340"/>
              </w:tabs>
              <w:rPr>
                <w:rFonts w:cs="Arial"/>
                <w:sz w:val="18"/>
                <w:szCs w:val="18"/>
                <w:lang w:eastAsia="en-GB" w:bidi="ar-SA"/>
              </w:rPr>
            </w:pPr>
            <w:r w:rsidRPr="002D2C2D">
              <w:rPr>
                <w:rFonts w:cs="Arial"/>
                <w:sz w:val="18"/>
                <w:szCs w:val="18"/>
              </w:rPr>
              <w:t>19</w:t>
            </w:r>
          </w:p>
        </w:tc>
        <w:tc>
          <w:tcPr>
            <w:tcW w:w="827" w:type="dxa"/>
            <w:shd w:val="clear" w:color="auto" w:fill="D9D9D9" w:themeFill="background1" w:themeFillShade="D9"/>
            <w:vAlign w:val="center"/>
          </w:tcPr>
          <w:p w14:paraId="32A3C94F" w14:textId="77777777" w:rsidR="00E907D7" w:rsidRPr="002D2C2D" w:rsidRDefault="00E907D7" w:rsidP="00221A11">
            <w:pPr>
              <w:keepNext/>
              <w:keepLines/>
              <w:widowControl/>
              <w:tabs>
                <w:tab w:val="decimal" w:pos="340"/>
              </w:tabs>
              <w:rPr>
                <w:rFonts w:cs="Arial"/>
                <w:sz w:val="18"/>
                <w:szCs w:val="18"/>
              </w:rPr>
            </w:pPr>
            <w:r w:rsidRPr="002D2C2D">
              <w:rPr>
                <w:rFonts w:cs="Arial"/>
                <w:sz w:val="18"/>
                <w:szCs w:val="18"/>
              </w:rPr>
              <w:t>41</w:t>
            </w:r>
          </w:p>
        </w:tc>
        <w:tc>
          <w:tcPr>
            <w:tcW w:w="827" w:type="dxa"/>
            <w:shd w:val="clear" w:color="auto" w:fill="D9D9D9" w:themeFill="background1" w:themeFillShade="D9"/>
            <w:vAlign w:val="center"/>
          </w:tcPr>
          <w:p w14:paraId="506E9EAF" w14:textId="77777777" w:rsidR="00E907D7" w:rsidRPr="002D2C2D" w:rsidRDefault="00E907D7" w:rsidP="00221A11">
            <w:pPr>
              <w:keepNext/>
              <w:keepLines/>
              <w:widowControl/>
              <w:tabs>
                <w:tab w:val="decimal" w:pos="340"/>
              </w:tabs>
              <w:rPr>
                <w:rFonts w:cs="Arial"/>
                <w:sz w:val="18"/>
                <w:szCs w:val="18"/>
                <w:lang w:eastAsia="en-GB" w:bidi="ar-SA"/>
              </w:rPr>
            </w:pPr>
            <w:r w:rsidRPr="002D2C2D">
              <w:rPr>
                <w:rFonts w:cs="Arial"/>
                <w:sz w:val="18"/>
                <w:szCs w:val="18"/>
              </w:rPr>
              <w:t>16</w:t>
            </w:r>
          </w:p>
        </w:tc>
        <w:tc>
          <w:tcPr>
            <w:tcW w:w="827" w:type="dxa"/>
            <w:shd w:val="clear" w:color="auto" w:fill="auto"/>
            <w:vAlign w:val="center"/>
          </w:tcPr>
          <w:p w14:paraId="3ECA8840" w14:textId="77777777" w:rsidR="00E907D7" w:rsidRPr="002D2C2D" w:rsidRDefault="00E907D7"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0</w:t>
            </w:r>
          </w:p>
        </w:tc>
        <w:tc>
          <w:tcPr>
            <w:tcW w:w="827" w:type="dxa"/>
            <w:vAlign w:val="center"/>
          </w:tcPr>
          <w:p w14:paraId="7AD9CF92" w14:textId="77777777" w:rsidR="00E907D7" w:rsidRPr="002D2C2D" w:rsidRDefault="00E907D7" w:rsidP="00221A11">
            <w:pPr>
              <w:keepNext/>
              <w:keepLines/>
              <w:widowControl/>
              <w:tabs>
                <w:tab w:val="decimal" w:pos="340"/>
              </w:tabs>
              <w:rPr>
                <w:rFonts w:cs="Arial"/>
                <w:color w:val="000000"/>
                <w:sz w:val="18"/>
                <w:szCs w:val="18"/>
              </w:rPr>
            </w:pPr>
            <w:r w:rsidRPr="002D2C2D">
              <w:rPr>
                <w:rFonts w:cs="Arial"/>
                <w:color w:val="000000"/>
                <w:sz w:val="18"/>
                <w:szCs w:val="18"/>
              </w:rPr>
              <w:t>0</w:t>
            </w:r>
          </w:p>
        </w:tc>
        <w:tc>
          <w:tcPr>
            <w:tcW w:w="556" w:type="dxa"/>
            <w:shd w:val="clear" w:color="auto" w:fill="auto"/>
            <w:vAlign w:val="center"/>
          </w:tcPr>
          <w:p w14:paraId="10FD0974" w14:textId="77777777" w:rsidR="00E907D7" w:rsidRPr="002D2C2D" w:rsidRDefault="00E907D7" w:rsidP="00221A11">
            <w:pPr>
              <w:keepNext/>
              <w:keepLines/>
              <w:widowControl/>
              <w:tabs>
                <w:tab w:val="decimal" w:pos="340"/>
              </w:tabs>
              <w:rPr>
                <w:rFonts w:cs="Arial"/>
                <w:color w:val="000000"/>
                <w:sz w:val="18"/>
                <w:szCs w:val="18"/>
                <w:lang w:eastAsia="en-GB" w:bidi="ar-SA"/>
              </w:rPr>
            </w:pPr>
            <w:r w:rsidRPr="002D2C2D">
              <w:rPr>
                <w:rFonts w:cs="Arial"/>
                <w:color w:val="000000"/>
                <w:sz w:val="18"/>
                <w:szCs w:val="18"/>
              </w:rPr>
              <w:t>0</w:t>
            </w:r>
          </w:p>
        </w:tc>
      </w:tr>
      <w:tr w:rsidR="00E907D7" w:rsidRPr="002D2C2D" w14:paraId="63AC5E43" w14:textId="77777777" w:rsidTr="00DA2B03">
        <w:trPr>
          <w:cantSplit/>
        </w:trPr>
        <w:tc>
          <w:tcPr>
            <w:tcW w:w="1276" w:type="dxa"/>
            <w:shd w:val="clear" w:color="auto" w:fill="D9D9D9" w:themeFill="background1" w:themeFillShade="D9"/>
            <w:vAlign w:val="center"/>
            <w:hideMark/>
          </w:tcPr>
          <w:p w14:paraId="3301B918" w14:textId="77777777" w:rsidR="00E907D7" w:rsidRPr="002D2C2D" w:rsidRDefault="00E907D7" w:rsidP="002D2C2D">
            <w:pPr>
              <w:rPr>
                <w:rFonts w:cs="Arial"/>
                <w:bCs/>
                <w:color w:val="000000"/>
                <w:sz w:val="18"/>
                <w:szCs w:val="18"/>
                <w:lang w:eastAsia="en-GB" w:bidi="ar-SA"/>
              </w:rPr>
            </w:pPr>
            <w:r w:rsidRPr="002D2C2D">
              <w:rPr>
                <w:rFonts w:cs="Arial"/>
                <w:bCs/>
                <w:color w:val="000000"/>
                <w:sz w:val="18"/>
                <w:szCs w:val="18"/>
                <w:lang w:eastAsia="en-GB" w:bidi="ar-SA"/>
              </w:rPr>
              <w:t>14</w:t>
            </w:r>
          </w:p>
        </w:tc>
        <w:tc>
          <w:tcPr>
            <w:tcW w:w="3915" w:type="dxa"/>
            <w:gridSpan w:val="3"/>
            <w:tcBorders>
              <w:bottom w:val="single" w:sz="4" w:space="0" w:color="auto"/>
            </w:tcBorders>
            <w:shd w:val="clear" w:color="auto" w:fill="D9D9D9" w:themeFill="background1" w:themeFillShade="D9"/>
            <w:vAlign w:val="center"/>
          </w:tcPr>
          <w:p w14:paraId="64269F64" w14:textId="77777777" w:rsidR="00E907D7" w:rsidRPr="002D2C2D" w:rsidRDefault="00E907D7" w:rsidP="002D2C2D">
            <w:pPr>
              <w:rPr>
                <w:rFonts w:cs="Arial"/>
                <w:bCs/>
                <w:color w:val="000000"/>
                <w:sz w:val="18"/>
                <w:szCs w:val="18"/>
                <w:lang w:eastAsia="en-GB" w:bidi="ar-SA"/>
              </w:rPr>
            </w:pPr>
            <w:r w:rsidRPr="002D2C2D">
              <w:rPr>
                <w:rFonts w:cs="Arial"/>
                <w:bCs/>
                <w:color w:val="000000"/>
                <w:sz w:val="18"/>
                <w:szCs w:val="18"/>
                <w:lang w:eastAsia="en-GB" w:bidi="ar-SA"/>
              </w:rPr>
              <w:t>All Non-alcoholic &amp; alcoholic beverages</w:t>
            </w:r>
          </w:p>
        </w:tc>
        <w:tc>
          <w:tcPr>
            <w:tcW w:w="725" w:type="dxa"/>
            <w:shd w:val="clear" w:color="auto" w:fill="auto"/>
            <w:vAlign w:val="center"/>
          </w:tcPr>
          <w:p w14:paraId="38BD98B8" w14:textId="77777777" w:rsidR="00E907D7" w:rsidRPr="002D2C2D" w:rsidRDefault="00E907D7" w:rsidP="002D2C2D">
            <w:pPr>
              <w:tabs>
                <w:tab w:val="decimal" w:pos="340"/>
              </w:tabs>
              <w:rPr>
                <w:rFonts w:cs="Arial"/>
                <w:bCs/>
                <w:color w:val="000000"/>
                <w:sz w:val="18"/>
                <w:szCs w:val="18"/>
                <w:lang w:eastAsia="en-GB" w:bidi="ar-SA"/>
              </w:rPr>
            </w:pPr>
            <w:r w:rsidRPr="002D2C2D">
              <w:rPr>
                <w:rFonts w:cs="Arial"/>
                <w:bCs/>
                <w:color w:val="000000"/>
                <w:sz w:val="18"/>
                <w:szCs w:val="18"/>
              </w:rPr>
              <w:t>&lt;1</w:t>
            </w:r>
          </w:p>
        </w:tc>
        <w:tc>
          <w:tcPr>
            <w:tcW w:w="725" w:type="dxa"/>
            <w:vAlign w:val="center"/>
          </w:tcPr>
          <w:p w14:paraId="5C989911" w14:textId="77777777" w:rsidR="00E907D7" w:rsidRPr="002D2C2D" w:rsidRDefault="00E907D7" w:rsidP="002D2C2D">
            <w:pPr>
              <w:tabs>
                <w:tab w:val="decimal" w:pos="340"/>
              </w:tabs>
              <w:rPr>
                <w:rFonts w:cs="Arial"/>
                <w:bCs/>
                <w:color w:val="000000"/>
                <w:sz w:val="18"/>
                <w:szCs w:val="18"/>
              </w:rPr>
            </w:pPr>
            <w:r w:rsidRPr="002D2C2D">
              <w:rPr>
                <w:rFonts w:cs="Arial"/>
                <w:bCs/>
                <w:color w:val="000000"/>
                <w:sz w:val="18"/>
                <w:szCs w:val="18"/>
              </w:rPr>
              <w:t>&lt;1</w:t>
            </w:r>
          </w:p>
        </w:tc>
        <w:tc>
          <w:tcPr>
            <w:tcW w:w="725" w:type="dxa"/>
            <w:shd w:val="clear" w:color="auto" w:fill="D9D9D9" w:themeFill="background1" w:themeFillShade="D9"/>
            <w:vAlign w:val="center"/>
          </w:tcPr>
          <w:p w14:paraId="6535134A" w14:textId="77777777" w:rsidR="00E907D7" w:rsidRPr="002D2C2D" w:rsidRDefault="00E907D7" w:rsidP="002D2C2D">
            <w:pPr>
              <w:tabs>
                <w:tab w:val="decimal" w:pos="340"/>
              </w:tabs>
              <w:rPr>
                <w:rFonts w:cs="Arial"/>
                <w:bCs/>
                <w:color w:val="000000"/>
                <w:sz w:val="18"/>
                <w:szCs w:val="18"/>
                <w:lang w:eastAsia="en-GB" w:bidi="ar-SA"/>
              </w:rPr>
            </w:pPr>
            <w:r w:rsidRPr="002D2C2D">
              <w:rPr>
                <w:rFonts w:cs="Arial"/>
                <w:bCs/>
                <w:color w:val="000000"/>
                <w:sz w:val="18"/>
                <w:szCs w:val="18"/>
              </w:rPr>
              <w:t>22</w:t>
            </w:r>
          </w:p>
        </w:tc>
        <w:tc>
          <w:tcPr>
            <w:tcW w:w="725" w:type="dxa"/>
            <w:shd w:val="clear" w:color="auto" w:fill="auto"/>
            <w:vAlign w:val="center"/>
          </w:tcPr>
          <w:p w14:paraId="4031F039" w14:textId="77777777" w:rsidR="00E907D7" w:rsidRPr="002D2C2D" w:rsidRDefault="00E907D7" w:rsidP="002D2C2D">
            <w:pPr>
              <w:tabs>
                <w:tab w:val="decimal" w:pos="340"/>
              </w:tabs>
              <w:rPr>
                <w:rFonts w:cs="Arial"/>
                <w:bCs/>
                <w:color w:val="000000"/>
                <w:sz w:val="18"/>
                <w:szCs w:val="18"/>
                <w:lang w:eastAsia="en-GB" w:bidi="ar-SA"/>
              </w:rPr>
            </w:pPr>
            <w:r w:rsidRPr="002D2C2D">
              <w:rPr>
                <w:rFonts w:cs="Arial"/>
                <w:bCs/>
                <w:color w:val="000000"/>
                <w:sz w:val="18"/>
                <w:szCs w:val="18"/>
              </w:rPr>
              <w:t>&lt;1</w:t>
            </w:r>
          </w:p>
        </w:tc>
        <w:tc>
          <w:tcPr>
            <w:tcW w:w="725" w:type="dxa"/>
            <w:vAlign w:val="center"/>
          </w:tcPr>
          <w:p w14:paraId="56D99B97" w14:textId="77777777" w:rsidR="00E907D7" w:rsidRPr="002D2C2D" w:rsidRDefault="00E907D7" w:rsidP="002D2C2D">
            <w:pPr>
              <w:tabs>
                <w:tab w:val="decimal" w:pos="340"/>
              </w:tabs>
              <w:rPr>
                <w:rFonts w:cs="Arial"/>
                <w:bCs/>
                <w:color w:val="000000"/>
                <w:sz w:val="18"/>
                <w:szCs w:val="18"/>
              </w:rPr>
            </w:pPr>
            <w:r w:rsidRPr="002D2C2D">
              <w:rPr>
                <w:rFonts w:cs="Arial"/>
                <w:bCs/>
                <w:color w:val="000000"/>
                <w:sz w:val="18"/>
                <w:szCs w:val="18"/>
              </w:rPr>
              <w:t>&lt;1</w:t>
            </w:r>
          </w:p>
        </w:tc>
        <w:tc>
          <w:tcPr>
            <w:tcW w:w="725" w:type="dxa"/>
            <w:tcBorders>
              <w:bottom w:val="single" w:sz="4" w:space="0" w:color="auto"/>
            </w:tcBorders>
            <w:shd w:val="clear" w:color="auto" w:fill="D9D9D9" w:themeFill="background1" w:themeFillShade="D9"/>
            <w:vAlign w:val="center"/>
          </w:tcPr>
          <w:p w14:paraId="7532C45F" w14:textId="77777777" w:rsidR="00E907D7" w:rsidRPr="002D2C2D" w:rsidRDefault="00E907D7" w:rsidP="002D2C2D">
            <w:pPr>
              <w:tabs>
                <w:tab w:val="decimal" w:pos="340"/>
              </w:tabs>
              <w:rPr>
                <w:rFonts w:cs="Arial"/>
                <w:bCs/>
                <w:color w:val="000000"/>
                <w:sz w:val="18"/>
                <w:szCs w:val="18"/>
                <w:lang w:eastAsia="en-GB" w:bidi="ar-SA"/>
              </w:rPr>
            </w:pPr>
            <w:r w:rsidRPr="002D2C2D">
              <w:rPr>
                <w:rFonts w:cs="Arial"/>
                <w:bCs/>
                <w:color w:val="000000"/>
                <w:sz w:val="18"/>
                <w:szCs w:val="18"/>
              </w:rPr>
              <w:t>24</w:t>
            </w:r>
          </w:p>
        </w:tc>
        <w:tc>
          <w:tcPr>
            <w:tcW w:w="827" w:type="dxa"/>
            <w:shd w:val="clear" w:color="auto" w:fill="auto"/>
            <w:vAlign w:val="center"/>
          </w:tcPr>
          <w:p w14:paraId="37A46C85" w14:textId="77777777" w:rsidR="00E907D7" w:rsidRPr="002D2C2D" w:rsidRDefault="00E907D7" w:rsidP="002D2C2D">
            <w:pPr>
              <w:tabs>
                <w:tab w:val="decimal" w:pos="340"/>
              </w:tabs>
              <w:rPr>
                <w:rFonts w:cs="Arial"/>
                <w:bCs/>
                <w:color w:val="000000"/>
                <w:sz w:val="18"/>
                <w:szCs w:val="18"/>
                <w:lang w:eastAsia="en-GB" w:bidi="ar-SA"/>
              </w:rPr>
            </w:pPr>
            <w:r w:rsidRPr="002D2C2D">
              <w:rPr>
                <w:rFonts w:cs="Arial"/>
                <w:bCs/>
                <w:color w:val="000000"/>
                <w:sz w:val="18"/>
                <w:szCs w:val="18"/>
              </w:rPr>
              <w:t>&lt;1</w:t>
            </w:r>
          </w:p>
        </w:tc>
        <w:tc>
          <w:tcPr>
            <w:tcW w:w="827" w:type="dxa"/>
            <w:vAlign w:val="center"/>
          </w:tcPr>
          <w:p w14:paraId="39E3F578" w14:textId="77777777" w:rsidR="00E907D7" w:rsidRPr="002D2C2D" w:rsidRDefault="00E907D7" w:rsidP="002D2C2D">
            <w:pPr>
              <w:tabs>
                <w:tab w:val="decimal" w:pos="340"/>
              </w:tabs>
              <w:rPr>
                <w:rFonts w:cs="Arial"/>
                <w:bCs/>
                <w:color w:val="000000"/>
                <w:sz w:val="18"/>
                <w:szCs w:val="18"/>
              </w:rPr>
            </w:pPr>
            <w:r w:rsidRPr="002D2C2D">
              <w:rPr>
                <w:rFonts w:cs="Arial"/>
                <w:bCs/>
                <w:color w:val="000000"/>
                <w:sz w:val="18"/>
                <w:szCs w:val="18"/>
              </w:rPr>
              <w:t>&lt;1</w:t>
            </w:r>
          </w:p>
        </w:tc>
        <w:tc>
          <w:tcPr>
            <w:tcW w:w="827" w:type="dxa"/>
            <w:shd w:val="clear" w:color="auto" w:fill="D9D9D9" w:themeFill="background1" w:themeFillShade="D9"/>
            <w:vAlign w:val="center"/>
          </w:tcPr>
          <w:p w14:paraId="794CDD8C" w14:textId="77777777" w:rsidR="00E907D7" w:rsidRPr="002D2C2D" w:rsidRDefault="00E907D7" w:rsidP="002D2C2D">
            <w:pPr>
              <w:tabs>
                <w:tab w:val="decimal" w:pos="340"/>
              </w:tabs>
              <w:rPr>
                <w:rFonts w:cs="Arial"/>
                <w:bCs/>
                <w:color w:val="000000"/>
                <w:sz w:val="18"/>
                <w:szCs w:val="18"/>
                <w:lang w:eastAsia="en-GB" w:bidi="ar-SA"/>
              </w:rPr>
            </w:pPr>
            <w:r w:rsidRPr="002D2C2D">
              <w:rPr>
                <w:rFonts w:cs="Arial"/>
                <w:bCs/>
                <w:color w:val="000000"/>
                <w:sz w:val="18"/>
                <w:szCs w:val="18"/>
              </w:rPr>
              <w:t>22</w:t>
            </w:r>
          </w:p>
        </w:tc>
        <w:tc>
          <w:tcPr>
            <w:tcW w:w="827" w:type="dxa"/>
            <w:shd w:val="clear" w:color="auto" w:fill="auto"/>
            <w:vAlign w:val="center"/>
          </w:tcPr>
          <w:p w14:paraId="14DC45B7" w14:textId="77777777" w:rsidR="00E907D7" w:rsidRPr="002D2C2D" w:rsidRDefault="00E907D7" w:rsidP="002D2C2D">
            <w:pPr>
              <w:tabs>
                <w:tab w:val="decimal" w:pos="340"/>
              </w:tabs>
              <w:rPr>
                <w:rFonts w:cs="Arial"/>
                <w:bCs/>
                <w:color w:val="000000"/>
                <w:sz w:val="18"/>
                <w:szCs w:val="18"/>
                <w:lang w:eastAsia="en-GB" w:bidi="ar-SA"/>
              </w:rPr>
            </w:pPr>
            <w:r w:rsidRPr="002D2C2D">
              <w:rPr>
                <w:rFonts w:cs="Arial"/>
                <w:bCs/>
                <w:color w:val="000000"/>
                <w:sz w:val="18"/>
                <w:szCs w:val="18"/>
              </w:rPr>
              <w:t>2</w:t>
            </w:r>
          </w:p>
        </w:tc>
        <w:tc>
          <w:tcPr>
            <w:tcW w:w="827" w:type="dxa"/>
            <w:vAlign w:val="center"/>
          </w:tcPr>
          <w:p w14:paraId="616B28B6" w14:textId="77777777" w:rsidR="00E907D7" w:rsidRPr="002D2C2D" w:rsidRDefault="00E907D7" w:rsidP="002D2C2D">
            <w:pPr>
              <w:tabs>
                <w:tab w:val="decimal" w:pos="340"/>
              </w:tabs>
              <w:rPr>
                <w:rFonts w:cs="Arial"/>
                <w:bCs/>
                <w:color w:val="000000"/>
                <w:sz w:val="18"/>
                <w:szCs w:val="18"/>
              </w:rPr>
            </w:pPr>
            <w:r w:rsidRPr="002D2C2D">
              <w:rPr>
                <w:rFonts w:cs="Arial"/>
                <w:bCs/>
                <w:color w:val="000000"/>
                <w:sz w:val="18"/>
                <w:szCs w:val="18"/>
              </w:rPr>
              <w:t>2</w:t>
            </w:r>
          </w:p>
        </w:tc>
        <w:tc>
          <w:tcPr>
            <w:tcW w:w="556" w:type="dxa"/>
            <w:shd w:val="clear" w:color="auto" w:fill="D9D9D9" w:themeFill="background1" w:themeFillShade="D9"/>
            <w:vAlign w:val="center"/>
          </w:tcPr>
          <w:p w14:paraId="6705C6E6" w14:textId="77777777" w:rsidR="00E907D7" w:rsidRPr="002D2C2D" w:rsidRDefault="00E907D7" w:rsidP="002D2C2D">
            <w:pPr>
              <w:tabs>
                <w:tab w:val="decimal" w:pos="340"/>
              </w:tabs>
              <w:rPr>
                <w:rFonts w:cs="Arial"/>
                <w:bCs/>
                <w:color w:val="000000"/>
                <w:sz w:val="18"/>
                <w:szCs w:val="18"/>
                <w:lang w:eastAsia="en-GB" w:bidi="ar-SA"/>
              </w:rPr>
            </w:pPr>
            <w:r w:rsidRPr="002D2C2D">
              <w:rPr>
                <w:rFonts w:cs="Arial"/>
                <w:bCs/>
                <w:color w:val="000000"/>
                <w:sz w:val="18"/>
                <w:szCs w:val="18"/>
              </w:rPr>
              <w:t>30</w:t>
            </w:r>
          </w:p>
        </w:tc>
      </w:tr>
      <w:tr w:rsidR="00DA2B03" w:rsidRPr="00B83846" w14:paraId="0E23FFF3" w14:textId="77777777" w:rsidTr="00221A11">
        <w:trPr>
          <w:cantSplit/>
        </w:trPr>
        <w:tc>
          <w:tcPr>
            <w:tcW w:w="1276" w:type="dxa"/>
            <w:shd w:val="clear" w:color="auto" w:fill="D9D9D9" w:themeFill="background1" w:themeFillShade="D9"/>
            <w:vAlign w:val="center"/>
            <w:hideMark/>
          </w:tcPr>
          <w:p w14:paraId="2C8EE4B3" w14:textId="77777777" w:rsidR="00DA2B03" w:rsidRPr="00B83846" w:rsidRDefault="00DA2B03"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14.1.2</w:t>
            </w:r>
          </w:p>
        </w:tc>
        <w:tc>
          <w:tcPr>
            <w:tcW w:w="451" w:type="dxa"/>
            <w:tcBorders>
              <w:right w:val="nil"/>
            </w:tcBorders>
            <w:shd w:val="clear" w:color="auto" w:fill="D9D9D9" w:themeFill="background1" w:themeFillShade="D9"/>
            <w:vAlign w:val="center"/>
          </w:tcPr>
          <w:p w14:paraId="00E86C57" w14:textId="77777777" w:rsidR="00DA2B03" w:rsidRPr="00B83846" w:rsidRDefault="00DA2B03" w:rsidP="00DF510F">
            <w:pPr>
              <w:keepNext/>
              <w:keepLines/>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6F90F9C1" w14:textId="77777777" w:rsidR="00DA2B03" w:rsidRPr="00B83846" w:rsidRDefault="00DA2B03"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Fruit &amp; vegetable juices &amp; fruit &amp; vegetable juice products</w:t>
            </w:r>
          </w:p>
        </w:tc>
        <w:tc>
          <w:tcPr>
            <w:tcW w:w="725" w:type="dxa"/>
            <w:shd w:val="clear" w:color="auto" w:fill="auto"/>
            <w:vAlign w:val="center"/>
          </w:tcPr>
          <w:p w14:paraId="27CA4B24" w14:textId="77777777" w:rsidR="00DA2B03" w:rsidRPr="003A7740" w:rsidRDefault="00DA2B03" w:rsidP="00DF510F">
            <w:pPr>
              <w:keepNext/>
              <w:keepLines/>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vAlign w:val="center"/>
          </w:tcPr>
          <w:p w14:paraId="16B163FF" w14:textId="77777777" w:rsidR="00DA2B03" w:rsidRPr="00B83846" w:rsidRDefault="00DA2B03" w:rsidP="00DF510F">
            <w:pPr>
              <w:keepNext/>
              <w:keepLines/>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D9D9D9" w:themeFill="background1" w:themeFillShade="D9"/>
            <w:vAlign w:val="center"/>
          </w:tcPr>
          <w:p w14:paraId="2E55DECB" w14:textId="77777777" w:rsidR="00DA2B03" w:rsidRPr="003A7740" w:rsidRDefault="00DA2B03" w:rsidP="00DF510F">
            <w:pPr>
              <w:keepNext/>
              <w:keepLines/>
              <w:widowControl/>
              <w:tabs>
                <w:tab w:val="decimal" w:pos="340"/>
              </w:tabs>
              <w:rPr>
                <w:rFonts w:cs="Arial"/>
                <w:color w:val="000000"/>
                <w:sz w:val="18"/>
                <w:szCs w:val="18"/>
                <w:lang w:eastAsia="en-GB" w:bidi="ar-SA"/>
              </w:rPr>
            </w:pPr>
            <w:r w:rsidRPr="003A7740">
              <w:rPr>
                <w:rFonts w:cs="Arial"/>
                <w:color w:val="000000"/>
                <w:sz w:val="18"/>
                <w:szCs w:val="18"/>
              </w:rPr>
              <w:t>8</w:t>
            </w:r>
          </w:p>
        </w:tc>
        <w:tc>
          <w:tcPr>
            <w:tcW w:w="725" w:type="dxa"/>
            <w:shd w:val="clear" w:color="auto" w:fill="auto"/>
            <w:vAlign w:val="center"/>
          </w:tcPr>
          <w:p w14:paraId="2F50CB38" w14:textId="77777777" w:rsidR="00DA2B03" w:rsidRPr="003A7740" w:rsidRDefault="00DA2B03" w:rsidP="00DF510F">
            <w:pPr>
              <w:keepNext/>
              <w:keepLines/>
              <w:widowControl/>
              <w:tabs>
                <w:tab w:val="decimal" w:pos="340"/>
              </w:tabs>
              <w:rPr>
                <w:rFonts w:cs="Arial"/>
                <w:sz w:val="18"/>
                <w:szCs w:val="18"/>
                <w:lang w:eastAsia="en-GB" w:bidi="ar-SA"/>
              </w:rPr>
            </w:pPr>
            <w:r w:rsidRPr="003A7740">
              <w:rPr>
                <w:rFonts w:cs="Arial"/>
                <w:sz w:val="18"/>
                <w:szCs w:val="18"/>
              </w:rPr>
              <w:t>&lt;1</w:t>
            </w:r>
          </w:p>
        </w:tc>
        <w:tc>
          <w:tcPr>
            <w:tcW w:w="725" w:type="dxa"/>
            <w:vAlign w:val="center"/>
          </w:tcPr>
          <w:p w14:paraId="4990E308" w14:textId="77777777" w:rsidR="00DA2B03" w:rsidRPr="00B83846" w:rsidRDefault="00DA2B03" w:rsidP="00DF510F">
            <w:pPr>
              <w:keepNext/>
              <w:keepLines/>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566292E1" w14:textId="77777777" w:rsidR="00DA2B03" w:rsidRPr="003A7740" w:rsidRDefault="00DA2B03" w:rsidP="00DF510F">
            <w:pPr>
              <w:keepNext/>
              <w:keepLines/>
              <w:widowControl/>
              <w:tabs>
                <w:tab w:val="decimal" w:pos="340"/>
              </w:tabs>
              <w:rPr>
                <w:rFonts w:cs="Arial"/>
                <w:sz w:val="18"/>
                <w:szCs w:val="18"/>
                <w:lang w:eastAsia="en-GB" w:bidi="ar-SA"/>
              </w:rPr>
            </w:pPr>
            <w:r w:rsidRPr="003A7740">
              <w:rPr>
                <w:rFonts w:cs="Arial"/>
                <w:sz w:val="18"/>
                <w:szCs w:val="18"/>
              </w:rPr>
              <w:t>4</w:t>
            </w:r>
          </w:p>
        </w:tc>
        <w:tc>
          <w:tcPr>
            <w:tcW w:w="827" w:type="dxa"/>
            <w:shd w:val="clear" w:color="auto" w:fill="auto"/>
            <w:vAlign w:val="center"/>
          </w:tcPr>
          <w:p w14:paraId="1EA9ADF0" w14:textId="77777777" w:rsidR="00DA2B03" w:rsidRPr="003A7740" w:rsidRDefault="00DA2B03" w:rsidP="00DF510F">
            <w:pPr>
              <w:keepNext/>
              <w:keepLines/>
              <w:widowControl/>
              <w:tabs>
                <w:tab w:val="decimal" w:pos="340"/>
              </w:tabs>
              <w:rPr>
                <w:rFonts w:cs="Arial"/>
                <w:sz w:val="18"/>
                <w:szCs w:val="18"/>
                <w:lang w:eastAsia="en-GB" w:bidi="ar-SA"/>
              </w:rPr>
            </w:pPr>
            <w:r w:rsidRPr="003A7740">
              <w:rPr>
                <w:rFonts w:cs="Arial"/>
                <w:sz w:val="18"/>
                <w:szCs w:val="18"/>
              </w:rPr>
              <w:t>&lt;1</w:t>
            </w:r>
          </w:p>
        </w:tc>
        <w:tc>
          <w:tcPr>
            <w:tcW w:w="827" w:type="dxa"/>
            <w:vAlign w:val="center"/>
          </w:tcPr>
          <w:p w14:paraId="6E828EC0" w14:textId="77777777" w:rsidR="00DA2B03" w:rsidRPr="00B83846" w:rsidRDefault="00DA2B03" w:rsidP="00DF510F">
            <w:pPr>
              <w:keepNext/>
              <w:keepLines/>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21AB4F4B" w14:textId="77777777" w:rsidR="00DA2B03" w:rsidRPr="003A7740" w:rsidRDefault="00DA2B03" w:rsidP="00DF510F">
            <w:pPr>
              <w:keepNext/>
              <w:keepLines/>
              <w:widowControl/>
              <w:tabs>
                <w:tab w:val="decimal" w:pos="340"/>
              </w:tabs>
              <w:rPr>
                <w:rFonts w:cs="Arial"/>
                <w:sz w:val="18"/>
                <w:szCs w:val="18"/>
                <w:lang w:eastAsia="en-GB" w:bidi="ar-SA"/>
              </w:rPr>
            </w:pPr>
            <w:r w:rsidRPr="003A7740">
              <w:rPr>
                <w:rFonts w:cs="Arial"/>
                <w:sz w:val="18"/>
                <w:szCs w:val="18"/>
              </w:rPr>
              <w:t>4</w:t>
            </w:r>
          </w:p>
        </w:tc>
        <w:tc>
          <w:tcPr>
            <w:tcW w:w="827" w:type="dxa"/>
            <w:shd w:val="clear" w:color="auto" w:fill="auto"/>
            <w:vAlign w:val="center"/>
          </w:tcPr>
          <w:p w14:paraId="440DA752" w14:textId="77777777" w:rsidR="00DA2B03" w:rsidRPr="003A7740" w:rsidRDefault="00DA2B03" w:rsidP="00DF510F">
            <w:pPr>
              <w:keepNext/>
              <w:keepLines/>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827" w:type="dxa"/>
            <w:vAlign w:val="center"/>
          </w:tcPr>
          <w:p w14:paraId="5AD8BBAB" w14:textId="77777777" w:rsidR="00DA2B03" w:rsidRPr="00B83846" w:rsidRDefault="00DA2B03" w:rsidP="00DF510F">
            <w:pPr>
              <w:keepNext/>
              <w:keepLines/>
              <w:widowControl/>
              <w:tabs>
                <w:tab w:val="decimal" w:pos="340"/>
              </w:tabs>
              <w:rPr>
                <w:rFonts w:cs="Arial"/>
                <w:color w:val="000000"/>
                <w:sz w:val="18"/>
                <w:szCs w:val="18"/>
              </w:rPr>
            </w:pPr>
            <w:r w:rsidRPr="003A7740">
              <w:rPr>
                <w:rFonts w:cs="Arial"/>
                <w:color w:val="000000"/>
                <w:sz w:val="18"/>
                <w:szCs w:val="18"/>
              </w:rPr>
              <w:t>&lt;1</w:t>
            </w:r>
          </w:p>
        </w:tc>
        <w:tc>
          <w:tcPr>
            <w:tcW w:w="556" w:type="dxa"/>
            <w:shd w:val="clear" w:color="auto" w:fill="auto"/>
            <w:vAlign w:val="center"/>
          </w:tcPr>
          <w:p w14:paraId="47A488E1" w14:textId="77777777" w:rsidR="00DA2B03" w:rsidRPr="003A7740" w:rsidRDefault="00DA2B03" w:rsidP="00DF510F">
            <w:pPr>
              <w:keepNext/>
              <w:keepLines/>
              <w:widowControl/>
              <w:tabs>
                <w:tab w:val="decimal" w:pos="340"/>
              </w:tabs>
              <w:rPr>
                <w:rFonts w:cs="Arial"/>
                <w:color w:val="000000"/>
                <w:sz w:val="18"/>
                <w:szCs w:val="18"/>
                <w:lang w:eastAsia="en-GB" w:bidi="ar-SA"/>
              </w:rPr>
            </w:pPr>
            <w:r w:rsidRPr="003A7740">
              <w:rPr>
                <w:rFonts w:cs="Arial"/>
                <w:color w:val="000000"/>
                <w:sz w:val="18"/>
                <w:szCs w:val="18"/>
              </w:rPr>
              <w:t>2</w:t>
            </w:r>
          </w:p>
        </w:tc>
      </w:tr>
      <w:tr w:rsidR="00DA2B03" w:rsidRPr="00B83846" w14:paraId="7CAB03AF" w14:textId="77777777" w:rsidTr="00221A11">
        <w:trPr>
          <w:cantSplit/>
        </w:trPr>
        <w:tc>
          <w:tcPr>
            <w:tcW w:w="1276" w:type="dxa"/>
            <w:shd w:val="clear" w:color="auto" w:fill="D9D9D9" w:themeFill="background1" w:themeFillShade="D9"/>
            <w:vAlign w:val="center"/>
            <w:hideMark/>
          </w:tcPr>
          <w:p w14:paraId="3DAEA766" w14:textId="77777777" w:rsidR="00DA2B03" w:rsidRPr="00B83846" w:rsidRDefault="00DA2B03"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14.1.3</w:t>
            </w:r>
          </w:p>
        </w:tc>
        <w:tc>
          <w:tcPr>
            <w:tcW w:w="451" w:type="dxa"/>
            <w:tcBorders>
              <w:right w:val="nil"/>
            </w:tcBorders>
            <w:shd w:val="clear" w:color="auto" w:fill="D9D9D9" w:themeFill="background1" w:themeFillShade="D9"/>
            <w:vAlign w:val="center"/>
          </w:tcPr>
          <w:p w14:paraId="7058B71D" w14:textId="77777777" w:rsidR="00DA2B03" w:rsidRPr="00B83846" w:rsidRDefault="00DA2B03" w:rsidP="00DF510F">
            <w:pPr>
              <w:keepNext/>
              <w:keepLines/>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1675C32E" w14:textId="77777777" w:rsidR="00DA2B03" w:rsidRPr="00B83846" w:rsidRDefault="00DA2B03"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Soft drinks (excluding intensely sweetened)</w:t>
            </w:r>
          </w:p>
        </w:tc>
        <w:tc>
          <w:tcPr>
            <w:tcW w:w="725" w:type="dxa"/>
            <w:shd w:val="clear" w:color="auto" w:fill="auto"/>
            <w:vAlign w:val="center"/>
          </w:tcPr>
          <w:p w14:paraId="3ECD8810" w14:textId="77777777" w:rsidR="00DA2B03" w:rsidRPr="003A7740" w:rsidRDefault="00DA2B03" w:rsidP="00DF510F">
            <w:pPr>
              <w:keepNext/>
              <w:keepLines/>
              <w:widowControl/>
              <w:tabs>
                <w:tab w:val="decimal" w:pos="340"/>
              </w:tabs>
              <w:rPr>
                <w:rFonts w:cs="Arial"/>
                <w:color w:val="000000"/>
                <w:sz w:val="18"/>
                <w:szCs w:val="18"/>
                <w:lang w:eastAsia="en-GB" w:bidi="ar-SA"/>
              </w:rPr>
            </w:pPr>
            <w:r w:rsidRPr="003A7740">
              <w:rPr>
                <w:rFonts w:cs="Arial"/>
                <w:color w:val="000000"/>
                <w:sz w:val="18"/>
                <w:szCs w:val="18"/>
              </w:rPr>
              <w:t>0</w:t>
            </w:r>
          </w:p>
        </w:tc>
        <w:tc>
          <w:tcPr>
            <w:tcW w:w="725" w:type="dxa"/>
            <w:vAlign w:val="center"/>
          </w:tcPr>
          <w:p w14:paraId="6DE9AB2C" w14:textId="77777777" w:rsidR="00DA2B03" w:rsidRPr="00B83846" w:rsidRDefault="00DA2B03" w:rsidP="00DF510F">
            <w:pPr>
              <w:keepNext/>
              <w:keepLines/>
              <w:widowControl/>
              <w:tabs>
                <w:tab w:val="decimal" w:pos="340"/>
              </w:tabs>
              <w:rPr>
                <w:rFonts w:cs="Arial"/>
                <w:color w:val="000000"/>
                <w:sz w:val="18"/>
                <w:szCs w:val="18"/>
              </w:rPr>
            </w:pPr>
            <w:r w:rsidRPr="003A7740">
              <w:rPr>
                <w:rFonts w:cs="Arial"/>
                <w:color w:val="000000"/>
                <w:sz w:val="18"/>
                <w:szCs w:val="18"/>
              </w:rPr>
              <w:t>0</w:t>
            </w:r>
          </w:p>
        </w:tc>
        <w:tc>
          <w:tcPr>
            <w:tcW w:w="725" w:type="dxa"/>
            <w:shd w:val="clear" w:color="auto" w:fill="D9D9D9" w:themeFill="background1" w:themeFillShade="D9"/>
            <w:vAlign w:val="center"/>
          </w:tcPr>
          <w:p w14:paraId="38589D43" w14:textId="77777777" w:rsidR="00DA2B03" w:rsidRPr="003A7740" w:rsidRDefault="00DA2B03" w:rsidP="00DF510F">
            <w:pPr>
              <w:keepNext/>
              <w:keepLines/>
              <w:widowControl/>
              <w:tabs>
                <w:tab w:val="decimal" w:pos="340"/>
              </w:tabs>
              <w:rPr>
                <w:rFonts w:cs="Arial"/>
                <w:color w:val="000000"/>
                <w:sz w:val="18"/>
                <w:szCs w:val="18"/>
                <w:lang w:eastAsia="en-GB" w:bidi="ar-SA"/>
              </w:rPr>
            </w:pPr>
            <w:r w:rsidRPr="003A7740">
              <w:rPr>
                <w:rFonts w:cs="Arial"/>
                <w:color w:val="000000"/>
                <w:sz w:val="18"/>
                <w:szCs w:val="18"/>
              </w:rPr>
              <w:t>11</w:t>
            </w:r>
          </w:p>
        </w:tc>
        <w:tc>
          <w:tcPr>
            <w:tcW w:w="725" w:type="dxa"/>
            <w:shd w:val="clear" w:color="auto" w:fill="auto"/>
            <w:vAlign w:val="center"/>
          </w:tcPr>
          <w:p w14:paraId="3A95EAEF" w14:textId="77777777" w:rsidR="00DA2B03" w:rsidRPr="003A7740" w:rsidRDefault="00DA2B03" w:rsidP="00DF510F">
            <w:pPr>
              <w:keepNext/>
              <w:keepLines/>
              <w:widowControl/>
              <w:tabs>
                <w:tab w:val="decimal" w:pos="340"/>
              </w:tabs>
              <w:rPr>
                <w:rFonts w:cs="Arial"/>
                <w:sz w:val="18"/>
                <w:szCs w:val="18"/>
                <w:lang w:eastAsia="en-GB" w:bidi="ar-SA"/>
              </w:rPr>
            </w:pPr>
            <w:r w:rsidRPr="003A7740">
              <w:rPr>
                <w:rFonts w:cs="Arial"/>
                <w:sz w:val="18"/>
                <w:szCs w:val="18"/>
              </w:rPr>
              <w:t>0</w:t>
            </w:r>
          </w:p>
        </w:tc>
        <w:tc>
          <w:tcPr>
            <w:tcW w:w="725" w:type="dxa"/>
            <w:vAlign w:val="center"/>
          </w:tcPr>
          <w:p w14:paraId="24629344" w14:textId="77777777" w:rsidR="00DA2B03" w:rsidRPr="00B83846" w:rsidRDefault="00DA2B03" w:rsidP="00DF510F">
            <w:pPr>
              <w:keepNext/>
              <w:keepLines/>
              <w:widowControl/>
              <w:tabs>
                <w:tab w:val="decimal" w:pos="340"/>
              </w:tabs>
              <w:rPr>
                <w:rFonts w:cs="Arial"/>
                <w:sz w:val="18"/>
                <w:szCs w:val="18"/>
              </w:rPr>
            </w:pPr>
            <w:r w:rsidRPr="003A7740">
              <w:rPr>
                <w:rFonts w:cs="Arial"/>
                <w:sz w:val="18"/>
                <w:szCs w:val="18"/>
              </w:rPr>
              <w:t>0</w:t>
            </w:r>
          </w:p>
        </w:tc>
        <w:tc>
          <w:tcPr>
            <w:tcW w:w="725" w:type="dxa"/>
            <w:shd w:val="clear" w:color="auto" w:fill="D9D9D9" w:themeFill="background1" w:themeFillShade="D9"/>
            <w:vAlign w:val="center"/>
          </w:tcPr>
          <w:p w14:paraId="74B85345" w14:textId="77777777" w:rsidR="00DA2B03" w:rsidRPr="003A7740" w:rsidRDefault="00DA2B03" w:rsidP="00DF510F">
            <w:pPr>
              <w:keepNext/>
              <w:keepLines/>
              <w:widowControl/>
              <w:tabs>
                <w:tab w:val="decimal" w:pos="340"/>
              </w:tabs>
              <w:rPr>
                <w:rFonts w:cs="Arial"/>
                <w:sz w:val="18"/>
                <w:szCs w:val="18"/>
                <w:lang w:eastAsia="en-GB" w:bidi="ar-SA"/>
              </w:rPr>
            </w:pPr>
            <w:r w:rsidRPr="003A7740">
              <w:rPr>
                <w:rFonts w:cs="Arial"/>
                <w:sz w:val="18"/>
                <w:szCs w:val="18"/>
              </w:rPr>
              <w:t>15</w:t>
            </w:r>
          </w:p>
        </w:tc>
        <w:tc>
          <w:tcPr>
            <w:tcW w:w="827" w:type="dxa"/>
            <w:shd w:val="clear" w:color="auto" w:fill="auto"/>
            <w:vAlign w:val="center"/>
          </w:tcPr>
          <w:p w14:paraId="5E5F676A" w14:textId="77777777" w:rsidR="00DA2B03" w:rsidRPr="003A7740" w:rsidRDefault="00DA2B03" w:rsidP="00DF510F">
            <w:pPr>
              <w:keepNext/>
              <w:keepLines/>
              <w:widowControl/>
              <w:tabs>
                <w:tab w:val="decimal" w:pos="340"/>
              </w:tabs>
              <w:rPr>
                <w:rFonts w:cs="Arial"/>
                <w:sz w:val="18"/>
                <w:szCs w:val="18"/>
                <w:lang w:eastAsia="en-GB" w:bidi="ar-SA"/>
              </w:rPr>
            </w:pPr>
            <w:r w:rsidRPr="003A7740">
              <w:rPr>
                <w:rFonts w:cs="Arial"/>
                <w:sz w:val="18"/>
                <w:szCs w:val="18"/>
              </w:rPr>
              <w:t>0</w:t>
            </w:r>
          </w:p>
        </w:tc>
        <w:tc>
          <w:tcPr>
            <w:tcW w:w="827" w:type="dxa"/>
            <w:vAlign w:val="center"/>
          </w:tcPr>
          <w:p w14:paraId="0D0F3656" w14:textId="77777777" w:rsidR="00DA2B03" w:rsidRPr="00B83846" w:rsidRDefault="00DA2B03" w:rsidP="00DF510F">
            <w:pPr>
              <w:keepNext/>
              <w:keepLines/>
              <w:widowControl/>
              <w:tabs>
                <w:tab w:val="decimal" w:pos="340"/>
              </w:tabs>
              <w:rPr>
                <w:rFonts w:cs="Arial"/>
                <w:sz w:val="18"/>
                <w:szCs w:val="18"/>
              </w:rPr>
            </w:pPr>
            <w:r w:rsidRPr="003A7740">
              <w:rPr>
                <w:rFonts w:cs="Arial"/>
                <w:sz w:val="18"/>
                <w:szCs w:val="18"/>
              </w:rPr>
              <w:t>0</w:t>
            </w:r>
          </w:p>
        </w:tc>
        <w:tc>
          <w:tcPr>
            <w:tcW w:w="827" w:type="dxa"/>
            <w:shd w:val="clear" w:color="auto" w:fill="D9D9D9" w:themeFill="background1" w:themeFillShade="D9"/>
            <w:vAlign w:val="center"/>
          </w:tcPr>
          <w:p w14:paraId="1BA43924" w14:textId="77777777" w:rsidR="00DA2B03" w:rsidRPr="003A7740" w:rsidRDefault="00DA2B03" w:rsidP="00DF510F">
            <w:pPr>
              <w:keepNext/>
              <w:keepLines/>
              <w:widowControl/>
              <w:tabs>
                <w:tab w:val="decimal" w:pos="340"/>
              </w:tabs>
              <w:rPr>
                <w:rFonts w:cs="Arial"/>
                <w:sz w:val="18"/>
                <w:szCs w:val="18"/>
                <w:lang w:eastAsia="en-GB" w:bidi="ar-SA"/>
              </w:rPr>
            </w:pPr>
            <w:r w:rsidRPr="003A7740">
              <w:rPr>
                <w:rFonts w:cs="Arial"/>
                <w:sz w:val="18"/>
                <w:szCs w:val="18"/>
              </w:rPr>
              <w:t>14</w:t>
            </w:r>
          </w:p>
        </w:tc>
        <w:tc>
          <w:tcPr>
            <w:tcW w:w="827" w:type="dxa"/>
            <w:shd w:val="clear" w:color="auto" w:fill="auto"/>
            <w:vAlign w:val="center"/>
          </w:tcPr>
          <w:p w14:paraId="0630E0E4" w14:textId="77777777" w:rsidR="00DA2B03" w:rsidRPr="003A7740" w:rsidRDefault="00DA2B03" w:rsidP="00DF510F">
            <w:pPr>
              <w:keepNext/>
              <w:keepLines/>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1C3030E5" w14:textId="77777777" w:rsidR="00DA2B03" w:rsidRPr="00B83846" w:rsidRDefault="00DA2B03" w:rsidP="00DF510F">
            <w:pPr>
              <w:keepNext/>
              <w:keepLines/>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D9D9D9" w:themeFill="background1" w:themeFillShade="D9"/>
            <w:vAlign w:val="center"/>
          </w:tcPr>
          <w:p w14:paraId="7FD07F27" w14:textId="77777777" w:rsidR="00DA2B03" w:rsidRPr="003A7740" w:rsidRDefault="00DA2B03" w:rsidP="00DF510F">
            <w:pPr>
              <w:keepNext/>
              <w:keepLines/>
              <w:widowControl/>
              <w:tabs>
                <w:tab w:val="decimal" w:pos="340"/>
              </w:tabs>
              <w:rPr>
                <w:rFonts w:cs="Arial"/>
                <w:color w:val="000000"/>
                <w:sz w:val="18"/>
                <w:szCs w:val="18"/>
                <w:lang w:eastAsia="en-GB" w:bidi="ar-SA"/>
              </w:rPr>
            </w:pPr>
            <w:r w:rsidRPr="003A7740">
              <w:rPr>
                <w:rFonts w:cs="Arial"/>
                <w:color w:val="000000"/>
                <w:sz w:val="18"/>
                <w:szCs w:val="18"/>
              </w:rPr>
              <w:t>16</w:t>
            </w:r>
          </w:p>
        </w:tc>
      </w:tr>
      <w:tr w:rsidR="00DA2B03" w:rsidRPr="00B83846" w14:paraId="48875849" w14:textId="77777777" w:rsidTr="00221A11">
        <w:trPr>
          <w:cantSplit/>
        </w:trPr>
        <w:tc>
          <w:tcPr>
            <w:tcW w:w="1276" w:type="dxa"/>
            <w:shd w:val="clear" w:color="auto" w:fill="D9D9D9" w:themeFill="background1" w:themeFillShade="D9"/>
            <w:vAlign w:val="center"/>
            <w:hideMark/>
          </w:tcPr>
          <w:p w14:paraId="1C12E9E7" w14:textId="77777777" w:rsidR="00DA2B03" w:rsidRPr="00B83846" w:rsidRDefault="00DA2B03" w:rsidP="00DF510F">
            <w:pPr>
              <w:widowControl/>
              <w:rPr>
                <w:rFonts w:cs="Arial"/>
                <w:color w:val="000000"/>
                <w:sz w:val="18"/>
                <w:szCs w:val="18"/>
                <w:lang w:eastAsia="en-GB" w:bidi="ar-SA"/>
              </w:rPr>
            </w:pPr>
            <w:r w:rsidRPr="00B83846">
              <w:rPr>
                <w:rFonts w:cs="Arial"/>
                <w:color w:val="000000"/>
                <w:sz w:val="18"/>
                <w:szCs w:val="18"/>
                <w:lang w:eastAsia="en-GB" w:bidi="ar-SA"/>
              </w:rPr>
              <w:t>14.1.7</w:t>
            </w:r>
          </w:p>
        </w:tc>
        <w:tc>
          <w:tcPr>
            <w:tcW w:w="451" w:type="dxa"/>
            <w:tcBorders>
              <w:right w:val="nil"/>
            </w:tcBorders>
            <w:shd w:val="clear" w:color="auto" w:fill="D9D9D9" w:themeFill="background1" w:themeFillShade="D9"/>
            <w:vAlign w:val="center"/>
          </w:tcPr>
          <w:p w14:paraId="1CA409E1" w14:textId="77777777" w:rsidR="00DA2B03" w:rsidRPr="00B83846" w:rsidRDefault="00DA2B03" w:rsidP="00DF510F">
            <w:pPr>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5C1BB0BD" w14:textId="77777777" w:rsidR="00DA2B03" w:rsidRPr="00B83846" w:rsidRDefault="00DA2B03" w:rsidP="00DF510F">
            <w:pPr>
              <w:widowControl/>
              <w:rPr>
                <w:rFonts w:cs="Arial"/>
                <w:color w:val="000000"/>
                <w:sz w:val="18"/>
                <w:szCs w:val="18"/>
                <w:lang w:eastAsia="en-GB" w:bidi="ar-SA"/>
              </w:rPr>
            </w:pPr>
            <w:r w:rsidRPr="00B83846">
              <w:rPr>
                <w:rFonts w:cs="Arial"/>
                <w:color w:val="000000"/>
                <w:sz w:val="18"/>
                <w:szCs w:val="18"/>
                <w:lang w:eastAsia="en-GB" w:bidi="ar-SA"/>
              </w:rPr>
              <w:t>Soy beverage</w:t>
            </w:r>
          </w:p>
        </w:tc>
        <w:tc>
          <w:tcPr>
            <w:tcW w:w="725" w:type="dxa"/>
            <w:shd w:val="clear" w:color="auto" w:fill="auto"/>
            <w:vAlign w:val="center"/>
          </w:tcPr>
          <w:p w14:paraId="2D581EC0"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vAlign w:val="center"/>
          </w:tcPr>
          <w:p w14:paraId="28A0684B" w14:textId="77777777" w:rsidR="00DA2B03" w:rsidRPr="00B83846" w:rsidRDefault="00DA2B03" w:rsidP="00DF510F">
            <w:pPr>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auto"/>
            <w:vAlign w:val="center"/>
          </w:tcPr>
          <w:p w14:paraId="2CCDD618"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3</w:t>
            </w:r>
          </w:p>
        </w:tc>
        <w:tc>
          <w:tcPr>
            <w:tcW w:w="725" w:type="dxa"/>
            <w:shd w:val="clear" w:color="auto" w:fill="auto"/>
            <w:vAlign w:val="center"/>
          </w:tcPr>
          <w:p w14:paraId="6F9B302E"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&lt;1</w:t>
            </w:r>
          </w:p>
        </w:tc>
        <w:tc>
          <w:tcPr>
            <w:tcW w:w="725" w:type="dxa"/>
            <w:vAlign w:val="center"/>
          </w:tcPr>
          <w:p w14:paraId="2F945045" w14:textId="77777777" w:rsidR="00DA2B03" w:rsidRPr="00B83846" w:rsidRDefault="00DA2B03" w:rsidP="00DF510F">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67D82EC5"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2</w:t>
            </w:r>
          </w:p>
        </w:tc>
        <w:tc>
          <w:tcPr>
            <w:tcW w:w="827" w:type="dxa"/>
            <w:shd w:val="clear" w:color="auto" w:fill="auto"/>
            <w:vAlign w:val="center"/>
          </w:tcPr>
          <w:p w14:paraId="6B87353F"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&lt;1</w:t>
            </w:r>
          </w:p>
        </w:tc>
        <w:tc>
          <w:tcPr>
            <w:tcW w:w="827" w:type="dxa"/>
            <w:vAlign w:val="center"/>
          </w:tcPr>
          <w:p w14:paraId="3D12B17D" w14:textId="77777777" w:rsidR="00DA2B03" w:rsidRPr="00B83846" w:rsidRDefault="00DA2B03" w:rsidP="00DF510F">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112FEF24" w14:textId="77777777" w:rsidR="00DA2B03" w:rsidRPr="003A7740" w:rsidRDefault="00DA2B03" w:rsidP="00DF510F">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76F5ECAD"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827" w:type="dxa"/>
            <w:vAlign w:val="center"/>
          </w:tcPr>
          <w:p w14:paraId="53859651" w14:textId="77777777" w:rsidR="00DA2B03" w:rsidRPr="00B83846" w:rsidRDefault="00DA2B03" w:rsidP="00DF510F">
            <w:pPr>
              <w:widowControl/>
              <w:tabs>
                <w:tab w:val="decimal" w:pos="340"/>
              </w:tabs>
              <w:rPr>
                <w:rFonts w:cs="Arial"/>
                <w:color w:val="000000"/>
                <w:sz w:val="18"/>
                <w:szCs w:val="18"/>
              </w:rPr>
            </w:pPr>
            <w:r w:rsidRPr="003A7740">
              <w:rPr>
                <w:rFonts w:cs="Arial"/>
                <w:color w:val="000000"/>
                <w:sz w:val="18"/>
                <w:szCs w:val="18"/>
              </w:rPr>
              <w:t>&lt;1</w:t>
            </w:r>
          </w:p>
        </w:tc>
        <w:tc>
          <w:tcPr>
            <w:tcW w:w="556" w:type="dxa"/>
            <w:shd w:val="clear" w:color="auto" w:fill="D9D9D9" w:themeFill="background1" w:themeFillShade="D9"/>
            <w:vAlign w:val="center"/>
          </w:tcPr>
          <w:p w14:paraId="46E489CD" w14:textId="77777777" w:rsidR="00DA2B03" w:rsidRPr="003A7740" w:rsidRDefault="00DA2B03" w:rsidP="00DF510F">
            <w:pPr>
              <w:widowControl/>
              <w:tabs>
                <w:tab w:val="decimal" w:pos="340"/>
              </w:tabs>
              <w:rPr>
                <w:rFonts w:cs="Arial"/>
                <w:color w:val="000000"/>
                <w:sz w:val="18"/>
                <w:szCs w:val="18"/>
                <w:lang w:eastAsia="en-GB" w:bidi="ar-SA"/>
              </w:rPr>
            </w:pPr>
            <w:r w:rsidRPr="003A7740">
              <w:rPr>
                <w:rFonts w:cs="Arial"/>
                <w:color w:val="000000"/>
                <w:sz w:val="18"/>
                <w:szCs w:val="18"/>
              </w:rPr>
              <w:t>12</w:t>
            </w:r>
          </w:p>
        </w:tc>
      </w:tr>
      <w:tr w:rsidR="00DA2B03" w:rsidRPr="002D2C2D" w14:paraId="2F7C5369" w14:textId="77777777" w:rsidTr="00DF510F">
        <w:trPr>
          <w:cantSplit/>
        </w:trPr>
        <w:tc>
          <w:tcPr>
            <w:tcW w:w="1276" w:type="dxa"/>
            <w:shd w:val="clear" w:color="auto" w:fill="D9D9D9" w:themeFill="background1" w:themeFillShade="D9"/>
            <w:vAlign w:val="center"/>
            <w:hideMark/>
          </w:tcPr>
          <w:p w14:paraId="46270D91" w14:textId="77777777" w:rsidR="00DA2B03" w:rsidRPr="002D2C2D" w:rsidRDefault="00DA2B03" w:rsidP="00DF510F">
            <w:pPr>
              <w:rPr>
                <w:rFonts w:cs="Arial"/>
                <w:bCs/>
                <w:color w:val="000000"/>
                <w:sz w:val="18"/>
                <w:szCs w:val="18"/>
                <w:lang w:eastAsia="en-GB" w:bidi="ar-SA"/>
              </w:rPr>
            </w:pPr>
            <w:r w:rsidRPr="002D2C2D">
              <w:rPr>
                <w:rFonts w:cs="Arial"/>
                <w:bCs/>
                <w:color w:val="000000"/>
                <w:sz w:val="18"/>
                <w:szCs w:val="18"/>
                <w:lang w:eastAsia="en-GB" w:bidi="ar-SA"/>
              </w:rPr>
              <w:t>20</w:t>
            </w:r>
          </w:p>
        </w:tc>
        <w:tc>
          <w:tcPr>
            <w:tcW w:w="3915" w:type="dxa"/>
            <w:gridSpan w:val="3"/>
            <w:tcBorders>
              <w:bottom w:val="single" w:sz="4" w:space="0" w:color="auto"/>
            </w:tcBorders>
            <w:shd w:val="clear" w:color="auto" w:fill="D9D9D9" w:themeFill="background1" w:themeFillShade="D9"/>
            <w:vAlign w:val="center"/>
          </w:tcPr>
          <w:p w14:paraId="63404306" w14:textId="77777777" w:rsidR="00DA2B03" w:rsidRPr="002D2C2D" w:rsidRDefault="00DA2B03" w:rsidP="00DF510F">
            <w:pPr>
              <w:rPr>
                <w:rFonts w:cs="Arial"/>
                <w:bCs/>
                <w:color w:val="000000"/>
                <w:sz w:val="18"/>
                <w:szCs w:val="18"/>
                <w:lang w:eastAsia="en-GB" w:bidi="ar-SA"/>
              </w:rPr>
            </w:pPr>
            <w:r w:rsidRPr="002D2C2D">
              <w:rPr>
                <w:rFonts w:cs="Arial"/>
                <w:bCs/>
                <w:color w:val="000000"/>
                <w:sz w:val="18"/>
                <w:szCs w:val="18"/>
                <w:lang w:eastAsia="en-GB" w:bidi="ar-SA"/>
              </w:rPr>
              <w:t>All Mixed Foods Commercial</w:t>
            </w:r>
          </w:p>
        </w:tc>
        <w:tc>
          <w:tcPr>
            <w:tcW w:w="725" w:type="dxa"/>
            <w:shd w:val="clear" w:color="auto" w:fill="auto"/>
            <w:vAlign w:val="center"/>
          </w:tcPr>
          <w:p w14:paraId="335824BB" w14:textId="77777777" w:rsidR="00DA2B03" w:rsidRPr="002D2C2D" w:rsidRDefault="00DA2B03" w:rsidP="00DF510F">
            <w:pPr>
              <w:tabs>
                <w:tab w:val="decimal" w:pos="340"/>
              </w:tabs>
              <w:rPr>
                <w:rFonts w:cs="Arial"/>
                <w:bCs/>
                <w:color w:val="000000"/>
                <w:sz w:val="18"/>
                <w:szCs w:val="18"/>
                <w:lang w:eastAsia="en-GB" w:bidi="ar-SA"/>
              </w:rPr>
            </w:pPr>
          </w:p>
        </w:tc>
        <w:tc>
          <w:tcPr>
            <w:tcW w:w="725" w:type="dxa"/>
          </w:tcPr>
          <w:p w14:paraId="5785F4D2" w14:textId="77777777" w:rsidR="00DA2B03" w:rsidRPr="002D2C2D" w:rsidRDefault="00DA2B03" w:rsidP="00DF510F">
            <w:pPr>
              <w:tabs>
                <w:tab w:val="decimal" w:pos="340"/>
              </w:tabs>
              <w:rPr>
                <w:rFonts w:cs="Arial"/>
                <w:bCs/>
                <w:color w:val="000000"/>
                <w:sz w:val="18"/>
                <w:szCs w:val="18"/>
              </w:rPr>
            </w:pPr>
          </w:p>
        </w:tc>
        <w:tc>
          <w:tcPr>
            <w:tcW w:w="725" w:type="dxa"/>
            <w:shd w:val="clear" w:color="auto" w:fill="D9D9D9" w:themeFill="background1" w:themeFillShade="D9"/>
            <w:vAlign w:val="center"/>
          </w:tcPr>
          <w:p w14:paraId="490E02CA" w14:textId="77777777" w:rsidR="00DA2B03" w:rsidRPr="002D2C2D" w:rsidRDefault="00DA2B03" w:rsidP="00DF510F">
            <w:pPr>
              <w:tabs>
                <w:tab w:val="decimal" w:pos="340"/>
              </w:tabs>
              <w:rPr>
                <w:rFonts w:cs="Arial"/>
                <w:bCs/>
                <w:color w:val="000000"/>
                <w:sz w:val="18"/>
                <w:szCs w:val="18"/>
                <w:lang w:eastAsia="en-GB" w:bidi="ar-SA"/>
              </w:rPr>
            </w:pPr>
            <w:r w:rsidRPr="002D2C2D">
              <w:rPr>
                <w:rFonts w:cs="Arial"/>
                <w:bCs/>
                <w:color w:val="000000"/>
                <w:sz w:val="18"/>
                <w:szCs w:val="18"/>
              </w:rPr>
              <w:t>26</w:t>
            </w:r>
          </w:p>
        </w:tc>
        <w:tc>
          <w:tcPr>
            <w:tcW w:w="725" w:type="dxa"/>
            <w:shd w:val="clear" w:color="auto" w:fill="auto"/>
            <w:vAlign w:val="center"/>
          </w:tcPr>
          <w:p w14:paraId="398DEBCE" w14:textId="77777777" w:rsidR="00DA2B03" w:rsidRPr="002D2C2D" w:rsidRDefault="00DA2B03" w:rsidP="00DF510F">
            <w:pPr>
              <w:tabs>
                <w:tab w:val="decimal" w:pos="340"/>
              </w:tabs>
              <w:rPr>
                <w:rFonts w:cs="Arial"/>
                <w:bCs/>
                <w:color w:val="000000"/>
                <w:sz w:val="18"/>
                <w:szCs w:val="18"/>
                <w:lang w:eastAsia="en-GB" w:bidi="ar-SA"/>
              </w:rPr>
            </w:pPr>
          </w:p>
        </w:tc>
        <w:tc>
          <w:tcPr>
            <w:tcW w:w="725" w:type="dxa"/>
          </w:tcPr>
          <w:p w14:paraId="149C114F" w14:textId="77777777" w:rsidR="00DA2B03" w:rsidRPr="002D2C2D" w:rsidRDefault="00DA2B03" w:rsidP="00DF510F">
            <w:pPr>
              <w:tabs>
                <w:tab w:val="decimal" w:pos="340"/>
              </w:tabs>
              <w:rPr>
                <w:rFonts w:cs="Arial"/>
                <w:bCs/>
                <w:color w:val="000000"/>
                <w:sz w:val="18"/>
                <w:szCs w:val="18"/>
              </w:rPr>
            </w:pPr>
          </w:p>
        </w:tc>
        <w:tc>
          <w:tcPr>
            <w:tcW w:w="725" w:type="dxa"/>
            <w:shd w:val="clear" w:color="auto" w:fill="D9D9D9" w:themeFill="background1" w:themeFillShade="D9"/>
            <w:vAlign w:val="center"/>
          </w:tcPr>
          <w:p w14:paraId="4250C483" w14:textId="77777777" w:rsidR="00DA2B03" w:rsidRPr="002D2C2D" w:rsidRDefault="00DA2B03" w:rsidP="00DF510F">
            <w:pPr>
              <w:tabs>
                <w:tab w:val="decimal" w:pos="340"/>
              </w:tabs>
              <w:rPr>
                <w:rFonts w:cs="Arial"/>
                <w:bCs/>
                <w:color w:val="000000"/>
                <w:sz w:val="18"/>
                <w:szCs w:val="18"/>
                <w:lang w:eastAsia="en-GB" w:bidi="ar-SA"/>
              </w:rPr>
            </w:pPr>
            <w:r w:rsidRPr="002D2C2D">
              <w:rPr>
                <w:rFonts w:cs="Arial"/>
                <w:bCs/>
                <w:color w:val="000000"/>
                <w:sz w:val="18"/>
                <w:szCs w:val="18"/>
              </w:rPr>
              <w:t>12</w:t>
            </w:r>
          </w:p>
        </w:tc>
        <w:tc>
          <w:tcPr>
            <w:tcW w:w="827" w:type="dxa"/>
            <w:shd w:val="clear" w:color="auto" w:fill="auto"/>
            <w:vAlign w:val="center"/>
          </w:tcPr>
          <w:p w14:paraId="2F8FB400" w14:textId="77777777" w:rsidR="00DA2B03" w:rsidRPr="002D2C2D" w:rsidRDefault="00DA2B03" w:rsidP="00DF510F">
            <w:pPr>
              <w:tabs>
                <w:tab w:val="decimal" w:pos="340"/>
              </w:tabs>
              <w:rPr>
                <w:rFonts w:cs="Arial"/>
                <w:bCs/>
                <w:color w:val="000000"/>
                <w:sz w:val="18"/>
                <w:szCs w:val="18"/>
                <w:lang w:eastAsia="en-GB" w:bidi="ar-SA"/>
              </w:rPr>
            </w:pPr>
          </w:p>
        </w:tc>
        <w:tc>
          <w:tcPr>
            <w:tcW w:w="827" w:type="dxa"/>
          </w:tcPr>
          <w:p w14:paraId="36F938BF" w14:textId="77777777" w:rsidR="00DA2B03" w:rsidRPr="002D2C2D" w:rsidRDefault="00DA2B03" w:rsidP="00DF510F">
            <w:pPr>
              <w:tabs>
                <w:tab w:val="decimal" w:pos="340"/>
              </w:tabs>
              <w:rPr>
                <w:rFonts w:cs="Arial"/>
                <w:bCs/>
                <w:color w:val="000000"/>
                <w:sz w:val="18"/>
                <w:szCs w:val="18"/>
              </w:rPr>
            </w:pPr>
          </w:p>
        </w:tc>
        <w:tc>
          <w:tcPr>
            <w:tcW w:w="827" w:type="dxa"/>
            <w:shd w:val="clear" w:color="auto" w:fill="D9D9D9" w:themeFill="background1" w:themeFillShade="D9"/>
            <w:vAlign w:val="center"/>
          </w:tcPr>
          <w:p w14:paraId="1202BB93" w14:textId="77777777" w:rsidR="00DA2B03" w:rsidRPr="002D2C2D" w:rsidRDefault="00DA2B03" w:rsidP="00DF510F">
            <w:pPr>
              <w:tabs>
                <w:tab w:val="decimal" w:pos="340"/>
              </w:tabs>
              <w:rPr>
                <w:rFonts w:cs="Arial"/>
                <w:bCs/>
                <w:color w:val="000000"/>
                <w:sz w:val="18"/>
                <w:szCs w:val="18"/>
                <w:lang w:eastAsia="en-GB" w:bidi="ar-SA"/>
              </w:rPr>
            </w:pPr>
            <w:r w:rsidRPr="002D2C2D">
              <w:rPr>
                <w:rFonts w:cs="Arial"/>
                <w:bCs/>
                <w:color w:val="000000"/>
                <w:sz w:val="18"/>
                <w:szCs w:val="18"/>
              </w:rPr>
              <w:t>10</w:t>
            </w:r>
          </w:p>
        </w:tc>
        <w:tc>
          <w:tcPr>
            <w:tcW w:w="827" w:type="dxa"/>
            <w:shd w:val="clear" w:color="auto" w:fill="auto"/>
            <w:vAlign w:val="center"/>
          </w:tcPr>
          <w:p w14:paraId="0DE2B51F" w14:textId="77777777" w:rsidR="00DA2B03" w:rsidRPr="002D2C2D" w:rsidRDefault="00DA2B03" w:rsidP="00DF510F">
            <w:pPr>
              <w:tabs>
                <w:tab w:val="decimal" w:pos="340"/>
              </w:tabs>
              <w:rPr>
                <w:rFonts w:cs="Arial"/>
                <w:bCs/>
                <w:color w:val="000000"/>
                <w:sz w:val="18"/>
                <w:szCs w:val="18"/>
                <w:lang w:eastAsia="en-GB" w:bidi="ar-SA"/>
              </w:rPr>
            </w:pPr>
          </w:p>
        </w:tc>
        <w:tc>
          <w:tcPr>
            <w:tcW w:w="827" w:type="dxa"/>
          </w:tcPr>
          <w:p w14:paraId="4D4B1B03" w14:textId="77777777" w:rsidR="00DA2B03" w:rsidRPr="002D2C2D" w:rsidRDefault="00DA2B03" w:rsidP="00DF510F">
            <w:pPr>
              <w:tabs>
                <w:tab w:val="decimal" w:pos="340"/>
              </w:tabs>
              <w:rPr>
                <w:rFonts w:cs="Arial"/>
                <w:bCs/>
                <w:color w:val="000000"/>
                <w:sz w:val="18"/>
                <w:szCs w:val="18"/>
              </w:rPr>
            </w:pPr>
          </w:p>
        </w:tc>
        <w:tc>
          <w:tcPr>
            <w:tcW w:w="556" w:type="dxa"/>
            <w:shd w:val="clear" w:color="auto" w:fill="D9D9D9" w:themeFill="background1" w:themeFillShade="D9"/>
            <w:vAlign w:val="center"/>
          </w:tcPr>
          <w:p w14:paraId="55581722" w14:textId="77777777" w:rsidR="00DA2B03" w:rsidRPr="002D2C2D" w:rsidRDefault="00DA2B03" w:rsidP="00DF510F">
            <w:pPr>
              <w:tabs>
                <w:tab w:val="decimal" w:pos="340"/>
              </w:tabs>
              <w:rPr>
                <w:rFonts w:cs="Arial"/>
                <w:bCs/>
                <w:color w:val="000000"/>
                <w:sz w:val="18"/>
                <w:szCs w:val="18"/>
                <w:lang w:eastAsia="en-GB" w:bidi="ar-SA"/>
              </w:rPr>
            </w:pPr>
            <w:r w:rsidRPr="002D2C2D">
              <w:rPr>
                <w:rFonts w:cs="Arial"/>
                <w:bCs/>
                <w:color w:val="000000"/>
                <w:sz w:val="18"/>
                <w:szCs w:val="18"/>
              </w:rPr>
              <w:t>32</w:t>
            </w:r>
          </w:p>
        </w:tc>
      </w:tr>
      <w:tr w:rsidR="00DA2B03" w:rsidRPr="00B83846" w14:paraId="051BFF98" w14:textId="77777777" w:rsidTr="00221A11">
        <w:trPr>
          <w:cantSplit/>
        </w:trPr>
        <w:tc>
          <w:tcPr>
            <w:tcW w:w="1276" w:type="dxa"/>
            <w:shd w:val="clear" w:color="auto" w:fill="D9D9D9" w:themeFill="background1" w:themeFillShade="D9"/>
            <w:vAlign w:val="center"/>
            <w:hideMark/>
          </w:tcPr>
          <w:p w14:paraId="51F4E7D8" w14:textId="77777777" w:rsidR="00DA2B03" w:rsidRPr="00B83846" w:rsidRDefault="00DA2B03" w:rsidP="00DF510F">
            <w:pPr>
              <w:keepNext/>
              <w:keepLines/>
              <w:widowControl/>
              <w:rPr>
                <w:rFonts w:cs="Arial"/>
                <w:color w:val="000000"/>
                <w:sz w:val="18"/>
                <w:szCs w:val="18"/>
                <w:lang w:eastAsia="en-GB" w:bidi="ar-SA"/>
              </w:rPr>
            </w:pPr>
            <w:r w:rsidRPr="00B83846">
              <w:rPr>
                <w:rFonts w:cs="Arial"/>
                <w:color w:val="000000"/>
                <w:sz w:val="18"/>
                <w:szCs w:val="18"/>
              </w:rPr>
              <w:t>20.3.1</w:t>
            </w:r>
          </w:p>
        </w:tc>
        <w:tc>
          <w:tcPr>
            <w:tcW w:w="451" w:type="dxa"/>
            <w:tcBorders>
              <w:right w:val="nil"/>
            </w:tcBorders>
            <w:shd w:val="clear" w:color="auto" w:fill="D9D9D9" w:themeFill="background1" w:themeFillShade="D9"/>
            <w:vAlign w:val="center"/>
          </w:tcPr>
          <w:p w14:paraId="3B6F30B8" w14:textId="77777777" w:rsidR="00DA2B03" w:rsidRPr="00B83846" w:rsidRDefault="00DA2B03" w:rsidP="00DF510F">
            <w:pPr>
              <w:keepNext/>
              <w:keepLines/>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33ACE839" w14:textId="77777777" w:rsidR="00DA2B03" w:rsidRPr="00B83846" w:rsidRDefault="00DA2B03" w:rsidP="00DF510F">
            <w:pPr>
              <w:keepNext/>
              <w:keepLines/>
              <w:widowControl/>
              <w:rPr>
                <w:rFonts w:cs="Arial"/>
                <w:color w:val="000000"/>
                <w:sz w:val="18"/>
                <w:szCs w:val="18"/>
                <w:lang w:eastAsia="en-GB" w:bidi="ar-SA"/>
              </w:rPr>
            </w:pPr>
            <w:r w:rsidRPr="00B83846">
              <w:rPr>
                <w:rFonts w:cs="Arial"/>
                <w:color w:val="000000"/>
                <w:sz w:val="18"/>
                <w:szCs w:val="18"/>
              </w:rPr>
              <w:t>Ready-to-eat mueslis</w:t>
            </w:r>
          </w:p>
        </w:tc>
        <w:tc>
          <w:tcPr>
            <w:tcW w:w="725" w:type="dxa"/>
            <w:shd w:val="clear" w:color="auto" w:fill="auto"/>
            <w:vAlign w:val="center"/>
          </w:tcPr>
          <w:p w14:paraId="0B55A355" w14:textId="77777777" w:rsidR="00DA2B03" w:rsidRPr="00B83846" w:rsidRDefault="00DA2B03" w:rsidP="00DF510F">
            <w:pPr>
              <w:keepNext/>
              <w:keepLines/>
              <w:widowControl/>
              <w:tabs>
                <w:tab w:val="decimal" w:pos="340"/>
              </w:tabs>
              <w:rPr>
                <w:rFonts w:cs="Arial"/>
                <w:color w:val="000000"/>
                <w:sz w:val="18"/>
                <w:szCs w:val="18"/>
                <w:lang w:eastAsia="en-GB" w:bidi="ar-SA"/>
              </w:rPr>
            </w:pPr>
          </w:p>
        </w:tc>
        <w:tc>
          <w:tcPr>
            <w:tcW w:w="725" w:type="dxa"/>
          </w:tcPr>
          <w:p w14:paraId="6F67B870" w14:textId="77777777" w:rsidR="00DA2B03" w:rsidRPr="00B83846" w:rsidRDefault="00DA2B03" w:rsidP="00DF510F">
            <w:pPr>
              <w:keepNext/>
              <w:keepLines/>
              <w:widowControl/>
              <w:tabs>
                <w:tab w:val="decimal" w:pos="340"/>
              </w:tabs>
              <w:rPr>
                <w:rFonts w:cs="Arial"/>
                <w:color w:val="000000"/>
                <w:sz w:val="18"/>
                <w:szCs w:val="18"/>
              </w:rPr>
            </w:pPr>
          </w:p>
        </w:tc>
        <w:tc>
          <w:tcPr>
            <w:tcW w:w="725" w:type="dxa"/>
            <w:shd w:val="clear" w:color="auto" w:fill="D9D9D9" w:themeFill="background1" w:themeFillShade="D9"/>
            <w:vAlign w:val="center"/>
          </w:tcPr>
          <w:p w14:paraId="791B823E" w14:textId="77777777" w:rsidR="00DA2B03" w:rsidRPr="00B83846" w:rsidRDefault="00DA2B03" w:rsidP="00DF510F">
            <w:pPr>
              <w:keepNext/>
              <w:keepLines/>
              <w:widowControl/>
              <w:tabs>
                <w:tab w:val="decimal" w:pos="340"/>
              </w:tabs>
              <w:rPr>
                <w:rFonts w:cs="Arial"/>
                <w:color w:val="000000"/>
                <w:sz w:val="18"/>
                <w:szCs w:val="18"/>
                <w:lang w:eastAsia="en-GB" w:bidi="ar-SA"/>
              </w:rPr>
            </w:pPr>
            <w:r w:rsidRPr="00B83846">
              <w:rPr>
                <w:rFonts w:cs="Arial"/>
                <w:color w:val="000000"/>
                <w:sz w:val="18"/>
                <w:szCs w:val="18"/>
              </w:rPr>
              <w:t>21</w:t>
            </w:r>
          </w:p>
        </w:tc>
        <w:tc>
          <w:tcPr>
            <w:tcW w:w="725" w:type="dxa"/>
            <w:shd w:val="clear" w:color="auto" w:fill="auto"/>
            <w:vAlign w:val="center"/>
          </w:tcPr>
          <w:p w14:paraId="2F60718C" w14:textId="77777777" w:rsidR="00DA2B03" w:rsidRPr="00B83846" w:rsidRDefault="00DA2B03" w:rsidP="00DF510F">
            <w:pPr>
              <w:keepNext/>
              <w:keepLines/>
              <w:widowControl/>
              <w:tabs>
                <w:tab w:val="decimal" w:pos="340"/>
              </w:tabs>
              <w:rPr>
                <w:rFonts w:cs="Arial"/>
                <w:sz w:val="18"/>
                <w:szCs w:val="18"/>
                <w:lang w:eastAsia="en-GB" w:bidi="ar-SA"/>
              </w:rPr>
            </w:pPr>
          </w:p>
        </w:tc>
        <w:tc>
          <w:tcPr>
            <w:tcW w:w="725" w:type="dxa"/>
          </w:tcPr>
          <w:p w14:paraId="21F0C66D" w14:textId="77777777" w:rsidR="00DA2B03" w:rsidRPr="00B83846" w:rsidRDefault="00DA2B03" w:rsidP="00DF510F">
            <w:pPr>
              <w:keepNext/>
              <w:keepLines/>
              <w:widowControl/>
              <w:tabs>
                <w:tab w:val="decimal" w:pos="340"/>
              </w:tabs>
              <w:rPr>
                <w:rFonts w:cs="Arial"/>
                <w:sz w:val="18"/>
                <w:szCs w:val="18"/>
              </w:rPr>
            </w:pPr>
          </w:p>
        </w:tc>
        <w:tc>
          <w:tcPr>
            <w:tcW w:w="725" w:type="dxa"/>
            <w:shd w:val="clear" w:color="auto" w:fill="D9D9D9" w:themeFill="background1" w:themeFillShade="D9"/>
            <w:vAlign w:val="center"/>
          </w:tcPr>
          <w:p w14:paraId="2CF910C6" w14:textId="77777777" w:rsidR="00DA2B03" w:rsidRPr="00B83846" w:rsidRDefault="00DA2B03" w:rsidP="00DF510F">
            <w:pPr>
              <w:keepNext/>
              <w:keepLines/>
              <w:widowControl/>
              <w:tabs>
                <w:tab w:val="decimal" w:pos="340"/>
              </w:tabs>
              <w:rPr>
                <w:rFonts w:cs="Arial"/>
                <w:sz w:val="18"/>
                <w:szCs w:val="18"/>
                <w:lang w:eastAsia="en-GB" w:bidi="ar-SA"/>
              </w:rPr>
            </w:pPr>
            <w:r w:rsidRPr="00B83846">
              <w:rPr>
                <w:rFonts w:cs="Arial"/>
                <w:sz w:val="18"/>
                <w:szCs w:val="18"/>
              </w:rPr>
              <w:t>8</w:t>
            </w:r>
          </w:p>
        </w:tc>
        <w:tc>
          <w:tcPr>
            <w:tcW w:w="827" w:type="dxa"/>
            <w:shd w:val="clear" w:color="auto" w:fill="auto"/>
            <w:vAlign w:val="center"/>
          </w:tcPr>
          <w:p w14:paraId="6A055937" w14:textId="77777777" w:rsidR="00DA2B03" w:rsidRPr="00B83846" w:rsidRDefault="00DA2B03" w:rsidP="00DF510F">
            <w:pPr>
              <w:keepNext/>
              <w:keepLines/>
              <w:widowControl/>
              <w:tabs>
                <w:tab w:val="decimal" w:pos="340"/>
              </w:tabs>
              <w:rPr>
                <w:rFonts w:cs="Arial"/>
                <w:sz w:val="18"/>
                <w:szCs w:val="18"/>
                <w:lang w:eastAsia="en-GB" w:bidi="ar-SA"/>
              </w:rPr>
            </w:pPr>
          </w:p>
        </w:tc>
        <w:tc>
          <w:tcPr>
            <w:tcW w:w="827" w:type="dxa"/>
          </w:tcPr>
          <w:p w14:paraId="6A3C7249" w14:textId="77777777" w:rsidR="00DA2B03" w:rsidRPr="00B83846" w:rsidRDefault="00DA2B03" w:rsidP="00DF510F">
            <w:pPr>
              <w:keepNext/>
              <w:keepLines/>
              <w:widowControl/>
              <w:tabs>
                <w:tab w:val="decimal" w:pos="340"/>
              </w:tabs>
              <w:rPr>
                <w:rFonts w:cs="Arial"/>
                <w:sz w:val="18"/>
                <w:szCs w:val="18"/>
              </w:rPr>
            </w:pPr>
          </w:p>
        </w:tc>
        <w:tc>
          <w:tcPr>
            <w:tcW w:w="827" w:type="dxa"/>
            <w:shd w:val="clear" w:color="auto" w:fill="D9D9D9" w:themeFill="background1" w:themeFillShade="D9"/>
            <w:vAlign w:val="center"/>
          </w:tcPr>
          <w:p w14:paraId="2BF95C86" w14:textId="77777777" w:rsidR="00DA2B03" w:rsidRPr="00B83846" w:rsidRDefault="00DA2B03" w:rsidP="00DF510F">
            <w:pPr>
              <w:keepNext/>
              <w:keepLines/>
              <w:widowControl/>
              <w:tabs>
                <w:tab w:val="decimal" w:pos="340"/>
              </w:tabs>
              <w:rPr>
                <w:rFonts w:cs="Arial"/>
                <w:sz w:val="18"/>
                <w:szCs w:val="18"/>
                <w:lang w:eastAsia="en-GB" w:bidi="ar-SA"/>
              </w:rPr>
            </w:pPr>
            <w:r w:rsidRPr="003A7740">
              <w:rPr>
                <w:rFonts w:cs="Arial"/>
                <w:sz w:val="18"/>
                <w:szCs w:val="18"/>
              </w:rPr>
              <w:t>7</w:t>
            </w:r>
          </w:p>
        </w:tc>
        <w:tc>
          <w:tcPr>
            <w:tcW w:w="827" w:type="dxa"/>
            <w:shd w:val="clear" w:color="auto" w:fill="auto"/>
            <w:vAlign w:val="center"/>
          </w:tcPr>
          <w:p w14:paraId="185F39C7" w14:textId="77777777" w:rsidR="00DA2B03" w:rsidRPr="00B83846" w:rsidRDefault="00DA2B03" w:rsidP="00DF510F">
            <w:pPr>
              <w:keepNext/>
              <w:keepLines/>
              <w:widowControl/>
              <w:tabs>
                <w:tab w:val="decimal" w:pos="340"/>
              </w:tabs>
              <w:rPr>
                <w:rFonts w:cs="Arial"/>
                <w:color w:val="000000"/>
                <w:sz w:val="18"/>
                <w:szCs w:val="18"/>
                <w:lang w:eastAsia="en-GB" w:bidi="ar-SA"/>
              </w:rPr>
            </w:pPr>
          </w:p>
        </w:tc>
        <w:tc>
          <w:tcPr>
            <w:tcW w:w="827" w:type="dxa"/>
          </w:tcPr>
          <w:p w14:paraId="18384A82" w14:textId="77777777" w:rsidR="00DA2B03" w:rsidRPr="00B83846" w:rsidRDefault="00DA2B03" w:rsidP="00DF510F">
            <w:pPr>
              <w:keepNext/>
              <w:keepLines/>
              <w:widowControl/>
              <w:tabs>
                <w:tab w:val="decimal" w:pos="340"/>
              </w:tabs>
              <w:rPr>
                <w:rFonts w:cs="Arial"/>
                <w:color w:val="000000"/>
                <w:sz w:val="18"/>
                <w:szCs w:val="18"/>
              </w:rPr>
            </w:pPr>
          </w:p>
        </w:tc>
        <w:tc>
          <w:tcPr>
            <w:tcW w:w="556" w:type="dxa"/>
            <w:shd w:val="clear" w:color="auto" w:fill="D9D9D9" w:themeFill="background1" w:themeFillShade="D9"/>
            <w:vAlign w:val="center"/>
          </w:tcPr>
          <w:p w14:paraId="428F0E14" w14:textId="77777777" w:rsidR="00DA2B03" w:rsidRPr="00B83846" w:rsidRDefault="00DA2B03" w:rsidP="00DF510F">
            <w:pPr>
              <w:keepNext/>
              <w:keepLines/>
              <w:widowControl/>
              <w:tabs>
                <w:tab w:val="decimal" w:pos="340"/>
              </w:tabs>
              <w:rPr>
                <w:rFonts w:cs="Arial"/>
                <w:color w:val="000000"/>
                <w:sz w:val="18"/>
                <w:szCs w:val="18"/>
                <w:lang w:eastAsia="en-GB" w:bidi="ar-SA"/>
              </w:rPr>
            </w:pPr>
            <w:r w:rsidRPr="00B83846">
              <w:rPr>
                <w:rFonts w:cs="Arial"/>
                <w:color w:val="000000"/>
                <w:sz w:val="18"/>
                <w:szCs w:val="18"/>
              </w:rPr>
              <w:t>19</w:t>
            </w:r>
          </w:p>
        </w:tc>
      </w:tr>
      <w:tr w:rsidR="00DA2B03" w:rsidRPr="00B83846" w14:paraId="1A9BECBB" w14:textId="77777777" w:rsidTr="00221A11">
        <w:trPr>
          <w:cantSplit/>
        </w:trPr>
        <w:tc>
          <w:tcPr>
            <w:tcW w:w="1276" w:type="dxa"/>
            <w:shd w:val="clear" w:color="auto" w:fill="D9D9D9" w:themeFill="background1" w:themeFillShade="D9"/>
            <w:vAlign w:val="center"/>
            <w:hideMark/>
          </w:tcPr>
          <w:p w14:paraId="378B040F" w14:textId="77777777" w:rsidR="00DA2B03" w:rsidRPr="00B83846" w:rsidRDefault="00DA2B03"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20.2.2.3</w:t>
            </w:r>
          </w:p>
        </w:tc>
        <w:tc>
          <w:tcPr>
            <w:tcW w:w="451" w:type="dxa"/>
            <w:tcBorders>
              <w:right w:val="nil"/>
            </w:tcBorders>
            <w:shd w:val="clear" w:color="auto" w:fill="D9D9D9" w:themeFill="background1" w:themeFillShade="D9"/>
            <w:vAlign w:val="center"/>
          </w:tcPr>
          <w:p w14:paraId="6B27741C" w14:textId="77777777" w:rsidR="00DA2B03" w:rsidRPr="00B83846" w:rsidRDefault="00DA2B03" w:rsidP="00DF510F">
            <w:pPr>
              <w:keepNext/>
              <w:keepLines/>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639E4D02" w14:textId="77777777" w:rsidR="00DA2B03" w:rsidRPr="00B83846" w:rsidRDefault="00DA2B03"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Cereal products, bars</w:t>
            </w:r>
          </w:p>
        </w:tc>
        <w:tc>
          <w:tcPr>
            <w:tcW w:w="725" w:type="dxa"/>
            <w:shd w:val="clear" w:color="auto" w:fill="auto"/>
            <w:vAlign w:val="center"/>
          </w:tcPr>
          <w:p w14:paraId="4AFD22DD" w14:textId="77777777" w:rsidR="00DA2B03" w:rsidRPr="00B83846" w:rsidRDefault="00DA2B03" w:rsidP="00DF510F">
            <w:pPr>
              <w:keepNext/>
              <w:keepLines/>
              <w:widowControl/>
              <w:tabs>
                <w:tab w:val="decimal" w:pos="340"/>
              </w:tabs>
              <w:rPr>
                <w:rFonts w:cs="Arial"/>
                <w:color w:val="000000"/>
                <w:sz w:val="18"/>
                <w:szCs w:val="18"/>
                <w:lang w:eastAsia="en-GB" w:bidi="ar-SA"/>
              </w:rPr>
            </w:pPr>
          </w:p>
        </w:tc>
        <w:tc>
          <w:tcPr>
            <w:tcW w:w="725" w:type="dxa"/>
          </w:tcPr>
          <w:p w14:paraId="6C2F49A8" w14:textId="77777777" w:rsidR="00DA2B03" w:rsidRPr="00B83846" w:rsidRDefault="00DA2B03" w:rsidP="00DF510F">
            <w:pPr>
              <w:keepNext/>
              <w:keepLines/>
              <w:widowControl/>
              <w:tabs>
                <w:tab w:val="decimal" w:pos="340"/>
              </w:tabs>
              <w:rPr>
                <w:rFonts w:cs="Arial"/>
                <w:color w:val="000000"/>
                <w:sz w:val="18"/>
                <w:szCs w:val="18"/>
              </w:rPr>
            </w:pPr>
          </w:p>
        </w:tc>
        <w:tc>
          <w:tcPr>
            <w:tcW w:w="725" w:type="dxa"/>
            <w:shd w:val="clear" w:color="auto" w:fill="auto"/>
            <w:vAlign w:val="center"/>
          </w:tcPr>
          <w:p w14:paraId="6D2995E9" w14:textId="77777777" w:rsidR="00DA2B03" w:rsidRPr="00B83846" w:rsidRDefault="00DA2B03" w:rsidP="00DF510F">
            <w:pPr>
              <w:keepNext/>
              <w:keepLines/>
              <w:widowControl/>
              <w:tabs>
                <w:tab w:val="decimal" w:pos="340"/>
              </w:tabs>
              <w:rPr>
                <w:rFonts w:cs="Arial"/>
                <w:color w:val="000000"/>
                <w:sz w:val="18"/>
                <w:szCs w:val="18"/>
                <w:lang w:eastAsia="en-GB" w:bidi="ar-SA"/>
              </w:rPr>
            </w:pPr>
            <w:r w:rsidRPr="00B83846">
              <w:rPr>
                <w:rFonts w:cs="Arial"/>
                <w:color w:val="000000"/>
                <w:sz w:val="18"/>
                <w:szCs w:val="18"/>
              </w:rPr>
              <w:t>1</w:t>
            </w:r>
          </w:p>
        </w:tc>
        <w:tc>
          <w:tcPr>
            <w:tcW w:w="725" w:type="dxa"/>
            <w:shd w:val="clear" w:color="auto" w:fill="auto"/>
            <w:vAlign w:val="center"/>
          </w:tcPr>
          <w:p w14:paraId="6F68EA6D" w14:textId="77777777" w:rsidR="00DA2B03" w:rsidRPr="00B83846" w:rsidRDefault="00DA2B03" w:rsidP="00DF510F">
            <w:pPr>
              <w:keepNext/>
              <w:keepLines/>
              <w:widowControl/>
              <w:tabs>
                <w:tab w:val="decimal" w:pos="340"/>
              </w:tabs>
              <w:rPr>
                <w:rFonts w:cs="Arial"/>
                <w:sz w:val="18"/>
                <w:szCs w:val="18"/>
                <w:lang w:eastAsia="en-GB" w:bidi="ar-SA"/>
              </w:rPr>
            </w:pPr>
          </w:p>
        </w:tc>
        <w:tc>
          <w:tcPr>
            <w:tcW w:w="725" w:type="dxa"/>
          </w:tcPr>
          <w:p w14:paraId="26F64F43" w14:textId="77777777" w:rsidR="00DA2B03" w:rsidRPr="00B83846" w:rsidRDefault="00DA2B03" w:rsidP="00DF510F">
            <w:pPr>
              <w:keepNext/>
              <w:keepLines/>
              <w:widowControl/>
              <w:tabs>
                <w:tab w:val="decimal" w:pos="340"/>
              </w:tabs>
              <w:rPr>
                <w:rFonts w:cs="Arial"/>
                <w:sz w:val="18"/>
                <w:szCs w:val="18"/>
              </w:rPr>
            </w:pPr>
          </w:p>
        </w:tc>
        <w:tc>
          <w:tcPr>
            <w:tcW w:w="725" w:type="dxa"/>
            <w:shd w:val="clear" w:color="auto" w:fill="auto"/>
            <w:vAlign w:val="center"/>
          </w:tcPr>
          <w:p w14:paraId="524B73F6" w14:textId="77777777" w:rsidR="00DA2B03" w:rsidRPr="00B83846" w:rsidRDefault="00DA2B03" w:rsidP="00DF510F">
            <w:pPr>
              <w:keepNext/>
              <w:keepLines/>
              <w:widowControl/>
              <w:tabs>
                <w:tab w:val="decimal" w:pos="340"/>
              </w:tabs>
              <w:rPr>
                <w:rFonts w:cs="Arial"/>
                <w:sz w:val="18"/>
                <w:szCs w:val="18"/>
                <w:lang w:eastAsia="en-GB" w:bidi="ar-SA"/>
              </w:rPr>
            </w:pPr>
            <w:r w:rsidRPr="00B83846">
              <w:rPr>
                <w:rFonts w:cs="Arial"/>
                <w:sz w:val="18"/>
                <w:szCs w:val="18"/>
              </w:rPr>
              <w:t>4</w:t>
            </w:r>
          </w:p>
        </w:tc>
        <w:tc>
          <w:tcPr>
            <w:tcW w:w="827" w:type="dxa"/>
            <w:shd w:val="clear" w:color="auto" w:fill="auto"/>
            <w:vAlign w:val="center"/>
          </w:tcPr>
          <w:p w14:paraId="33AC8E2B" w14:textId="77777777" w:rsidR="00DA2B03" w:rsidRPr="00B83846" w:rsidRDefault="00DA2B03" w:rsidP="00DF510F">
            <w:pPr>
              <w:keepNext/>
              <w:keepLines/>
              <w:widowControl/>
              <w:tabs>
                <w:tab w:val="decimal" w:pos="340"/>
              </w:tabs>
              <w:rPr>
                <w:rFonts w:cs="Arial"/>
                <w:sz w:val="18"/>
                <w:szCs w:val="18"/>
                <w:lang w:eastAsia="en-GB" w:bidi="ar-SA"/>
              </w:rPr>
            </w:pPr>
          </w:p>
        </w:tc>
        <w:tc>
          <w:tcPr>
            <w:tcW w:w="827" w:type="dxa"/>
          </w:tcPr>
          <w:p w14:paraId="7DD6CD60" w14:textId="77777777" w:rsidR="00DA2B03" w:rsidRPr="00B83846" w:rsidRDefault="00DA2B03" w:rsidP="00DF510F">
            <w:pPr>
              <w:keepNext/>
              <w:keepLines/>
              <w:widowControl/>
              <w:tabs>
                <w:tab w:val="decimal" w:pos="340"/>
              </w:tabs>
              <w:rPr>
                <w:rFonts w:cs="Arial"/>
                <w:sz w:val="18"/>
                <w:szCs w:val="18"/>
              </w:rPr>
            </w:pPr>
          </w:p>
        </w:tc>
        <w:tc>
          <w:tcPr>
            <w:tcW w:w="827" w:type="dxa"/>
            <w:shd w:val="clear" w:color="auto" w:fill="auto"/>
            <w:vAlign w:val="center"/>
          </w:tcPr>
          <w:p w14:paraId="3491E033" w14:textId="77777777" w:rsidR="00DA2B03" w:rsidRPr="00B83846" w:rsidRDefault="00DA2B03" w:rsidP="00DF510F">
            <w:pPr>
              <w:keepNext/>
              <w:keepLines/>
              <w:widowControl/>
              <w:tabs>
                <w:tab w:val="decimal" w:pos="340"/>
              </w:tabs>
              <w:rPr>
                <w:rFonts w:cs="Arial"/>
                <w:sz w:val="18"/>
                <w:szCs w:val="18"/>
                <w:lang w:eastAsia="en-GB" w:bidi="ar-SA"/>
              </w:rPr>
            </w:pPr>
            <w:r w:rsidRPr="003A7740">
              <w:rPr>
                <w:rFonts w:cs="Arial"/>
                <w:sz w:val="18"/>
                <w:szCs w:val="18"/>
              </w:rPr>
              <w:t>2</w:t>
            </w:r>
          </w:p>
        </w:tc>
        <w:tc>
          <w:tcPr>
            <w:tcW w:w="827" w:type="dxa"/>
            <w:shd w:val="clear" w:color="auto" w:fill="auto"/>
            <w:vAlign w:val="center"/>
          </w:tcPr>
          <w:p w14:paraId="5B52D5F9" w14:textId="77777777" w:rsidR="00DA2B03" w:rsidRPr="00B83846" w:rsidRDefault="00DA2B03" w:rsidP="00DF510F">
            <w:pPr>
              <w:keepNext/>
              <w:keepLines/>
              <w:widowControl/>
              <w:tabs>
                <w:tab w:val="decimal" w:pos="340"/>
              </w:tabs>
              <w:rPr>
                <w:rFonts w:cs="Arial"/>
                <w:color w:val="000000"/>
                <w:sz w:val="18"/>
                <w:szCs w:val="18"/>
                <w:lang w:eastAsia="en-GB" w:bidi="ar-SA"/>
              </w:rPr>
            </w:pPr>
          </w:p>
        </w:tc>
        <w:tc>
          <w:tcPr>
            <w:tcW w:w="827" w:type="dxa"/>
          </w:tcPr>
          <w:p w14:paraId="13E79C4F" w14:textId="77777777" w:rsidR="00DA2B03" w:rsidRPr="00B83846" w:rsidRDefault="00DA2B03" w:rsidP="00DF510F">
            <w:pPr>
              <w:keepNext/>
              <w:keepLines/>
              <w:widowControl/>
              <w:tabs>
                <w:tab w:val="decimal" w:pos="340"/>
              </w:tabs>
              <w:rPr>
                <w:rFonts w:cs="Arial"/>
                <w:color w:val="000000"/>
                <w:sz w:val="18"/>
                <w:szCs w:val="18"/>
              </w:rPr>
            </w:pPr>
          </w:p>
        </w:tc>
        <w:tc>
          <w:tcPr>
            <w:tcW w:w="556" w:type="dxa"/>
            <w:shd w:val="clear" w:color="auto" w:fill="D9D9D9" w:themeFill="background1" w:themeFillShade="D9"/>
            <w:vAlign w:val="center"/>
          </w:tcPr>
          <w:p w14:paraId="376436ED" w14:textId="77777777" w:rsidR="00DA2B03" w:rsidRPr="00B83846" w:rsidRDefault="00DA2B03" w:rsidP="00DF510F">
            <w:pPr>
              <w:keepNext/>
              <w:keepLines/>
              <w:widowControl/>
              <w:tabs>
                <w:tab w:val="decimal" w:pos="340"/>
              </w:tabs>
              <w:rPr>
                <w:rFonts w:cs="Arial"/>
                <w:color w:val="000000"/>
                <w:sz w:val="18"/>
                <w:szCs w:val="18"/>
                <w:lang w:eastAsia="en-GB" w:bidi="ar-SA"/>
              </w:rPr>
            </w:pPr>
            <w:r w:rsidRPr="00B83846">
              <w:rPr>
                <w:rFonts w:cs="Arial"/>
                <w:color w:val="000000"/>
                <w:sz w:val="18"/>
                <w:szCs w:val="18"/>
              </w:rPr>
              <w:t>11</w:t>
            </w:r>
          </w:p>
        </w:tc>
      </w:tr>
    </w:tbl>
    <w:p w14:paraId="583384EF" w14:textId="77777777" w:rsidR="00E907D7" w:rsidRPr="00B83846" w:rsidRDefault="00E907D7" w:rsidP="00E907D7">
      <w:pPr>
        <w:keepNext/>
        <w:keepLines/>
        <w:widowControl/>
        <w:rPr>
          <w:sz w:val="16"/>
          <w:szCs w:val="20"/>
        </w:rPr>
      </w:pPr>
      <w:r w:rsidRPr="00B83846">
        <w:rPr>
          <w:b/>
          <w:sz w:val="16"/>
          <w:szCs w:val="20"/>
        </w:rPr>
        <w:t xml:space="preserve">Note: </w:t>
      </w:r>
      <w:r w:rsidRPr="00B83846">
        <w:rPr>
          <w:sz w:val="16"/>
          <w:szCs w:val="20"/>
        </w:rPr>
        <w:t>Gray shading indicates that the food category / group is a major contributor to L-carnitine dietary intakes</w:t>
      </w:r>
    </w:p>
    <w:p w14:paraId="7A5B4CE6" w14:textId="77777777" w:rsidR="00E907D7" w:rsidRPr="00B83846" w:rsidRDefault="00E907D7" w:rsidP="00E907D7">
      <w:pPr>
        <w:widowControl/>
        <w:rPr>
          <w:sz w:val="20"/>
          <w:szCs w:val="20"/>
        </w:rPr>
      </w:pPr>
      <w:r w:rsidRPr="00B83846">
        <w:rPr>
          <w:sz w:val="20"/>
          <w:szCs w:val="20"/>
        </w:rP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ontributing food categories and food groups for Australian population groups for the Baseline and Consumer Behaviour scenarios using Day 1 only of the 2011-12 NNPAS. Major contributors (greater than or equal to 5% contribution) are also listed."/>
      </w:tblPr>
      <w:tblGrid>
        <w:gridCol w:w="1275"/>
        <w:gridCol w:w="467"/>
        <w:gridCol w:w="3350"/>
        <w:gridCol w:w="742"/>
        <w:gridCol w:w="742"/>
        <w:gridCol w:w="742"/>
        <w:gridCol w:w="742"/>
        <w:gridCol w:w="742"/>
        <w:gridCol w:w="742"/>
        <w:gridCol w:w="742"/>
        <w:gridCol w:w="742"/>
        <w:gridCol w:w="742"/>
        <w:gridCol w:w="742"/>
        <w:gridCol w:w="742"/>
        <w:gridCol w:w="798"/>
      </w:tblGrid>
      <w:tr w:rsidR="00E907D7" w:rsidRPr="00B83846" w14:paraId="352D1C05" w14:textId="77777777" w:rsidTr="00E907D7">
        <w:trPr>
          <w:cantSplit/>
          <w:tblHeader/>
        </w:trPr>
        <w:tc>
          <w:tcPr>
            <w:tcW w:w="5000" w:type="pct"/>
            <w:gridSpan w:val="15"/>
            <w:tcBorders>
              <w:top w:val="nil"/>
              <w:left w:val="nil"/>
              <w:right w:val="nil"/>
            </w:tcBorders>
            <w:shd w:val="clear" w:color="auto" w:fill="auto"/>
            <w:vAlign w:val="center"/>
          </w:tcPr>
          <w:p w14:paraId="1BA21C87" w14:textId="34963FDC" w:rsidR="00E907D7" w:rsidRPr="00B83846" w:rsidRDefault="00E907D7" w:rsidP="00A05C00">
            <w:pPr>
              <w:pStyle w:val="FSTableTitle"/>
            </w:pPr>
            <w:r w:rsidRPr="00B83846">
              <w:lastRenderedPageBreak/>
              <w:t>Table A</w:t>
            </w:r>
            <w:r w:rsidR="00A05C00">
              <w:t>3</w:t>
            </w:r>
            <w:r>
              <w:t>.</w:t>
            </w:r>
            <w:r w:rsidR="00BE485E">
              <w:rPr>
                <w:noProof/>
              </w:rPr>
              <w:fldChar w:fldCharType="begin"/>
            </w:r>
            <w:r w:rsidR="00BE485E">
              <w:rPr>
                <w:noProof/>
              </w:rPr>
              <w:instrText xml:space="preserve"> SEQ Table_A \* ARABIC \s 1 </w:instrText>
            </w:r>
            <w:r w:rsidR="00BE485E">
              <w:rPr>
                <w:noProof/>
              </w:rPr>
              <w:fldChar w:fldCharType="separate"/>
            </w:r>
            <w:r w:rsidR="00872715">
              <w:rPr>
                <w:noProof/>
              </w:rPr>
              <w:t>4</w:t>
            </w:r>
            <w:r w:rsidR="00BE485E">
              <w:rPr>
                <w:noProof/>
              </w:rPr>
              <w:fldChar w:fldCharType="end"/>
            </w:r>
            <w:r w:rsidRPr="00B83846">
              <w:t>: Food contributors to L-carnitine dietary intakes for Australia, based on Day 1 of the 2011-12 NNPAS for general population groups</w:t>
            </w:r>
          </w:p>
        </w:tc>
      </w:tr>
      <w:tr w:rsidR="00E907D7" w:rsidRPr="00B83846" w14:paraId="7CD251AA" w14:textId="77777777" w:rsidTr="001A319B">
        <w:trPr>
          <w:cantSplit/>
          <w:trHeight w:val="281"/>
          <w:tblHeader/>
        </w:trPr>
        <w:tc>
          <w:tcPr>
            <w:tcW w:w="454" w:type="pct"/>
            <w:tcBorders>
              <w:top w:val="nil"/>
              <w:bottom w:val="nil"/>
            </w:tcBorders>
            <w:shd w:val="clear" w:color="auto" w:fill="auto"/>
            <w:vAlign w:val="center"/>
            <w:hideMark/>
          </w:tcPr>
          <w:p w14:paraId="1E98AF67"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Food Code</w:t>
            </w:r>
          </w:p>
        </w:tc>
        <w:tc>
          <w:tcPr>
            <w:tcW w:w="1358" w:type="pct"/>
            <w:gridSpan w:val="2"/>
            <w:tcBorders>
              <w:top w:val="nil"/>
              <w:bottom w:val="nil"/>
            </w:tcBorders>
            <w:shd w:val="clear" w:color="auto" w:fill="auto"/>
            <w:vAlign w:val="center"/>
            <w:hideMark/>
          </w:tcPr>
          <w:p w14:paraId="628DD61C"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Food Group</w:t>
            </w:r>
          </w:p>
        </w:tc>
        <w:tc>
          <w:tcPr>
            <w:tcW w:w="792" w:type="pct"/>
            <w:gridSpan w:val="3"/>
            <w:shd w:val="clear" w:color="auto" w:fill="auto"/>
            <w:vAlign w:val="center"/>
            <w:hideMark/>
          </w:tcPr>
          <w:p w14:paraId="765BEC40"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2-6 years</w:t>
            </w:r>
          </w:p>
        </w:tc>
        <w:tc>
          <w:tcPr>
            <w:tcW w:w="792" w:type="pct"/>
            <w:gridSpan w:val="3"/>
            <w:shd w:val="clear" w:color="auto" w:fill="auto"/>
            <w:vAlign w:val="center"/>
            <w:hideMark/>
          </w:tcPr>
          <w:p w14:paraId="3F834BA9"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7-17 years</w:t>
            </w:r>
          </w:p>
        </w:tc>
        <w:tc>
          <w:tcPr>
            <w:tcW w:w="792" w:type="pct"/>
            <w:gridSpan w:val="3"/>
            <w:shd w:val="clear" w:color="auto" w:fill="auto"/>
            <w:vAlign w:val="center"/>
            <w:hideMark/>
          </w:tcPr>
          <w:p w14:paraId="2AFA6857"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18-70 years</w:t>
            </w:r>
          </w:p>
        </w:tc>
        <w:tc>
          <w:tcPr>
            <w:tcW w:w="812" w:type="pct"/>
            <w:gridSpan w:val="3"/>
            <w:shd w:val="clear" w:color="auto" w:fill="auto"/>
            <w:vAlign w:val="center"/>
            <w:hideMark/>
          </w:tcPr>
          <w:p w14:paraId="63819231"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2 years and above</w:t>
            </w:r>
          </w:p>
        </w:tc>
      </w:tr>
      <w:tr w:rsidR="00E907D7" w:rsidRPr="00B83846" w14:paraId="015D2638" w14:textId="77777777" w:rsidTr="001A319B">
        <w:trPr>
          <w:cantSplit/>
          <w:trHeight w:val="1134"/>
          <w:tblHeader/>
        </w:trPr>
        <w:tc>
          <w:tcPr>
            <w:tcW w:w="454" w:type="pct"/>
            <w:tcBorders>
              <w:top w:val="nil"/>
            </w:tcBorders>
            <w:shd w:val="clear" w:color="auto" w:fill="auto"/>
            <w:vAlign w:val="center"/>
          </w:tcPr>
          <w:p w14:paraId="2B93EE3B" w14:textId="77777777" w:rsidR="00E907D7" w:rsidRPr="00B83846" w:rsidRDefault="00E907D7" w:rsidP="00E907D7">
            <w:pPr>
              <w:widowControl/>
              <w:rPr>
                <w:rFonts w:cs="Arial"/>
                <w:b/>
                <w:bCs/>
                <w:color w:val="000000"/>
                <w:sz w:val="18"/>
                <w:szCs w:val="18"/>
                <w:lang w:eastAsia="en-GB" w:bidi="ar-SA"/>
              </w:rPr>
            </w:pPr>
          </w:p>
        </w:tc>
        <w:tc>
          <w:tcPr>
            <w:tcW w:w="1358" w:type="pct"/>
            <w:gridSpan w:val="2"/>
            <w:tcBorders>
              <w:top w:val="nil"/>
            </w:tcBorders>
            <w:shd w:val="clear" w:color="auto" w:fill="auto"/>
            <w:vAlign w:val="center"/>
          </w:tcPr>
          <w:p w14:paraId="6527107E" w14:textId="77777777" w:rsidR="00E907D7" w:rsidRPr="00B83846" w:rsidRDefault="00E907D7" w:rsidP="00E907D7">
            <w:pPr>
              <w:widowControl/>
              <w:rPr>
                <w:rFonts w:cs="Arial"/>
                <w:b/>
                <w:bCs/>
                <w:color w:val="000000"/>
                <w:sz w:val="18"/>
                <w:szCs w:val="18"/>
                <w:lang w:eastAsia="en-GB" w:bidi="ar-SA"/>
              </w:rPr>
            </w:pPr>
          </w:p>
        </w:tc>
        <w:tc>
          <w:tcPr>
            <w:tcW w:w="264" w:type="pct"/>
            <w:shd w:val="clear" w:color="auto" w:fill="auto"/>
            <w:textDirection w:val="btLr"/>
            <w:vAlign w:val="center"/>
            <w:hideMark/>
          </w:tcPr>
          <w:p w14:paraId="26B0A16B"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64" w:type="pct"/>
            <w:textDirection w:val="btLr"/>
          </w:tcPr>
          <w:p w14:paraId="612D5212"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64" w:type="pct"/>
            <w:shd w:val="clear" w:color="auto" w:fill="auto"/>
            <w:textDirection w:val="btLr"/>
            <w:vAlign w:val="center"/>
            <w:hideMark/>
          </w:tcPr>
          <w:p w14:paraId="22B27254"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264" w:type="pct"/>
            <w:shd w:val="clear" w:color="auto" w:fill="auto"/>
            <w:textDirection w:val="btLr"/>
            <w:vAlign w:val="center"/>
            <w:hideMark/>
          </w:tcPr>
          <w:p w14:paraId="32D8C8AC"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64" w:type="pct"/>
            <w:textDirection w:val="btLr"/>
          </w:tcPr>
          <w:p w14:paraId="41974540"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64" w:type="pct"/>
            <w:shd w:val="clear" w:color="auto" w:fill="auto"/>
            <w:textDirection w:val="btLr"/>
            <w:vAlign w:val="center"/>
            <w:hideMark/>
          </w:tcPr>
          <w:p w14:paraId="63488F20"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264" w:type="pct"/>
            <w:shd w:val="clear" w:color="auto" w:fill="auto"/>
            <w:textDirection w:val="btLr"/>
            <w:vAlign w:val="center"/>
            <w:hideMark/>
          </w:tcPr>
          <w:p w14:paraId="71A7A786"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64" w:type="pct"/>
            <w:textDirection w:val="btLr"/>
          </w:tcPr>
          <w:p w14:paraId="47D2A4E8"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64" w:type="pct"/>
            <w:shd w:val="clear" w:color="auto" w:fill="auto"/>
            <w:textDirection w:val="btLr"/>
            <w:vAlign w:val="center"/>
            <w:hideMark/>
          </w:tcPr>
          <w:p w14:paraId="770D4167"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264" w:type="pct"/>
            <w:shd w:val="clear" w:color="auto" w:fill="auto"/>
            <w:textDirection w:val="btLr"/>
            <w:vAlign w:val="center"/>
            <w:hideMark/>
          </w:tcPr>
          <w:p w14:paraId="5293068D"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64" w:type="pct"/>
            <w:textDirection w:val="btLr"/>
          </w:tcPr>
          <w:p w14:paraId="6D6F2C0E"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84" w:type="pct"/>
            <w:shd w:val="clear" w:color="auto" w:fill="auto"/>
            <w:textDirection w:val="btLr"/>
            <w:vAlign w:val="center"/>
            <w:hideMark/>
          </w:tcPr>
          <w:p w14:paraId="5CFA174F"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r>
      <w:tr w:rsidR="00E907D7" w:rsidRPr="002D2C2D" w14:paraId="3F8590C7" w14:textId="77777777" w:rsidTr="001A319B">
        <w:trPr>
          <w:cantSplit/>
        </w:trPr>
        <w:tc>
          <w:tcPr>
            <w:tcW w:w="454" w:type="pct"/>
            <w:shd w:val="clear" w:color="auto" w:fill="D9D9D9" w:themeFill="background1" w:themeFillShade="D9"/>
            <w:vAlign w:val="center"/>
            <w:hideMark/>
          </w:tcPr>
          <w:p w14:paraId="6D8FD0C3"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1</w:t>
            </w:r>
          </w:p>
        </w:tc>
        <w:tc>
          <w:tcPr>
            <w:tcW w:w="1358" w:type="pct"/>
            <w:gridSpan w:val="2"/>
            <w:tcBorders>
              <w:bottom w:val="single" w:sz="4" w:space="0" w:color="auto"/>
            </w:tcBorders>
            <w:shd w:val="clear" w:color="auto" w:fill="D9D9D9" w:themeFill="background1" w:themeFillShade="D9"/>
            <w:vAlign w:val="center"/>
            <w:hideMark/>
          </w:tcPr>
          <w:p w14:paraId="4148BF4E"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Dairy products (excluding butter &amp; butter fats)</w:t>
            </w:r>
          </w:p>
        </w:tc>
        <w:tc>
          <w:tcPr>
            <w:tcW w:w="264" w:type="pct"/>
            <w:shd w:val="clear" w:color="auto" w:fill="D9D9D9" w:themeFill="background1" w:themeFillShade="D9"/>
            <w:vAlign w:val="center"/>
          </w:tcPr>
          <w:p w14:paraId="1EDFD919"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32</w:t>
            </w:r>
          </w:p>
        </w:tc>
        <w:tc>
          <w:tcPr>
            <w:tcW w:w="264" w:type="pct"/>
            <w:tcBorders>
              <w:bottom w:val="single" w:sz="4" w:space="0" w:color="auto"/>
            </w:tcBorders>
            <w:shd w:val="clear" w:color="auto" w:fill="D9D9D9" w:themeFill="background1" w:themeFillShade="D9"/>
            <w:vAlign w:val="center"/>
          </w:tcPr>
          <w:p w14:paraId="0C984BAF"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31</w:t>
            </w:r>
          </w:p>
        </w:tc>
        <w:tc>
          <w:tcPr>
            <w:tcW w:w="264" w:type="pct"/>
            <w:shd w:val="clear" w:color="auto" w:fill="D9D9D9" w:themeFill="background1" w:themeFillShade="D9"/>
            <w:vAlign w:val="center"/>
          </w:tcPr>
          <w:p w14:paraId="499C2382"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31</w:t>
            </w:r>
          </w:p>
        </w:tc>
        <w:tc>
          <w:tcPr>
            <w:tcW w:w="264" w:type="pct"/>
            <w:shd w:val="clear" w:color="auto" w:fill="D9D9D9" w:themeFill="background1" w:themeFillShade="D9"/>
            <w:vAlign w:val="center"/>
          </w:tcPr>
          <w:p w14:paraId="060B0F24"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19</w:t>
            </w:r>
          </w:p>
        </w:tc>
        <w:tc>
          <w:tcPr>
            <w:tcW w:w="264" w:type="pct"/>
            <w:tcBorders>
              <w:bottom w:val="single" w:sz="4" w:space="0" w:color="auto"/>
            </w:tcBorders>
            <w:shd w:val="clear" w:color="auto" w:fill="D9D9D9" w:themeFill="background1" w:themeFillShade="D9"/>
            <w:vAlign w:val="center"/>
          </w:tcPr>
          <w:p w14:paraId="7150948B"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17</w:t>
            </w:r>
          </w:p>
        </w:tc>
        <w:tc>
          <w:tcPr>
            <w:tcW w:w="264" w:type="pct"/>
            <w:shd w:val="clear" w:color="auto" w:fill="D9D9D9" w:themeFill="background1" w:themeFillShade="D9"/>
            <w:vAlign w:val="center"/>
          </w:tcPr>
          <w:p w14:paraId="3B5F88BD"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14</w:t>
            </w:r>
          </w:p>
        </w:tc>
        <w:tc>
          <w:tcPr>
            <w:tcW w:w="264" w:type="pct"/>
            <w:shd w:val="clear" w:color="auto" w:fill="D9D9D9" w:themeFill="background1" w:themeFillShade="D9"/>
            <w:vAlign w:val="center"/>
          </w:tcPr>
          <w:p w14:paraId="5B0D9865" w14:textId="77777777" w:rsidR="00E907D7" w:rsidRPr="002D2C2D" w:rsidRDefault="00E907D7" w:rsidP="00E907D7">
            <w:pPr>
              <w:widowControl/>
              <w:tabs>
                <w:tab w:val="decimal" w:pos="340"/>
              </w:tabs>
              <w:rPr>
                <w:rFonts w:cs="Arial"/>
                <w:bCs/>
                <w:sz w:val="18"/>
                <w:szCs w:val="18"/>
                <w:lang w:eastAsia="en-GB" w:bidi="ar-SA"/>
              </w:rPr>
            </w:pPr>
            <w:r w:rsidRPr="002D2C2D">
              <w:rPr>
                <w:rFonts w:cs="Arial"/>
                <w:bCs/>
                <w:color w:val="000000"/>
                <w:sz w:val="18"/>
                <w:szCs w:val="18"/>
              </w:rPr>
              <w:t>15</w:t>
            </w:r>
          </w:p>
        </w:tc>
        <w:tc>
          <w:tcPr>
            <w:tcW w:w="264" w:type="pct"/>
            <w:tcBorders>
              <w:bottom w:val="single" w:sz="4" w:space="0" w:color="auto"/>
            </w:tcBorders>
            <w:shd w:val="clear" w:color="auto" w:fill="D9D9D9" w:themeFill="background1" w:themeFillShade="D9"/>
            <w:vAlign w:val="center"/>
          </w:tcPr>
          <w:p w14:paraId="339C3D73"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11</w:t>
            </w:r>
          </w:p>
        </w:tc>
        <w:tc>
          <w:tcPr>
            <w:tcW w:w="264" w:type="pct"/>
            <w:shd w:val="clear" w:color="auto" w:fill="D9D9D9" w:themeFill="background1" w:themeFillShade="D9"/>
            <w:vAlign w:val="center"/>
          </w:tcPr>
          <w:p w14:paraId="0BEE27B1" w14:textId="77777777" w:rsidR="00E907D7" w:rsidRPr="002D2C2D" w:rsidRDefault="00E907D7" w:rsidP="00E907D7">
            <w:pPr>
              <w:widowControl/>
              <w:tabs>
                <w:tab w:val="decimal" w:pos="340"/>
              </w:tabs>
              <w:rPr>
                <w:rFonts w:cs="Arial"/>
                <w:bCs/>
                <w:sz w:val="18"/>
                <w:szCs w:val="18"/>
                <w:lang w:eastAsia="en-GB" w:bidi="ar-SA"/>
              </w:rPr>
            </w:pPr>
            <w:r w:rsidRPr="002D2C2D">
              <w:rPr>
                <w:rFonts w:cs="Arial"/>
                <w:bCs/>
                <w:color w:val="000000"/>
                <w:sz w:val="18"/>
                <w:szCs w:val="18"/>
              </w:rPr>
              <w:t>14</w:t>
            </w:r>
          </w:p>
        </w:tc>
        <w:tc>
          <w:tcPr>
            <w:tcW w:w="264" w:type="pct"/>
            <w:shd w:val="clear" w:color="auto" w:fill="D9D9D9" w:themeFill="background1" w:themeFillShade="D9"/>
            <w:vAlign w:val="center"/>
          </w:tcPr>
          <w:p w14:paraId="4A756CA5"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16</w:t>
            </w:r>
          </w:p>
        </w:tc>
        <w:tc>
          <w:tcPr>
            <w:tcW w:w="264" w:type="pct"/>
            <w:tcBorders>
              <w:bottom w:val="single" w:sz="4" w:space="0" w:color="auto"/>
            </w:tcBorders>
            <w:shd w:val="clear" w:color="auto" w:fill="D9D9D9" w:themeFill="background1" w:themeFillShade="D9"/>
            <w:vAlign w:val="center"/>
          </w:tcPr>
          <w:p w14:paraId="15D5CA63"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13</w:t>
            </w:r>
          </w:p>
        </w:tc>
        <w:tc>
          <w:tcPr>
            <w:tcW w:w="284" w:type="pct"/>
            <w:shd w:val="clear" w:color="auto" w:fill="D9D9D9" w:themeFill="background1" w:themeFillShade="D9"/>
            <w:vAlign w:val="center"/>
          </w:tcPr>
          <w:p w14:paraId="45C206A4"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15</w:t>
            </w:r>
          </w:p>
        </w:tc>
      </w:tr>
      <w:tr w:rsidR="008223CB" w:rsidRPr="00B83846" w14:paraId="6FA5FC88" w14:textId="77777777" w:rsidTr="00221A11">
        <w:trPr>
          <w:cantSplit/>
        </w:trPr>
        <w:tc>
          <w:tcPr>
            <w:tcW w:w="454" w:type="pct"/>
            <w:tcBorders>
              <w:bottom w:val="single" w:sz="4" w:space="0" w:color="auto"/>
            </w:tcBorders>
            <w:shd w:val="clear" w:color="auto" w:fill="D9D9D9" w:themeFill="background1" w:themeFillShade="D9"/>
            <w:vAlign w:val="center"/>
            <w:hideMark/>
          </w:tcPr>
          <w:p w14:paraId="400F2AA6" w14:textId="77777777" w:rsidR="008223CB" w:rsidRPr="00B83846" w:rsidRDefault="008223CB" w:rsidP="00DF510F">
            <w:pPr>
              <w:widowControl/>
              <w:rPr>
                <w:rFonts w:cs="Arial"/>
                <w:color w:val="000000"/>
                <w:sz w:val="18"/>
                <w:szCs w:val="18"/>
                <w:lang w:eastAsia="en-GB" w:bidi="ar-SA"/>
              </w:rPr>
            </w:pPr>
            <w:r w:rsidRPr="00B83846">
              <w:rPr>
                <w:rFonts w:cs="Arial"/>
                <w:color w:val="000000"/>
                <w:sz w:val="18"/>
                <w:szCs w:val="18"/>
                <w:lang w:eastAsia="en-GB" w:bidi="ar-SA"/>
              </w:rPr>
              <w:t>1</w:t>
            </w:r>
          </w:p>
        </w:tc>
        <w:tc>
          <w:tcPr>
            <w:tcW w:w="166" w:type="pct"/>
            <w:tcBorders>
              <w:bottom w:val="single" w:sz="4" w:space="0" w:color="auto"/>
              <w:right w:val="nil"/>
            </w:tcBorders>
            <w:shd w:val="clear" w:color="auto" w:fill="D9D9D9" w:themeFill="background1" w:themeFillShade="D9"/>
            <w:vAlign w:val="center"/>
            <w:hideMark/>
          </w:tcPr>
          <w:p w14:paraId="20E40570" w14:textId="77777777" w:rsidR="008223CB" w:rsidRPr="00B83846" w:rsidRDefault="008223CB" w:rsidP="00DF510F">
            <w:pPr>
              <w:widowControl/>
              <w:rPr>
                <w:rFonts w:cs="Arial"/>
                <w:color w:val="000000"/>
                <w:sz w:val="18"/>
                <w:szCs w:val="18"/>
                <w:lang w:eastAsia="en-GB" w:bidi="ar-SA"/>
              </w:rPr>
            </w:pPr>
          </w:p>
        </w:tc>
        <w:tc>
          <w:tcPr>
            <w:tcW w:w="1192" w:type="pct"/>
            <w:tcBorders>
              <w:left w:val="nil"/>
              <w:bottom w:val="single" w:sz="4" w:space="0" w:color="auto"/>
            </w:tcBorders>
            <w:shd w:val="clear" w:color="auto" w:fill="D9D9D9" w:themeFill="background1" w:themeFillShade="D9"/>
            <w:vAlign w:val="center"/>
            <w:hideMark/>
          </w:tcPr>
          <w:p w14:paraId="66B15913" w14:textId="77777777" w:rsidR="008223CB" w:rsidRPr="00B83846" w:rsidRDefault="008223CB" w:rsidP="00DF510F">
            <w:pPr>
              <w:widowControl/>
              <w:rPr>
                <w:rFonts w:cs="Arial"/>
                <w:color w:val="000000"/>
                <w:sz w:val="18"/>
                <w:szCs w:val="18"/>
                <w:lang w:eastAsia="en-GB" w:bidi="ar-SA"/>
              </w:rPr>
            </w:pPr>
            <w:r w:rsidRPr="00B83846">
              <w:rPr>
                <w:rFonts w:cs="Arial"/>
                <w:color w:val="000000"/>
                <w:sz w:val="18"/>
                <w:szCs w:val="18"/>
                <w:lang w:eastAsia="en-GB" w:bidi="ar-SA"/>
              </w:rPr>
              <w:t>Plain milk</w:t>
            </w:r>
          </w:p>
        </w:tc>
        <w:tc>
          <w:tcPr>
            <w:tcW w:w="264" w:type="pct"/>
            <w:shd w:val="clear" w:color="auto" w:fill="D9D9D9" w:themeFill="background1" w:themeFillShade="D9"/>
            <w:vAlign w:val="center"/>
          </w:tcPr>
          <w:p w14:paraId="3CB3215E"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24</w:t>
            </w:r>
          </w:p>
        </w:tc>
        <w:tc>
          <w:tcPr>
            <w:tcW w:w="264" w:type="pct"/>
            <w:shd w:val="clear" w:color="auto" w:fill="D9D9D9" w:themeFill="background1" w:themeFillShade="D9"/>
            <w:vAlign w:val="center"/>
          </w:tcPr>
          <w:p w14:paraId="3F13E977"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23</w:t>
            </w:r>
          </w:p>
        </w:tc>
        <w:tc>
          <w:tcPr>
            <w:tcW w:w="264" w:type="pct"/>
            <w:shd w:val="clear" w:color="auto" w:fill="auto"/>
            <w:vAlign w:val="center"/>
          </w:tcPr>
          <w:p w14:paraId="79F05DA8"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3</w:t>
            </w:r>
          </w:p>
        </w:tc>
        <w:tc>
          <w:tcPr>
            <w:tcW w:w="264" w:type="pct"/>
            <w:shd w:val="clear" w:color="auto" w:fill="D9D9D9" w:themeFill="background1" w:themeFillShade="D9"/>
            <w:vAlign w:val="center"/>
          </w:tcPr>
          <w:p w14:paraId="1545F7A9"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14</w:t>
            </w:r>
          </w:p>
        </w:tc>
        <w:tc>
          <w:tcPr>
            <w:tcW w:w="264" w:type="pct"/>
            <w:shd w:val="clear" w:color="auto" w:fill="D9D9D9" w:themeFill="background1" w:themeFillShade="D9"/>
            <w:vAlign w:val="center"/>
          </w:tcPr>
          <w:p w14:paraId="383ACB2A"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13</w:t>
            </w:r>
          </w:p>
        </w:tc>
        <w:tc>
          <w:tcPr>
            <w:tcW w:w="264" w:type="pct"/>
            <w:tcBorders>
              <w:bottom w:val="single" w:sz="4" w:space="0" w:color="auto"/>
            </w:tcBorders>
            <w:shd w:val="clear" w:color="auto" w:fill="auto"/>
            <w:vAlign w:val="center"/>
          </w:tcPr>
          <w:p w14:paraId="4290C9A6"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2</w:t>
            </w:r>
          </w:p>
        </w:tc>
        <w:tc>
          <w:tcPr>
            <w:tcW w:w="264" w:type="pct"/>
            <w:shd w:val="clear" w:color="auto" w:fill="D9D9D9" w:themeFill="background1" w:themeFillShade="D9"/>
            <w:vAlign w:val="center"/>
          </w:tcPr>
          <w:p w14:paraId="4794B268"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11</w:t>
            </w:r>
          </w:p>
        </w:tc>
        <w:tc>
          <w:tcPr>
            <w:tcW w:w="264" w:type="pct"/>
            <w:shd w:val="clear" w:color="auto" w:fill="D9D9D9" w:themeFill="background1" w:themeFillShade="D9"/>
            <w:vAlign w:val="center"/>
          </w:tcPr>
          <w:p w14:paraId="2E8D161A"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8</w:t>
            </w:r>
          </w:p>
        </w:tc>
        <w:tc>
          <w:tcPr>
            <w:tcW w:w="264" w:type="pct"/>
            <w:shd w:val="clear" w:color="auto" w:fill="auto"/>
            <w:vAlign w:val="center"/>
          </w:tcPr>
          <w:p w14:paraId="7595A082"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2</w:t>
            </w:r>
          </w:p>
        </w:tc>
        <w:tc>
          <w:tcPr>
            <w:tcW w:w="264" w:type="pct"/>
            <w:shd w:val="clear" w:color="auto" w:fill="D9D9D9" w:themeFill="background1" w:themeFillShade="D9"/>
            <w:vAlign w:val="center"/>
          </w:tcPr>
          <w:p w14:paraId="083B9CDB"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12</w:t>
            </w:r>
          </w:p>
        </w:tc>
        <w:tc>
          <w:tcPr>
            <w:tcW w:w="264" w:type="pct"/>
            <w:shd w:val="clear" w:color="auto" w:fill="D9D9D9" w:themeFill="background1" w:themeFillShade="D9"/>
            <w:vAlign w:val="center"/>
          </w:tcPr>
          <w:p w14:paraId="71FD3A53"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10</w:t>
            </w:r>
          </w:p>
        </w:tc>
        <w:tc>
          <w:tcPr>
            <w:tcW w:w="284" w:type="pct"/>
            <w:shd w:val="clear" w:color="auto" w:fill="auto"/>
            <w:vAlign w:val="center"/>
          </w:tcPr>
          <w:p w14:paraId="1AB367E8"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2</w:t>
            </w:r>
          </w:p>
        </w:tc>
      </w:tr>
      <w:tr w:rsidR="008223CB" w:rsidRPr="00B83846" w14:paraId="39121801" w14:textId="77777777" w:rsidTr="00221A11">
        <w:trPr>
          <w:cantSplit/>
        </w:trPr>
        <w:tc>
          <w:tcPr>
            <w:tcW w:w="454" w:type="pct"/>
            <w:shd w:val="clear" w:color="auto" w:fill="D9D9D9" w:themeFill="background1" w:themeFillShade="D9"/>
            <w:vAlign w:val="center"/>
            <w:hideMark/>
          </w:tcPr>
          <w:p w14:paraId="4DD5D1A9" w14:textId="77777777" w:rsidR="008223CB" w:rsidRPr="00B83846" w:rsidRDefault="008223CB" w:rsidP="00DF510F">
            <w:pPr>
              <w:widowControl/>
              <w:rPr>
                <w:rFonts w:cs="Arial"/>
                <w:color w:val="000000"/>
                <w:sz w:val="18"/>
                <w:szCs w:val="18"/>
                <w:lang w:eastAsia="en-GB" w:bidi="ar-SA"/>
              </w:rPr>
            </w:pPr>
            <w:r w:rsidRPr="00B83846">
              <w:rPr>
                <w:rFonts w:cs="Arial"/>
                <w:color w:val="000000"/>
                <w:sz w:val="18"/>
                <w:szCs w:val="18"/>
                <w:lang w:eastAsia="en-GB" w:bidi="ar-SA"/>
              </w:rPr>
              <w:t>1.1.2</w:t>
            </w:r>
          </w:p>
        </w:tc>
        <w:tc>
          <w:tcPr>
            <w:tcW w:w="166" w:type="pct"/>
            <w:tcBorders>
              <w:right w:val="nil"/>
            </w:tcBorders>
            <w:shd w:val="clear" w:color="auto" w:fill="D9D9D9" w:themeFill="background1" w:themeFillShade="D9"/>
            <w:vAlign w:val="center"/>
          </w:tcPr>
          <w:p w14:paraId="1ED91BBC" w14:textId="77777777" w:rsidR="008223CB" w:rsidRPr="00B83846" w:rsidRDefault="008223CB" w:rsidP="00DF510F">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0A09BEE3" w14:textId="77777777" w:rsidR="008223CB" w:rsidRPr="00B83846" w:rsidRDefault="008223CB" w:rsidP="00DF510F">
            <w:pPr>
              <w:widowControl/>
              <w:rPr>
                <w:rFonts w:cs="Arial"/>
                <w:color w:val="000000"/>
                <w:sz w:val="18"/>
                <w:szCs w:val="18"/>
                <w:lang w:eastAsia="en-GB" w:bidi="ar-SA"/>
              </w:rPr>
            </w:pPr>
            <w:r w:rsidRPr="00B83846">
              <w:rPr>
                <w:rFonts w:cs="Arial"/>
                <w:color w:val="000000"/>
                <w:sz w:val="18"/>
                <w:szCs w:val="18"/>
                <w:lang w:eastAsia="en-GB" w:bidi="ar-SA"/>
              </w:rPr>
              <w:t>Liquid milk products &amp; flavoured liquid milk</w:t>
            </w:r>
          </w:p>
        </w:tc>
        <w:tc>
          <w:tcPr>
            <w:tcW w:w="264" w:type="pct"/>
            <w:shd w:val="clear" w:color="auto" w:fill="auto"/>
            <w:vAlign w:val="center"/>
          </w:tcPr>
          <w:p w14:paraId="32ECB7CC"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1</w:t>
            </w:r>
          </w:p>
        </w:tc>
        <w:tc>
          <w:tcPr>
            <w:tcW w:w="264" w:type="pct"/>
            <w:vAlign w:val="center"/>
          </w:tcPr>
          <w:p w14:paraId="3E53E2D4"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&lt;1</w:t>
            </w:r>
          </w:p>
        </w:tc>
        <w:tc>
          <w:tcPr>
            <w:tcW w:w="264" w:type="pct"/>
            <w:shd w:val="clear" w:color="auto" w:fill="auto"/>
            <w:vAlign w:val="center"/>
          </w:tcPr>
          <w:p w14:paraId="3331B110"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4</w:t>
            </w:r>
          </w:p>
        </w:tc>
        <w:tc>
          <w:tcPr>
            <w:tcW w:w="264" w:type="pct"/>
            <w:shd w:val="clear" w:color="auto" w:fill="auto"/>
            <w:vAlign w:val="center"/>
          </w:tcPr>
          <w:p w14:paraId="146288AF"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1</w:t>
            </w:r>
          </w:p>
        </w:tc>
        <w:tc>
          <w:tcPr>
            <w:tcW w:w="264" w:type="pct"/>
            <w:vAlign w:val="center"/>
          </w:tcPr>
          <w:p w14:paraId="23225B32"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1</w:t>
            </w:r>
          </w:p>
        </w:tc>
        <w:tc>
          <w:tcPr>
            <w:tcW w:w="264" w:type="pct"/>
            <w:shd w:val="clear" w:color="auto" w:fill="D9D9D9" w:themeFill="background1" w:themeFillShade="D9"/>
            <w:vAlign w:val="center"/>
          </w:tcPr>
          <w:p w14:paraId="78115AC9"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5</w:t>
            </w:r>
          </w:p>
        </w:tc>
        <w:tc>
          <w:tcPr>
            <w:tcW w:w="264" w:type="pct"/>
            <w:shd w:val="clear" w:color="auto" w:fill="auto"/>
            <w:vAlign w:val="center"/>
          </w:tcPr>
          <w:p w14:paraId="4CD4D81D"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vAlign w:val="center"/>
          </w:tcPr>
          <w:p w14:paraId="1C73BD8F"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&lt;1</w:t>
            </w:r>
          </w:p>
        </w:tc>
        <w:tc>
          <w:tcPr>
            <w:tcW w:w="264" w:type="pct"/>
            <w:shd w:val="clear" w:color="auto" w:fill="auto"/>
            <w:vAlign w:val="center"/>
          </w:tcPr>
          <w:p w14:paraId="1F3BD571"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4</w:t>
            </w:r>
          </w:p>
        </w:tc>
        <w:tc>
          <w:tcPr>
            <w:tcW w:w="264" w:type="pct"/>
            <w:shd w:val="clear" w:color="auto" w:fill="auto"/>
            <w:vAlign w:val="center"/>
          </w:tcPr>
          <w:p w14:paraId="55781642"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vAlign w:val="center"/>
          </w:tcPr>
          <w:p w14:paraId="7AFAC361"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&lt;1</w:t>
            </w:r>
          </w:p>
        </w:tc>
        <w:tc>
          <w:tcPr>
            <w:tcW w:w="284" w:type="pct"/>
            <w:shd w:val="clear" w:color="auto" w:fill="auto"/>
            <w:vAlign w:val="center"/>
          </w:tcPr>
          <w:p w14:paraId="0126658A"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4</w:t>
            </w:r>
          </w:p>
        </w:tc>
      </w:tr>
      <w:tr w:rsidR="008223CB" w:rsidRPr="00B83846" w14:paraId="316EE24C" w14:textId="77777777" w:rsidTr="00221A11">
        <w:trPr>
          <w:cantSplit/>
        </w:trPr>
        <w:tc>
          <w:tcPr>
            <w:tcW w:w="454" w:type="pct"/>
            <w:shd w:val="clear" w:color="auto" w:fill="D9D9D9" w:themeFill="background1" w:themeFillShade="D9"/>
            <w:vAlign w:val="center"/>
            <w:hideMark/>
          </w:tcPr>
          <w:p w14:paraId="345BB9D2" w14:textId="77777777" w:rsidR="008223CB" w:rsidRPr="00B83846" w:rsidRDefault="008223CB" w:rsidP="00DF510F">
            <w:pPr>
              <w:widowControl/>
              <w:rPr>
                <w:rFonts w:cs="Arial"/>
                <w:color w:val="000000"/>
                <w:sz w:val="18"/>
                <w:szCs w:val="18"/>
                <w:lang w:eastAsia="en-GB" w:bidi="ar-SA"/>
              </w:rPr>
            </w:pPr>
            <w:r w:rsidRPr="00B83846">
              <w:rPr>
                <w:rFonts w:cs="Arial"/>
                <w:color w:val="000000"/>
                <w:sz w:val="18"/>
                <w:szCs w:val="18"/>
                <w:lang w:eastAsia="en-GB" w:bidi="ar-SA"/>
              </w:rPr>
              <w:t>1.2.2</w:t>
            </w:r>
          </w:p>
        </w:tc>
        <w:tc>
          <w:tcPr>
            <w:tcW w:w="166" w:type="pct"/>
            <w:tcBorders>
              <w:right w:val="nil"/>
            </w:tcBorders>
            <w:shd w:val="clear" w:color="auto" w:fill="D9D9D9" w:themeFill="background1" w:themeFillShade="D9"/>
            <w:vAlign w:val="center"/>
          </w:tcPr>
          <w:p w14:paraId="3DF46DE1" w14:textId="77777777" w:rsidR="008223CB" w:rsidRPr="00B83846" w:rsidRDefault="008223CB" w:rsidP="00DF510F">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65281A3E" w14:textId="77777777" w:rsidR="008223CB" w:rsidRPr="00B83846" w:rsidRDefault="008223CB" w:rsidP="00DF510F">
            <w:pPr>
              <w:widowControl/>
              <w:rPr>
                <w:rFonts w:cs="Arial"/>
                <w:color w:val="000000"/>
                <w:sz w:val="18"/>
                <w:szCs w:val="18"/>
                <w:lang w:eastAsia="en-GB" w:bidi="ar-SA"/>
              </w:rPr>
            </w:pPr>
            <w:r w:rsidRPr="00B83846">
              <w:rPr>
                <w:rFonts w:cs="Arial"/>
                <w:color w:val="000000"/>
                <w:sz w:val="18"/>
                <w:szCs w:val="18"/>
                <w:lang w:eastAsia="en-GB" w:bidi="ar-SA"/>
              </w:rPr>
              <w:t>Fermented &amp; rennetted milk products, flavoured</w:t>
            </w:r>
          </w:p>
        </w:tc>
        <w:tc>
          <w:tcPr>
            <w:tcW w:w="264" w:type="pct"/>
            <w:shd w:val="clear" w:color="auto" w:fill="auto"/>
            <w:vAlign w:val="center"/>
          </w:tcPr>
          <w:p w14:paraId="4E839DA1"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4</w:t>
            </w:r>
          </w:p>
        </w:tc>
        <w:tc>
          <w:tcPr>
            <w:tcW w:w="264" w:type="pct"/>
            <w:vAlign w:val="center"/>
          </w:tcPr>
          <w:p w14:paraId="2A4312EA"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4</w:t>
            </w:r>
          </w:p>
        </w:tc>
        <w:tc>
          <w:tcPr>
            <w:tcW w:w="264" w:type="pct"/>
            <w:shd w:val="clear" w:color="auto" w:fill="D9D9D9" w:themeFill="background1" w:themeFillShade="D9"/>
            <w:vAlign w:val="center"/>
          </w:tcPr>
          <w:p w14:paraId="6A396449"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21</w:t>
            </w:r>
          </w:p>
        </w:tc>
        <w:tc>
          <w:tcPr>
            <w:tcW w:w="264" w:type="pct"/>
            <w:shd w:val="clear" w:color="auto" w:fill="auto"/>
            <w:vAlign w:val="center"/>
          </w:tcPr>
          <w:p w14:paraId="36C93716"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1</w:t>
            </w:r>
          </w:p>
        </w:tc>
        <w:tc>
          <w:tcPr>
            <w:tcW w:w="264" w:type="pct"/>
            <w:shd w:val="clear" w:color="auto" w:fill="auto"/>
            <w:vAlign w:val="center"/>
          </w:tcPr>
          <w:p w14:paraId="6053166A"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&lt;1</w:t>
            </w:r>
          </w:p>
        </w:tc>
        <w:tc>
          <w:tcPr>
            <w:tcW w:w="264" w:type="pct"/>
            <w:shd w:val="clear" w:color="auto" w:fill="D9D9D9" w:themeFill="background1" w:themeFillShade="D9"/>
            <w:vAlign w:val="center"/>
          </w:tcPr>
          <w:p w14:paraId="6E8FCF06"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6</w:t>
            </w:r>
          </w:p>
        </w:tc>
        <w:tc>
          <w:tcPr>
            <w:tcW w:w="264" w:type="pct"/>
            <w:shd w:val="clear" w:color="auto" w:fill="auto"/>
            <w:vAlign w:val="center"/>
          </w:tcPr>
          <w:p w14:paraId="1E061650"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vAlign w:val="center"/>
          </w:tcPr>
          <w:p w14:paraId="6A92BBB9"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&lt;1</w:t>
            </w:r>
          </w:p>
        </w:tc>
        <w:tc>
          <w:tcPr>
            <w:tcW w:w="264" w:type="pct"/>
            <w:shd w:val="clear" w:color="auto" w:fill="D9D9D9" w:themeFill="background1" w:themeFillShade="D9"/>
            <w:vAlign w:val="center"/>
          </w:tcPr>
          <w:p w14:paraId="1A389F0C"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6</w:t>
            </w:r>
          </w:p>
        </w:tc>
        <w:tc>
          <w:tcPr>
            <w:tcW w:w="264" w:type="pct"/>
            <w:shd w:val="clear" w:color="auto" w:fill="auto"/>
            <w:vAlign w:val="center"/>
          </w:tcPr>
          <w:p w14:paraId="093A45FC"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1</w:t>
            </w:r>
          </w:p>
        </w:tc>
        <w:tc>
          <w:tcPr>
            <w:tcW w:w="264" w:type="pct"/>
            <w:vAlign w:val="center"/>
          </w:tcPr>
          <w:p w14:paraId="1B9B97FC"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&lt;1</w:t>
            </w:r>
          </w:p>
        </w:tc>
        <w:tc>
          <w:tcPr>
            <w:tcW w:w="284" w:type="pct"/>
            <w:shd w:val="clear" w:color="auto" w:fill="D9D9D9" w:themeFill="background1" w:themeFillShade="D9"/>
            <w:vAlign w:val="center"/>
          </w:tcPr>
          <w:p w14:paraId="3B22644E"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7</w:t>
            </w:r>
          </w:p>
        </w:tc>
      </w:tr>
      <w:tr w:rsidR="00E907D7" w:rsidRPr="002D2C2D" w14:paraId="373EAFD0" w14:textId="77777777" w:rsidTr="001A319B">
        <w:trPr>
          <w:cantSplit/>
        </w:trPr>
        <w:tc>
          <w:tcPr>
            <w:tcW w:w="454" w:type="pct"/>
            <w:shd w:val="clear" w:color="auto" w:fill="auto"/>
            <w:vAlign w:val="center"/>
            <w:hideMark/>
          </w:tcPr>
          <w:p w14:paraId="10733CB7"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2</w:t>
            </w:r>
          </w:p>
        </w:tc>
        <w:tc>
          <w:tcPr>
            <w:tcW w:w="1358" w:type="pct"/>
            <w:gridSpan w:val="2"/>
            <w:tcBorders>
              <w:bottom w:val="single" w:sz="4" w:space="0" w:color="auto"/>
            </w:tcBorders>
            <w:shd w:val="clear" w:color="auto" w:fill="auto"/>
            <w:vAlign w:val="center"/>
          </w:tcPr>
          <w:p w14:paraId="2FED04E9"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All Edible oils &amp; oil emulsions</w:t>
            </w:r>
          </w:p>
        </w:tc>
        <w:tc>
          <w:tcPr>
            <w:tcW w:w="264" w:type="pct"/>
            <w:shd w:val="clear" w:color="auto" w:fill="auto"/>
            <w:vAlign w:val="center"/>
          </w:tcPr>
          <w:p w14:paraId="32E21C9D"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27706ED4"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1F5892E9"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shd w:val="clear" w:color="auto" w:fill="auto"/>
            <w:vAlign w:val="center"/>
          </w:tcPr>
          <w:p w14:paraId="2408AA98"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7B855AAA"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45F4169B"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shd w:val="clear" w:color="auto" w:fill="auto"/>
            <w:vAlign w:val="center"/>
          </w:tcPr>
          <w:p w14:paraId="4014130C" w14:textId="77777777" w:rsidR="00E907D7" w:rsidRPr="002D2C2D" w:rsidRDefault="00E907D7" w:rsidP="00E907D7">
            <w:pPr>
              <w:widowControl/>
              <w:tabs>
                <w:tab w:val="decimal" w:pos="340"/>
              </w:tabs>
              <w:rPr>
                <w:rFonts w:cs="Arial"/>
                <w:bCs/>
                <w:sz w:val="18"/>
                <w:szCs w:val="18"/>
                <w:highlight w:val="magenta"/>
                <w:lang w:eastAsia="en-GB" w:bidi="ar-SA"/>
              </w:rPr>
            </w:pPr>
            <w:r w:rsidRPr="002D2C2D">
              <w:rPr>
                <w:rFonts w:cs="Arial"/>
                <w:bCs/>
                <w:sz w:val="18"/>
                <w:szCs w:val="18"/>
              </w:rPr>
              <w:t>&lt;1</w:t>
            </w:r>
          </w:p>
        </w:tc>
        <w:tc>
          <w:tcPr>
            <w:tcW w:w="264" w:type="pct"/>
            <w:vAlign w:val="center"/>
          </w:tcPr>
          <w:p w14:paraId="5D2B8BEC" w14:textId="77777777" w:rsidR="00E907D7" w:rsidRPr="002D2C2D" w:rsidRDefault="00E907D7" w:rsidP="00E907D7">
            <w:pPr>
              <w:widowControl/>
              <w:tabs>
                <w:tab w:val="decimal" w:pos="340"/>
              </w:tabs>
              <w:rPr>
                <w:rFonts w:cs="Arial"/>
                <w:bCs/>
                <w:sz w:val="18"/>
                <w:szCs w:val="18"/>
              </w:rPr>
            </w:pPr>
            <w:r w:rsidRPr="002D2C2D">
              <w:rPr>
                <w:rFonts w:cs="Arial"/>
                <w:bCs/>
                <w:sz w:val="18"/>
                <w:szCs w:val="18"/>
              </w:rPr>
              <w:t>&lt;1</w:t>
            </w:r>
          </w:p>
        </w:tc>
        <w:tc>
          <w:tcPr>
            <w:tcW w:w="264" w:type="pct"/>
            <w:shd w:val="clear" w:color="auto" w:fill="auto"/>
            <w:vAlign w:val="center"/>
          </w:tcPr>
          <w:p w14:paraId="6AA3D165" w14:textId="77777777" w:rsidR="00E907D7" w:rsidRPr="002D2C2D" w:rsidRDefault="00E907D7" w:rsidP="00E907D7">
            <w:pPr>
              <w:widowControl/>
              <w:tabs>
                <w:tab w:val="decimal" w:pos="340"/>
              </w:tabs>
              <w:rPr>
                <w:rFonts w:cs="Arial"/>
                <w:bCs/>
                <w:sz w:val="18"/>
                <w:szCs w:val="18"/>
                <w:highlight w:val="magenta"/>
                <w:lang w:eastAsia="en-GB" w:bidi="ar-SA"/>
              </w:rPr>
            </w:pPr>
            <w:r w:rsidRPr="002D2C2D">
              <w:rPr>
                <w:rFonts w:cs="Arial"/>
                <w:bCs/>
                <w:sz w:val="18"/>
                <w:szCs w:val="18"/>
              </w:rPr>
              <w:t>&lt;1</w:t>
            </w:r>
          </w:p>
        </w:tc>
        <w:tc>
          <w:tcPr>
            <w:tcW w:w="264" w:type="pct"/>
            <w:shd w:val="clear" w:color="auto" w:fill="auto"/>
            <w:vAlign w:val="center"/>
          </w:tcPr>
          <w:p w14:paraId="29A508C7" w14:textId="77777777" w:rsidR="00E907D7" w:rsidRPr="002D2C2D" w:rsidRDefault="00E907D7" w:rsidP="00E907D7">
            <w:pPr>
              <w:widowControl/>
              <w:tabs>
                <w:tab w:val="decimal" w:pos="340"/>
              </w:tabs>
              <w:rPr>
                <w:rFonts w:cs="Arial"/>
                <w:bCs/>
                <w:sz w:val="18"/>
                <w:szCs w:val="18"/>
                <w:highlight w:val="magenta"/>
                <w:lang w:eastAsia="en-GB" w:bidi="ar-SA"/>
              </w:rPr>
            </w:pPr>
            <w:r w:rsidRPr="002D2C2D">
              <w:rPr>
                <w:rFonts w:cs="Arial"/>
                <w:bCs/>
                <w:sz w:val="18"/>
                <w:szCs w:val="18"/>
              </w:rPr>
              <w:t>&lt;1</w:t>
            </w:r>
          </w:p>
        </w:tc>
        <w:tc>
          <w:tcPr>
            <w:tcW w:w="264" w:type="pct"/>
            <w:vAlign w:val="center"/>
          </w:tcPr>
          <w:p w14:paraId="3B4E8226" w14:textId="77777777" w:rsidR="00E907D7" w:rsidRPr="002D2C2D" w:rsidRDefault="00E907D7" w:rsidP="00E907D7">
            <w:pPr>
              <w:widowControl/>
              <w:tabs>
                <w:tab w:val="decimal" w:pos="340"/>
              </w:tabs>
              <w:rPr>
                <w:rFonts w:cs="Arial"/>
                <w:bCs/>
                <w:sz w:val="18"/>
                <w:szCs w:val="18"/>
              </w:rPr>
            </w:pPr>
            <w:r w:rsidRPr="002D2C2D">
              <w:rPr>
                <w:rFonts w:cs="Arial"/>
                <w:bCs/>
                <w:sz w:val="18"/>
                <w:szCs w:val="18"/>
              </w:rPr>
              <w:t>&lt;1</w:t>
            </w:r>
          </w:p>
        </w:tc>
        <w:tc>
          <w:tcPr>
            <w:tcW w:w="284" w:type="pct"/>
            <w:shd w:val="clear" w:color="auto" w:fill="auto"/>
            <w:vAlign w:val="center"/>
          </w:tcPr>
          <w:p w14:paraId="4DE3CD10" w14:textId="77777777" w:rsidR="00E907D7" w:rsidRPr="002D2C2D" w:rsidRDefault="00E907D7" w:rsidP="00E907D7">
            <w:pPr>
              <w:widowControl/>
              <w:tabs>
                <w:tab w:val="decimal" w:pos="340"/>
              </w:tabs>
              <w:rPr>
                <w:rFonts w:cs="Arial"/>
                <w:bCs/>
                <w:sz w:val="18"/>
                <w:szCs w:val="18"/>
                <w:highlight w:val="magenta"/>
                <w:lang w:eastAsia="en-GB" w:bidi="ar-SA"/>
              </w:rPr>
            </w:pPr>
            <w:r w:rsidRPr="002D2C2D">
              <w:rPr>
                <w:rFonts w:cs="Arial"/>
                <w:bCs/>
                <w:sz w:val="18"/>
                <w:szCs w:val="18"/>
              </w:rPr>
              <w:t>&lt;1</w:t>
            </w:r>
          </w:p>
        </w:tc>
      </w:tr>
      <w:tr w:rsidR="00E907D7" w:rsidRPr="002D2C2D" w14:paraId="4216FD78" w14:textId="77777777" w:rsidTr="001A319B">
        <w:trPr>
          <w:cantSplit/>
        </w:trPr>
        <w:tc>
          <w:tcPr>
            <w:tcW w:w="454" w:type="pct"/>
            <w:shd w:val="clear" w:color="auto" w:fill="auto"/>
            <w:vAlign w:val="center"/>
            <w:hideMark/>
          </w:tcPr>
          <w:p w14:paraId="23920D52"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3</w:t>
            </w:r>
          </w:p>
        </w:tc>
        <w:tc>
          <w:tcPr>
            <w:tcW w:w="1358" w:type="pct"/>
            <w:gridSpan w:val="2"/>
            <w:shd w:val="clear" w:color="auto" w:fill="auto"/>
            <w:vAlign w:val="center"/>
          </w:tcPr>
          <w:p w14:paraId="3515BF55"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All Ice cream &amp; edible ices</w:t>
            </w:r>
          </w:p>
        </w:tc>
        <w:tc>
          <w:tcPr>
            <w:tcW w:w="264" w:type="pct"/>
            <w:shd w:val="clear" w:color="auto" w:fill="auto"/>
            <w:vAlign w:val="center"/>
          </w:tcPr>
          <w:p w14:paraId="1E59F0BB"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1</w:t>
            </w:r>
          </w:p>
        </w:tc>
        <w:tc>
          <w:tcPr>
            <w:tcW w:w="264" w:type="pct"/>
            <w:vAlign w:val="center"/>
          </w:tcPr>
          <w:p w14:paraId="7B74E908"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1</w:t>
            </w:r>
          </w:p>
        </w:tc>
        <w:tc>
          <w:tcPr>
            <w:tcW w:w="264" w:type="pct"/>
            <w:shd w:val="clear" w:color="auto" w:fill="auto"/>
            <w:vAlign w:val="center"/>
          </w:tcPr>
          <w:p w14:paraId="4F1CD376"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4" w:type="pct"/>
            <w:shd w:val="clear" w:color="auto" w:fill="auto"/>
            <w:vAlign w:val="center"/>
          </w:tcPr>
          <w:p w14:paraId="1FE943F0"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2</w:t>
            </w:r>
          </w:p>
        </w:tc>
        <w:tc>
          <w:tcPr>
            <w:tcW w:w="264" w:type="pct"/>
            <w:vAlign w:val="center"/>
          </w:tcPr>
          <w:p w14:paraId="52E02182"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1</w:t>
            </w:r>
          </w:p>
        </w:tc>
        <w:tc>
          <w:tcPr>
            <w:tcW w:w="264" w:type="pct"/>
            <w:shd w:val="clear" w:color="auto" w:fill="auto"/>
            <w:vAlign w:val="center"/>
          </w:tcPr>
          <w:p w14:paraId="7B725176"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4" w:type="pct"/>
            <w:shd w:val="clear" w:color="auto" w:fill="auto"/>
            <w:vAlign w:val="center"/>
          </w:tcPr>
          <w:p w14:paraId="6BAC28E1" w14:textId="77777777" w:rsidR="00E907D7" w:rsidRPr="002D2C2D" w:rsidRDefault="00E907D7" w:rsidP="00E907D7">
            <w:pPr>
              <w:widowControl/>
              <w:tabs>
                <w:tab w:val="decimal" w:pos="340"/>
              </w:tabs>
              <w:rPr>
                <w:rFonts w:cs="Arial"/>
                <w:bCs/>
                <w:sz w:val="18"/>
                <w:szCs w:val="18"/>
                <w:lang w:eastAsia="en-GB" w:bidi="ar-SA"/>
              </w:rPr>
            </w:pPr>
            <w:r w:rsidRPr="002D2C2D">
              <w:rPr>
                <w:rFonts w:cs="Arial"/>
                <w:bCs/>
                <w:color w:val="000000"/>
                <w:sz w:val="18"/>
                <w:szCs w:val="18"/>
              </w:rPr>
              <w:t>&lt;1</w:t>
            </w:r>
          </w:p>
        </w:tc>
        <w:tc>
          <w:tcPr>
            <w:tcW w:w="264" w:type="pct"/>
            <w:vAlign w:val="center"/>
          </w:tcPr>
          <w:p w14:paraId="46A93A3F"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652C5C20" w14:textId="77777777" w:rsidR="00E907D7" w:rsidRPr="002D2C2D" w:rsidRDefault="00E907D7" w:rsidP="00E907D7">
            <w:pPr>
              <w:widowControl/>
              <w:tabs>
                <w:tab w:val="decimal" w:pos="340"/>
              </w:tabs>
              <w:rPr>
                <w:rFonts w:cs="Arial"/>
                <w:bCs/>
                <w:sz w:val="18"/>
                <w:szCs w:val="18"/>
                <w:lang w:eastAsia="en-GB" w:bidi="ar-SA"/>
              </w:rPr>
            </w:pPr>
            <w:r w:rsidRPr="002D2C2D">
              <w:rPr>
                <w:rFonts w:cs="Arial"/>
                <w:bCs/>
                <w:color w:val="000000"/>
                <w:sz w:val="18"/>
                <w:szCs w:val="18"/>
              </w:rPr>
              <w:t>&lt;1</w:t>
            </w:r>
          </w:p>
        </w:tc>
        <w:tc>
          <w:tcPr>
            <w:tcW w:w="264" w:type="pct"/>
            <w:shd w:val="clear" w:color="auto" w:fill="auto"/>
            <w:vAlign w:val="center"/>
          </w:tcPr>
          <w:p w14:paraId="71D71E46"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4" w:type="pct"/>
            <w:vAlign w:val="center"/>
          </w:tcPr>
          <w:p w14:paraId="64B15DC9"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84" w:type="pct"/>
            <w:shd w:val="clear" w:color="auto" w:fill="auto"/>
            <w:vAlign w:val="center"/>
          </w:tcPr>
          <w:p w14:paraId="0367D9B1"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r>
      <w:tr w:rsidR="00E907D7" w:rsidRPr="002D2C2D" w14:paraId="348C1849" w14:textId="77777777" w:rsidTr="001A319B">
        <w:trPr>
          <w:cantSplit/>
        </w:trPr>
        <w:tc>
          <w:tcPr>
            <w:tcW w:w="454" w:type="pct"/>
            <w:shd w:val="clear" w:color="auto" w:fill="auto"/>
            <w:vAlign w:val="center"/>
            <w:hideMark/>
          </w:tcPr>
          <w:p w14:paraId="267C72F3" w14:textId="77777777" w:rsidR="00E907D7" w:rsidRPr="002D2C2D" w:rsidRDefault="00E907D7" w:rsidP="002D2C2D">
            <w:pPr>
              <w:rPr>
                <w:rFonts w:cs="Arial"/>
                <w:bCs/>
                <w:color w:val="000000"/>
                <w:sz w:val="18"/>
                <w:szCs w:val="18"/>
                <w:lang w:eastAsia="en-GB" w:bidi="ar-SA"/>
              </w:rPr>
            </w:pPr>
            <w:r w:rsidRPr="002D2C2D">
              <w:rPr>
                <w:rFonts w:cs="Arial"/>
                <w:bCs/>
                <w:color w:val="000000"/>
                <w:sz w:val="18"/>
                <w:szCs w:val="18"/>
                <w:lang w:eastAsia="en-GB" w:bidi="ar-SA"/>
              </w:rPr>
              <w:t>4</w:t>
            </w:r>
          </w:p>
        </w:tc>
        <w:tc>
          <w:tcPr>
            <w:tcW w:w="1358" w:type="pct"/>
            <w:gridSpan w:val="2"/>
            <w:tcBorders>
              <w:bottom w:val="single" w:sz="4" w:space="0" w:color="auto"/>
            </w:tcBorders>
            <w:shd w:val="clear" w:color="auto" w:fill="auto"/>
            <w:vAlign w:val="center"/>
          </w:tcPr>
          <w:p w14:paraId="0F528A4E" w14:textId="77777777" w:rsidR="00E907D7" w:rsidRPr="002D2C2D" w:rsidRDefault="00E907D7" w:rsidP="00E907D7">
            <w:pPr>
              <w:keepNext/>
              <w:keepLines/>
              <w:widowControl/>
              <w:rPr>
                <w:rFonts w:cs="Arial"/>
                <w:bCs/>
                <w:color w:val="000000"/>
                <w:sz w:val="18"/>
                <w:szCs w:val="18"/>
                <w:lang w:eastAsia="en-GB" w:bidi="ar-SA"/>
              </w:rPr>
            </w:pPr>
            <w:r w:rsidRPr="002D2C2D">
              <w:rPr>
                <w:rFonts w:cs="Arial"/>
                <w:bCs/>
                <w:color w:val="000000"/>
                <w:sz w:val="18"/>
                <w:szCs w:val="18"/>
                <w:lang w:eastAsia="en-GB" w:bidi="ar-SA"/>
              </w:rPr>
              <w:t>All Fruit &amp; vegetables (including fungi/ nuts/ seeds/ herbs/ spices)</w:t>
            </w:r>
          </w:p>
        </w:tc>
        <w:tc>
          <w:tcPr>
            <w:tcW w:w="264" w:type="pct"/>
            <w:shd w:val="clear" w:color="auto" w:fill="auto"/>
            <w:vAlign w:val="center"/>
          </w:tcPr>
          <w:p w14:paraId="6C908463" w14:textId="77777777" w:rsidR="00E907D7" w:rsidRPr="002D2C2D" w:rsidRDefault="00E907D7" w:rsidP="00E907D7">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3</w:t>
            </w:r>
          </w:p>
        </w:tc>
        <w:tc>
          <w:tcPr>
            <w:tcW w:w="264" w:type="pct"/>
            <w:vAlign w:val="center"/>
          </w:tcPr>
          <w:p w14:paraId="7F33B0B0"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3</w:t>
            </w:r>
          </w:p>
        </w:tc>
        <w:tc>
          <w:tcPr>
            <w:tcW w:w="264" w:type="pct"/>
            <w:shd w:val="clear" w:color="auto" w:fill="auto"/>
            <w:vAlign w:val="center"/>
          </w:tcPr>
          <w:p w14:paraId="7D0E5156" w14:textId="77777777" w:rsidR="00E907D7" w:rsidRPr="002D2C2D" w:rsidRDefault="00E907D7" w:rsidP="00E907D7">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shd w:val="clear" w:color="auto" w:fill="auto"/>
            <w:vAlign w:val="center"/>
          </w:tcPr>
          <w:p w14:paraId="295344C2" w14:textId="77777777" w:rsidR="00E907D7" w:rsidRPr="002D2C2D" w:rsidRDefault="00E907D7" w:rsidP="00E907D7">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2</w:t>
            </w:r>
          </w:p>
        </w:tc>
        <w:tc>
          <w:tcPr>
            <w:tcW w:w="264" w:type="pct"/>
            <w:vAlign w:val="center"/>
          </w:tcPr>
          <w:p w14:paraId="7A818B55"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2</w:t>
            </w:r>
          </w:p>
        </w:tc>
        <w:tc>
          <w:tcPr>
            <w:tcW w:w="264" w:type="pct"/>
            <w:shd w:val="clear" w:color="auto" w:fill="auto"/>
            <w:vAlign w:val="center"/>
          </w:tcPr>
          <w:p w14:paraId="56CB394F" w14:textId="77777777" w:rsidR="00E907D7" w:rsidRPr="002D2C2D" w:rsidRDefault="00E907D7" w:rsidP="00E907D7">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shd w:val="clear" w:color="auto" w:fill="auto"/>
            <w:vAlign w:val="center"/>
          </w:tcPr>
          <w:p w14:paraId="4D62683C" w14:textId="77777777" w:rsidR="00E907D7" w:rsidRPr="002D2C2D" w:rsidRDefault="00E907D7" w:rsidP="00E907D7">
            <w:pPr>
              <w:keepNext/>
              <w:keepLines/>
              <w:widowControl/>
              <w:tabs>
                <w:tab w:val="decimal" w:pos="340"/>
              </w:tabs>
              <w:rPr>
                <w:rFonts w:cs="Arial"/>
                <w:bCs/>
                <w:sz w:val="18"/>
                <w:szCs w:val="18"/>
                <w:highlight w:val="magenta"/>
                <w:lang w:eastAsia="en-GB" w:bidi="ar-SA"/>
              </w:rPr>
            </w:pPr>
            <w:r w:rsidRPr="002D2C2D">
              <w:rPr>
                <w:rFonts w:cs="Arial"/>
                <w:bCs/>
                <w:color w:val="000000"/>
                <w:sz w:val="18"/>
                <w:szCs w:val="18"/>
              </w:rPr>
              <w:t>2</w:t>
            </w:r>
          </w:p>
        </w:tc>
        <w:tc>
          <w:tcPr>
            <w:tcW w:w="264" w:type="pct"/>
            <w:vAlign w:val="center"/>
          </w:tcPr>
          <w:p w14:paraId="5345AC26"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2</w:t>
            </w:r>
          </w:p>
        </w:tc>
        <w:tc>
          <w:tcPr>
            <w:tcW w:w="264" w:type="pct"/>
            <w:shd w:val="clear" w:color="auto" w:fill="auto"/>
            <w:vAlign w:val="center"/>
          </w:tcPr>
          <w:p w14:paraId="32EA0C4A" w14:textId="77777777" w:rsidR="00E907D7" w:rsidRPr="002D2C2D" w:rsidRDefault="00E907D7" w:rsidP="00E907D7">
            <w:pPr>
              <w:keepNext/>
              <w:keepLines/>
              <w:widowControl/>
              <w:tabs>
                <w:tab w:val="decimal" w:pos="340"/>
              </w:tabs>
              <w:rPr>
                <w:rFonts w:cs="Arial"/>
                <w:bCs/>
                <w:sz w:val="18"/>
                <w:szCs w:val="18"/>
                <w:highlight w:val="magenta"/>
                <w:lang w:eastAsia="en-GB" w:bidi="ar-SA"/>
              </w:rPr>
            </w:pPr>
            <w:r w:rsidRPr="002D2C2D">
              <w:rPr>
                <w:rFonts w:cs="Arial"/>
                <w:bCs/>
                <w:color w:val="000000"/>
                <w:sz w:val="18"/>
                <w:szCs w:val="18"/>
              </w:rPr>
              <w:t>&lt;1</w:t>
            </w:r>
          </w:p>
        </w:tc>
        <w:tc>
          <w:tcPr>
            <w:tcW w:w="264" w:type="pct"/>
            <w:shd w:val="clear" w:color="auto" w:fill="auto"/>
            <w:vAlign w:val="center"/>
          </w:tcPr>
          <w:p w14:paraId="57E64E98" w14:textId="77777777" w:rsidR="00E907D7" w:rsidRPr="002D2C2D" w:rsidRDefault="00E907D7" w:rsidP="00E907D7">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2</w:t>
            </w:r>
          </w:p>
        </w:tc>
        <w:tc>
          <w:tcPr>
            <w:tcW w:w="264" w:type="pct"/>
            <w:vAlign w:val="center"/>
          </w:tcPr>
          <w:p w14:paraId="396203A5"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2</w:t>
            </w:r>
          </w:p>
        </w:tc>
        <w:tc>
          <w:tcPr>
            <w:tcW w:w="284" w:type="pct"/>
            <w:shd w:val="clear" w:color="auto" w:fill="auto"/>
            <w:vAlign w:val="center"/>
          </w:tcPr>
          <w:p w14:paraId="0032B666" w14:textId="77777777" w:rsidR="00E907D7" w:rsidRPr="002D2C2D" w:rsidRDefault="00E907D7" w:rsidP="00E907D7">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r>
      <w:tr w:rsidR="00E907D7" w:rsidRPr="002D2C2D" w14:paraId="06C2568B" w14:textId="77777777" w:rsidTr="001A319B">
        <w:trPr>
          <w:cantSplit/>
        </w:trPr>
        <w:tc>
          <w:tcPr>
            <w:tcW w:w="454" w:type="pct"/>
            <w:shd w:val="clear" w:color="auto" w:fill="D9D9D9" w:themeFill="background1" w:themeFillShade="D9"/>
            <w:vAlign w:val="center"/>
            <w:hideMark/>
          </w:tcPr>
          <w:p w14:paraId="7367ECE7" w14:textId="77777777" w:rsidR="00E907D7" w:rsidRPr="002D2C2D" w:rsidRDefault="00E907D7" w:rsidP="002D2C2D">
            <w:pPr>
              <w:rPr>
                <w:rFonts w:cs="Arial"/>
                <w:bCs/>
                <w:color w:val="000000"/>
                <w:sz w:val="18"/>
                <w:szCs w:val="18"/>
                <w:lang w:eastAsia="en-GB" w:bidi="ar-SA"/>
              </w:rPr>
            </w:pPr>
            <w:r w:rsidRPr="002D2C2D">
              <w:rPr>
                <w:rFonts w:cs="Arial"/>
                <w:bCs/>
                <w:color w:val="000000"/>
                <w:sz w:val="18"/>
                <w:szCs w:val="18"/>
                <w:lang w:eastAsia="en-GB" w:bidi="ar-SA"/>
              </w:rPr>
              <w:t>5</w:t>
            </w:r>
          </w:p>
        </w:tc>
        <w:tc>
          <w:tcPr>
            <w:tcW w:w="1358" w:type="pct"/>
            <w:gridSpan w:val="2"/>
            <w:tcBorders>
              <w:bottom w:val="single" w:sz="4" w:space="0" w:color="auto"/>
            </w:tcBorders>
            <w:shd w:val="clear" w:color="auto" w:fill="D9D9D9" w:themeFill="background1" w:themeFillShade="D9"/>
            <w:vAlign w:val="center"/>
          </w:tcPr>
          <w:p w14:paraId="74F845BD" w14:textId="77777777" w:rsidR="00E907D7" w:rsidRPr="002D2C2D" w:rsidRDefault="00E907D7" w:rsidP="00E907D7">
            <w:pPr>
              <w:keepNext/>
              <w:keepLines/>
              <w:widowControl/>
              <w:rPr>
                <w:rFonts w:cs="Arial"/>
                <w:bCs/>
                <w:color w:val="000000"/>
                <w:sz w:val="18"/>
                <w:szCs w:val="18"/>
                <w:lang w:eastAsia="en-GB" w:bidi="ar-SA"/>
              </w:rPr>
            </w:pPr>
            <w:r w:rsidRPr="002D2C2D">
              <w:rPr>
                <w:rFonts w:cs="Arial"/>
                <w:bCs/>
                <w:color w:val="000000"/>
                <w:sz w:val="18"/>
                <w:szCs w:val="18"/>
                <w:lang w:eastAsia="en-GB" w:bidi="ar-SA"/>
              </w:rPr>
              <w:t>All Confectionery</w:t>
            </w:r>
          </w:p>
        </w:tc>
        <w:tc>
          <w:tcPr>
            <w:tcW w:w="264" w:type="pct"/>
            <w:shd w:val="clear" w:color="auto" w:fill="auto"/>
            <w:vAlign w:val="center"/>
          </w:tcPr>
          <w:p w14:paraId="73984C2F" w14:textId="77777777" w:rsidR="00E907D7" w:rsidRPr="002D2C2D" w:rsidRDefault="00E907D7" w:rsidP="00E907D7">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1</w:t>
            </w:r>
          </w:p>
        </w:tc>
        <w:tc>
          <w:tcPr>
            <w:tcW w:w="264" w:type="pct"/>
            <w:vAlign w:val="center"/>
          </w:tcPr>
          <w:p w14:paraId="34AF8FE6"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1</w:t>
            </w:r>
          </w:p>
        </w:tc>
        <w:tc>
          <w:tcPr>
            <w:tcW w:w="264" w:type="pct"/>
            <w:shd w:val="clear" w:color="auto" w:fill="D9D9D9" w:themeFill="background1" w:themeFillShade="D9"/>
            <w:vAlign w:val="center"/>
          </w:tcPr>
          <w:p w14:paraId="4E3048E4" w14:textId="77777777" w:rsidR="00E907D7" w:rsidRPr="002D2C2D" w:rsidRDefault="00E907D7" w:rsidP="00E907D7">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7</w:t>
            </w:r>
          </w:p>
        </w:tc>
        <w:tc>
          <w:tcPr>
            <w:tcW w:w="264" w:type="pct"/>
            <w:shd w:val="clear" w:color="auto" w:fill="auto"/>
            <w:vAlign w:val="center"/>
          </w:tcPr>
          <w:p w14:paraId="2D69209B" w14:textId="77777777" w:rsidR="00E907D7" w:rsidRPr="002D2C2D" w:rsidRDefault="00E907D7" w:rsidP="00E907D7">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1</w:t>
            </w:r>
          </w:p>
        </w:tc>
        <w:tc>
          <w:tcPr>
            <w:tcW w:w="264" w:type="pct"/>
            <w:vAlign w:val="center"/>
          </w:tcPr>
          <w:p w14:paraId="3514A29E"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1</w:t>
            </w:r>
          </w:p>
        </w:tc>
        <w:tc>
          <w:tcPr>
            <w:tcW w:w="264" w:type="pct"/>
            <w:shd w:val="clear" w:color="auto" w:fill="D9D9D9" w:themeFill="background1" w:themeFillShade="D9"/>
            <w:vAlign w:val="center"/>
          </w:tcPr>
          <w:p w14:paraId="73AF45BC" w14:textId="77777777" w:rsidR="00E907D7" w:rsidRPr="002D2C2D" w:rsidRDefault="00E907D7" w:rsidP="00E907D7">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7</w:t>
            </w:r>
          </w:p>
        </w:tc>
        <w:tc>
          <w:tcPr>
            <w:tcW w:w="264" w:type="pct"/>
            <w:shd w:val="clear" w:color="auto" w:fill="auto"/>
            <w:vAlign w:val="center"/>
          </w:tcPr>
          <w:p w14:paraId="2613424C" w14:textId="77777777" w:rsidR="00E907D7" w:rsidRPr="002D2C2D" w:rsidRDefault="00E907D7" w:rsidP="00E907D7">
            <w:pPr>
              <w:keepNext/>
              <w:keepLines/>
              <w:widowControl/>
              <w:tabs>
                <w:tab w:val="decimal" w:pos="340"/>
              </w:tabs>
              <w:rPr>
                <w:rFonts w:cs="Arial"/>
                <w:bCs/>
                <w:sz w:val="18"/>
                <w:szCs w:val="18"/>
                <w:highlight w:val="magenta"/>
                <w:lang w:eastAsia="en-GB" w:bidi="ar-SA"/>
              </w:rPr>
            </w:pPr>
            <w:r w:rsidRPr="002D2C2D">
              <w:rPr>
                <w:rFonts w:cs="Arial"/>
                <w:bCs/>
                <w:color w:val="000000"/>
                <w:sz w:val="18"/>
                <w:szCs w:val="18"/>
              </w:rPr>
              <w:t>&lt;1</w:t>
            </w:r>
          </w:p>
        </w:tc>
        <w:tc>
          <w:tcPr>
            <w:tcW w:w="264" w:type="pct"/>
            <w:vAlign w:val="center"/>
          </w:tcPr>
          <w:p w14:paraId="4BE320F8"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6374AF3F" w14:textId="77777777" w:rsidR="00E907D7" w:rsidRPr="002D2C2D" w:rsidRDefault="00E907D7" w:rsidP="00E907D7">
            <w:pPr>
              <w:keepNext/>
              <w:keepLines/>
              <w:widowControl/>
              <w:tabs>
                <w:tab w:val="decimal" w:pos="340"/>
              </w:tabs>
              <w:rPr>
                <w:rFonts w:cs="Arial"/>
                <w:bCs/>
                <w:sz w:val="18"/>
                <w:szCs w:val="18"/>
                <w:highlight w:val="magenta"/>
                <w:lang w:eastAsia="en-GB" w:bidi="ar-SA"/>
              </w:rPr>
            </w:pPr>
            <w:r w:rsidRPr="002D2C2D">
              <w:rPr>
                <w:rFonts w:cs="Arial"/>
                <w:bCs/>
                <w:color w:val="000000"/>
                <w:sz w:val="18"/>
                <w:szCs w:val="18"/>
              </w:rPr>
              <w:t>4</w:t>
            </w:r>
          </w:p>
        </w:tc>
        <w:tc>
          <w:tcPr>
            <w:tcW w:w="264" w:type="pct"/>
            <w:shd w:val="clear" w:color="auto" w:fill="auto"/>
            <w:vAlign w:val="center"/>
          </w:tcPr>
          <w:p w14:paraId="0E73E5F9" w14:textId="77777777" w:rsidR="00E907D7" w:rsidRPr="002D2C2D" w:rsidRDefault="00E907D7" w:rsidP="00E907D7">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0F4A2C05"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&lt;1</w:t>
            </w:r>
          </w:p>
        </w:tc>
        <w:tc>
          <w:tcPr>
            <w:tcW w:w="284" w:type="pct"/>
            <w:shd w:val="clear" w:color="auto" w:fill="D9D9D9" w:themeFill="background1" w:themeFillShade="D9"/>
            <w:vAlign w:val="center"/>
          </w:tcPr>
          <w:p w14:paraId="2B8775E3" w14:textId="77777777" w:rsidR="00E907D7" w:rsidRPr="002D2C2D" w:rsidRDefault="00E907D7" w:rsidP="00E907D7">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5</w:t>
            </w:r>
          </w:p>
        </w:tc>
      </w:tr>
      <w:tr w:rsidR="00E907D7" w:rsidRPr="002D2C2D" w14:paraId="1B70046C" w14:textId="77777777" w:rsidTr="001A319B">
        <w:trPr>
          <w:cantSplit/>
        </w:trPr>
        <w:tc>
          <w:tcPr>
            <w:tcW w:w="454" w:type="pct"/>
            <w:shd w:val="clear" w:color="auto" w:fill="D9D9D9" w:themeFill="background1" w:themeFillShade="D9"/>
            <w:vAlign w:val="center"/>
            <w:hideMark/>
          </w:tcPr>
          <w:p w14:paraId="632A86CC"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6</w:t>
            </w:r>
          </w:p>
        </w:tc>
        <w:tc>
          <w:tcPr>
            <w:tcW w:w="1358" w:type="pct"/>
            <w:gridSpan w:val="2"/>
            <w:tcBorders>
              <w:bottom w:val="single" w:sz="4" w:space="0" w:color="auto"/>
            </w:tcBorders>
            <w:shd w:val="clear" w:color="auto" w:fill="D9D9D9" w:themeFill="background1" w:themeFillShade="D9"/>
            <w:vAlign w:val="center"/>
          </w:tcPr>
          <w:p w14:paraId="71823D89"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All Cereals &amp; cereal products</w:t>
            </w:r>
          </w:p>
        </w:tc>
        <w:tc>
          <w:tcPr>
            <w:tcW w:w="264" w:type="pct"/>
            <w:shd w:val="clear" w:color="auto" w:fill="auto"/>
            <w:vAlign w:val="center"/>
          </w:tcPr>
          <w:p w14:paraId="2C7FB385"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3A16CDCF"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D9D9D9" w:themeFill="background1" w:themeFillShade="D9"/>
            <w:vAlign w:val="center"/>
          </w:tcPr>
          <w:p w14:paraId="17E24589"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5</w:t>
            </w:r>
          </w:p>
        </w:tc>
        <w:tc>
          <w:tcPr>
            <w:tcW w:w="264" w:type="pct"/>
            <w:shd w:val="clear" w:color="auto" w:fill="auto"/>
            <w:vAlign w:val="center"/>
          </w:tcPr>
          <w:p w14:paraId="5E92493F"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2D10E3BC"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7BFD61B5"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3</w:t>
            </w:r>
          </w:p>
        </w:tc>
        <w:tc>
          <w:tcPr>
            <w:tcW w:w="264" w:type="pct"/>
            <w:shd w:val="clear" w:color="auto" w:fill="auto"/>
            <w:vAlign w:val="center"/>
          </w:tcPr>
          <w:p w14:paraId="429A68B8" w14:textId="77777777" w:rsidR="00E907D7" w:rsidRPr="002D2C2D" w:rsidRDefault="00E907D7" w:rsidP="00E907D7">
            <w:pPr>
              <w:widowControl/>
              <w:tabs>
                <w:tab w:val="decimal" w:pos="340"/>
              </w:tabs>
              <w:rPr>
                <w:rFonts w:cs="Arial"/>
                <w:bCs/>
                <w:sz w:val="18"/>
                <w:szCs w:val="18"/>
                <w:highlight w:val="magenta"/>
                <w:lang w:eastAsia="en-GB" w:bidi="ar-SA"/>
              </w:rPr>
            </w:pPr>
            <w:r w:rsidRPr="002D2C2D">
              <w:rPr>
                <w:rFonts w:cs="Arial"/>
                <w:bCs/>
                <w:color w:val="000000"/>
                <w:sz w:val="18"/>
                <w:szCs w:val="18"/>
              </w:rPr>
              <w:t>&lt;1</w:t>
            </w:r>
          </w:p>
        </w:tc>
        <w:tc>
          <w:tcPr>
            <w:tcW w:w="264" w:type="pct"/>
            <w:vAlign w:val="center"/>
          </w:tcPr>
          <w:p w14:paraId="38B0405F"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D9D9D9" w:themeFill="background1" w:themeFillShade="D9"/>
            <w:vAlign w:val="center"/>
          </w:tcPr>
          <w:p w14:paraId="5CA25B12" w14:textId="77777777" w:rsidR="00E907D7" w:rsidRPr="002D2C2D" w:rsidRDefault="00E907D7" w:rsidP="00E907D7">
            <w:pPr>
              <w:widowControl/>
              <w:tabs>
                <w:tab w:val="decimal" w:pos="340"/>
              </w:tabs>
              <w:rPr>
                <w:rFonts w:cs="Arial"/>
                <w:bCs/>
                <w:sz w:val="18"/>
                <w:szCs w:val="18"/>
                <w:highlight w:val="magenta"/>
                <w:lang w:eastAsia="en-GB" w:bidi="ar-SA"/>
              </w:rPr>
            </w:pPr>
            <w:r w:rsidRPr="002D2C2D">
              <w:rPr>
                <w:rFonts w:cs="Arial"/>
                <w:bCs/>
                <w:color w:val="000000"/>
                <w:sz w:val="18"/>
                <w:szCs w:val="18"/>
              </w:rPr>
              <w:t>5</w:t>
            </w:r>
          </w:p>
        </w:tc>
        <w:tc>
          <w:tcPr>
            <w:tcW w:w="264" w:type="pct"/>
            <w:shd w:val="clear" w:color="auto" w:fill="auto"/>
            <w:vAlign w:val="center"/>
          </w:tcPr>
          <w:p w14:paraId="5B8CA438"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3D84DAA6"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84" w:type="pct"/>
            <w:shd w:val="clear" w:color="auto" w:fill="D9D9D9" w:themeFill="background1" w:themeFillShade="D9"/>
            <w:vAlign w:val="center"/>
          </w:tcPr>
          <w:p w14:paraId="2CC4F822"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5</w:t>
            </w:r>
          </w:p>
        </w:tc>
      </w:tr>
      <w:tr w:rsidR="00E907D7" w:rsidRPr="002D2C2D" w14:paraId="286CB7A2" w14:textId="77777777" w:rsidTr="001A319B">
        <w:trPr>
          <w:cantSplit/>
        </w:trPr>
        <w:tc>
          <w:tcPr>
            <w:tcW w:w="454" w:type="pct"/>
            <w:shd w:val="clear" w:color="auto" w:fill="auto"/>
            <w:vAlign w:val="center"/>
            <w:hideMark/>
          </w:tcPr>
          <w:p w14:paraId="09091CE4"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7</w:t>
            </w:r>
          </w:p>
        </w:tc>
        <w:tc>
          <w:tcPr>
            <w:tcW w:w="1358" w:type="pct"/>
            <w:gridSpan w:val="2"/>
            <w:tcBorders>
              <w:bottom w:val="single" w:sz="4" w:space="0" w:color="auto"/>
            </w:tcBorders>
            <w:shd w:val="clear" w:color="auto" w:fill="auto"/>
            <w:vAlign w:val="center"/>
          </w:tcPr>
          <w:p w14:paraId="3DA5FB52"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All Breads &amp; bakery products</w:t>
            </w:r>
          </w:p>
        </w:tc>
        <w:tc>
          <w:tcPr>
            <w:tcW w:w="264" w:type="pct"/>
            <w:shd w:val="clear" w:color="auto" w:fill="auto"/>
            <w:vAlign w:val="center"/>
          </w:tcPr>
          <w:p w14:paraId="23A73DE0"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61FD7FFB"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5523B692"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shd w:val="clear" w:color="auto" w:fill="auto"/>
            <w:vAlign w:val="center"/>
          </w:tcPr>
          <w:p w14:paraId="561FD894"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1EC481EE"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73B94AF8"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shd w:val="clear" w:color="auto" w:fill="auto"/>
            <w:vAlign w:val="center"/>
          </w:tcPr>
          <w:p w14:paraId="267DFF2F" w14:textId="77777777" w:rsidR="00E907D7" w:rsidRPr="002D2C2D" w:rsidRDefault="00E907D7" w:rsidP="00E907D7">
            <w:pPr>
              <w:widowControl/>
              <w:tabs>
                <w:tab w:val="decimal" w:pos="340"/>
              </w:tabs>
              <w:rPr>
                <w:rFonts w:cs="Arial"/>
                <w:bCs/>
                <w:sz w:val="18"/>
                <w:szCs w:val="18"/>
                <w:highlight w:val="magenta"/>
                <w:lang w:eastAsia="en-GB" w:bidi="ar-SA"/>
              </w:rPr>
            </w:pPr>
            <w:r w:rsidRPr="002D2C2D">
              <w:rPr>
                <w:rFonts w:cs="Arial"/>
                <w:bCs/>
                <w:color w:val="000000"/>
                <w:sz w:val="18"/>
                <w:szCs w:val="18"/>
              </w:rPr>
              <w:t>&lt;1</w:t>
            </w:r>
          </w:p>
        </w:tc>
        <w:tc>
          <w:tcPr>
            <w:tcW w:w="264" w:type="pct"/>
            <w:vAlign w:val="center"/>
          </w:tcPr>
          <w:p w14:paraId="4AB387EA"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6471EDAE" w14:textId="77777777" w:rsidR="00E907D7" w:rsidRPr="002D2C2D" w:rsidRDefault="00E907D7" w:rsidP="00E907D7">
            <w:pPr>
              <w:widowControl/>
              <w:tabs>
                <w:tab w:val="decimal" w:pos="340"/>
              </w:tabs>
              <w:rPr>
                <w:rFonts w:cs="Arial"/>
                <w:bCs/>
                <w:sz w:val="18"/>
                <w:szCs w:val="18"/>
                <w:highlight w:val="magenta"/>
                <w:lang w:eastAsia="en-GB" w:bidi="ar-SA"/>
              </w:rPr>
            </w:pPr>
            <w:r w:rsidRPr="002D2C2D">
              <w:rPr>
                <w:rFonts w:cs="Arial"/>
                <w:bCs/>
                <w:color w:val="000000"/>
                <w:sz w:val="18"/>
                <w:szCs w:val="18"/>
              </w:rPr>
              <w:t>&lt;1</w:t>
            </w:r>
          </w:p>
        </w:tc>
        <w:tc>
          <w:tcPr>
            <w:tcW w:w="264" w:type="pct"/>
            <w:shd w:val="clear" w:color="auto" w:fill="auto"/>
            <w:vAlign w:val="center"/>
          </w:tcPr>
          <w:p w14:paraId="01B8059B"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0BBBB32D"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84" w:type="pct"/>
            <w:shd w:val="clear" w:color="auto" w:fill="auto"/>
            <w:vAlign w:val="center"/>
          </w:tcPr>
          <w:p w14:paraId="3AD56ABD"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r>
      <w:tr w:rsidR="00E907D7" w:rsidRPr="002D2C2D" w14:paraId="7365402D" w14:textId="77777777" w:rsidTr="001A319B">
        <w:trPr>
          <w:cantSplit/>
        </w:trPr>
        <w:tc>
          <w:tcPr>
            <w:tcW w:w="454" w:type="pct"/>
            <w:shd w:val="clear" w:color="auto" w:fill="D9D9D9" w:themeFill="background1" w:themeFillShade="D9"/>
            <w:vAlign w:val="center"/>
            <w:hideMark/>
          </w:tcPr>
          <w:p w14:paraId="4C9494F3"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8</w:t>
            </w:r>
          </w:p>
        </w:tc>
        <w:tc>
          <w:tcPr>
            <w:tcW w:w="1358" w:type="pct"/>
            <w:gridSpan w:val="2"/>
            <w:tcBorders>
              <w:bottom w:val="single" w:sz="4" w:space="0" w:color="auto"/>
            </w:tcBorders>
            <w:shd w:val="clear" w:color="auto" w:fill="D9D9D9" w:themeFill="background1" w:themeFillShade="D9"/>
            <w:vAlign w:val="center"/>
          </w:tcPr>
          <w:p w14:paraId="7B230125"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All Meat &amp; meat products (including poultry &amp; game)</w:t>
            </w:r>
          </w:p>
        </w:tc>
        <w:tc>
          <w:tcPr>
            <w:tcW w:w="264" w:type="pct"/>
            <w:shd w:val="clear" w:color="auto" w:fill="D9D9D9" w:themeFill="background1" w:themeFillShade="D9"/>
            <w:vAlign w:val="center"/>
          </w:tcPr>
          <w:p w14:paraId="08EFE49A"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57</w:t>
            </w:r>
          </w:p>
        </w:tc>
        <w:tc>
          <w:tcPr>
            <w:tcW w:w="264" w:type="pct"/>
            <w:tcBorders>
              <w:bottom w:val="single" w:sz="4" w:space="0" w:color="auto"/>
            </w:tcBorders>
            <w:shd w:val="clear" w:color="auto" w:fill="D9D9D9" w:themeFill="background1" w:themeFillShade="D9"/>
            <w:vAlign w:val="center"/>
          </w:tcPr>
          <w:p w14:paraId="76219AAB"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56</w:t>
            </w:r>
          </w:p>
        </w:tc>
        <w:tc>
          <w:tcPr>
            <w:tcW w:w="264" w:type="pct"/>
            <w:shd w:val="clear" w:color="auto" w:fill="D9D9D9" w:themeFill="background1" w:themeFillShade="D9"/>
            <w:vAlign w:val="center"/>
          </w:tcPr>
          <w:p w14:paraId="02379134"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7</w:t>
            </w:r>
          </w:p>
        </w:tc>
        <w:tc>
          <w:tcPr>
            <w:tcW w:w="264" w:type="pct"/>
            <w:shd w:val="clear" w:color="auto" w:fill="D9D9D9" w:themeFill="background1" w:themeFillShade="D9"/>
            <w:vAlign w:val="center"/>
          </w:tcPr>
          <w:p w14:paraId="28CA2DC4"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68</w:t>
            </w:r>
          </w:p>
        </w:tc>
        <w:tc>
          <w:tcPr>
            <w:tcW w:w="264" w:type="pct"/>
            <w:tcBorders>
              <w:bottom w:val="single" w:sz="4" w:space="0" w:color="auto"/>
            </w:tcBorders>
            <w:shd w:val="clear" w:color="auto" w:fill="D9D9D9" w:themeFill="background1" w:themeFillShade="D9"/>
            <w:vAlign w:val="center"/>
          </w:tcPr>
          <w:p w14:paraId="6F4A82AE"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59</w:t>
            </w:r>
          </w:p>
        </w:tc>
        <w:tc>
          <w:tcPr>
            <w:tcW w:w="264" w:type="pct"/>
            <w:shd w:val="clear" w:color="auto" w:fill="D9D9D9" w:themeFill="background1" w:themeFillShade="D9"/>
            <w:vAlign w:val="center"/>
          </w:tcPr>
          <w:p w14:paraId="1884532F"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9</w:t>
            </w:r>
          </w:p>
        </w:tc>
        <w:tc>
          <w:tcPr>
            <w:tcW w:w="264" w:type="pct"/>
            <w:tcBorders>
              <w:bottom w:val="single" w:sz="4" w:space="0" w:color="auto"/>
            </w:tcBorders>
            <w:shd w:val="clear" w:color="auto" w:fill="D9D9D9" w:themeFill="background1" w:themeFillShade="D9"/>
            <w:vAlign w:val="center"/>
          </w:tcPr>
          <w:p w14:paraId="27780339" w14:textId="77777777" w:rsidR="00E907D7" w:rsidRPr="002D2C2D" w:rsidRDefault="00E907D7" w:rsidP="00E907D7">
            <w:pPr>
              <w:widowControl/>
              <w:tabs>
                <w:tab w:val="decimal" w:pos="340"/>
              </w:tabs>
              <w:rPr>
                <w:rFonts w:cs="Arial"/>
                <w:bCs/>
                <w:sz w:val="18"/>
                <w:szCs w:val="18"/>
                <w:lang w:eastAsia="en-GB" w:bidi="ar-SA"/>
              </w:rPr>
            </w:pPr>
            <w:r w:rsidRPr="002D2C2D">
              <w:rPr>
                <w:rFonts w:cs="Arial"/>
                <w:bCs/>
                <w:color w:val="000000"/>
                <w:sz w:val="18"/>
                <w:szCs w:val="18"/>
              </w:rPr>
              <w:t>71</w:t>
            </w:r>
          </w:p>
        </w:tc>
        <w:tc>
          <w:tcPr>
            <w:tcW w:w="264" w:type="pct"/>
            <w:tcBorders>
              <w:bottom w:val="single" w:sz="4" w:space="0" w:color="auto"/>
            </w:tcBorders>
            <w:shd w:val="clear" w:color="auto" w:fill="D9D9D9" w:themeFill="background1" w:themeFillShade="D9"/>
            <w:vAlign w:val="center"/>
          </w:tcPr>
          <w:p w14:paraId="422070AF"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55</w:t>
            </w:r>
          </w:p>
        </w:tc>
        <w:tc>
          <w:tcPr>
            <w:tcW w:w="264" w:type="pct"/>
            <w:shd w:val="clear" w:color="auto" w:fill="D9D9D9" w:themeFill="background1" w:themeFillShade="D9"/>
            <w:vAlign w:val="center"/>
          </w:tcPr>
          <w:p w14:paraId="718FAE48" w14:textId="77777777" w:rsidR="00E907D7" w:rsidRPr="002D2C2D" w:rsidRDefault="00E907D7" w:rsidP="00E907D7">
            <w:pPr>
              <w:widowControl/>
              <w:tabs>
                <w:tab w:val="decimal" w:pos="340"/>
              </w:tabs>
              <w:rPr>
                <w:rFonts w:cs="Arial"/>
                <w:bCs/>
                <w:sz w:val="18"/>
                <w:szCs w:val="18"/>
                <w:lang w:eastAsia="en-GB" w:bidi="ar-SA"/>
              </w:rPr>
            </w:pPr>
            <w:r w:rsidRPr="002D2C2D">
              <w:rPr>
                <w:rFonts w:cs="Arial"/>
                <w:bCs/>
                <w:color w:val="000000"/>
                <w:sz w:val="18"/>
                <w:szCs w:val="18"/>
              </w:rPr>
              <w:t>11</w:t>
            </w:r>
          </w:p>
        </w:tc>
        <w:tc>
          <w:tcPr>
            <w:tcW w:w="264" w:type="pct"/>
            <w:tcBorders>
              <w:bottom w:val="single" w:sz="4" w:space="0" w:color="auto"/>
            </w:tcBorders>
            <w:shd w:val="clear" w:color="auto" w:fill="D9D9D9" w:themeFill="background1" w:themeFillShade="D9"/>
            <w:vAlign w:val="center"/>
          </w:tcPr>
          <w:p w14:paraId="301DEFA7"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70</w:t>
            </w:r>
          </w:p>
        </w:tc>
        <w:tc>
          <w:tcPr>
            <w:tcW w:w="264" w:type="pct"/>
            <w:tcBorders>
              <w:bottom w:val="single" w:sz="4" w:space="0" w:color="auto"/>
            </w:tcBorders>
            <w:shd w:val="clear" w:color="auto" w:fill="D9D9D9" w:themeFill="background1" w:themeFillShade="D9"/>
            <w:vAlign w:val="center"/>
          </w:tcPr>
          <w:p w14:paraId="077F97F0"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57</w:t>
            </w:r>
          </w:p>
        </w:tc>
        <w:tc>
          <w:tcPr>
            <w:tcW w:w="284" w:type="pct"/>
            <w:shd w:val="clear" w:color="auto" w:fill="D9D9D9" w:themeFill="background1" w:themeFillShade="D9"/>
            <w:vAlign w:val="center"/>
          </w:tcPr>
          <w:p w14:paraId="44F4837E"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11</w:t>
            </w:r>
          </w:p>
        </w:tc>
      </w:tr>
      <w:tr w:rsidR="008223CB" w:rsidRPr="00B83846" w14:paraId="06B9C149" w14:textId="77777777" w:rsidTr="00221A11">
        <w:trPr>
          <w:cantSplit/>
        </w:trPr>
        <w:tc>
          <w:tcPr>
            <w:tcW w:w="454" w:type="pct"/>
            <w:shd w:val="clear" w:color="auto" w:fill="D9D9D9" w:themeFill="background1" w:themeFillShade="D9"/>
            <w:vAlign w:val="center"/>
            <w:hideMark/>
          </w:tcPr>
          <w:p w14:paraId="69A94044" w14:textId="77777777" w:rsidR="008223CB" w:rsidRPr="00B83846" w:rsidRDefault="008223CB" w:rsidP="00DF510F">
            <w:pPr>
              <w:widowControl/>
              <w:rPr>
                <w:rFonts w:cs="Arial"/>
                <w:color w:val="000000"/>
                <w:sz w:val="18"/>
                <w:szCs w:val="18"/>
                <w:lang w:eastAsia="en-GB" w:bidi="ar-SA"/>
              </w:rPr>
            </w:pPr>
            <w:r w:rsidRPr="00B83846">
              <w:rPr>
                <w:rFonts w:cs="Arial"/>
                <w:color w:val="000000"/>
                <w:sz w:val="18"/>
                <w:szCs w:val="18"/>
                <w:lang w:eastAsia="en-GB" w:bidi="ar-SA"/>
              </w:rPr>
              <w:t>8.1.1</w:t>
            </w:r>
          </w:p>
        </w:tc>
        <w:tc>
          <w:tcPr>
            <w:tcW w:w="166" w:type="pct"/>
            <w:tcBorders>
              <w:right w:val="nil"/>
            </w:tcBorders>
            <w:shd w:val="clear" w:color="auto" w:fill="D9D9D9" w:themeFill="background1" w:themeFillShade="D9"/>
            <w:vAlign w:val="center"/>
          </w:tcPr>
          <w:p w14:paraId="1D134E71" w14:textId="77777777" w:rsidR="008223CB" w:rsidRPr="00B83846" w:rsidRDefault="008223CB" w:rsidP="00DF510F">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08B50172" w14:textId="77777777" w:rsidR="008223CB" w:rsidRPr="00B83846" w:rsidRDefault="008223CB" w:rsidP="00DF510F">
            <w:pPr>
              <w:widowControl/>
              <w:rPr>
                <w:rFonts w:cs="Arial"/>
                <w:color w:val="000000"/>
                <w:sz w:val="18"/>
                <w:szCs w:val="18"/>
                <w:lang w:eastAsia="en-GB" w:bidi="ar-SA"/>
              </w:rPr>
            </w:pPr>
            <w:r w:rsidRPr="00B83846">
              <w:rPr>
                <w:rFonts w:cs="Arial"/>
                <w:color w:val="000000"/>
                <w:sz w:val="18"/>
                <w:szCs w:val="18"/>
                <w:lang w:eastAsia="en-GB" w:bidi="ar-SA"/>
              </w:rPr>
              <w:t>Poultry (excluding duck)</w:t>
            </w:r>
          </w:p>
        </w:tc>
        <w:tc>
          <w:tcPr>
            <w:tcW w:w="264" w:type="pct"/>
            <w:shd w:val="clear" w:color="auto" w:fill="D9D9D9" w:themeFill="background1" w:themeFillShade="D9"/>
            <w:vAlign w:val="center"/>
          </w:tcPr>
          <w:p w14:paraId="23053554"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6</w:t>
            </w:r>
          </w:p>
        </w:tc>
        <w:tc>
          <w:tcPr>
            <w:tcW w:w="264" w:type="pct"/>
            <w:shd w:val="clear" w:color="auto" w:fill="D9D9D9" w:themeFill="background1" w:themeFillShade="D9"/>
            <w:vAlign w:val="center"/>
          </w:tcPr>
          <w:p w14:paraId="19DB92DD"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6</w:t>
            </w:r>
          </w:p>
        </w:tc>
        <w:tc>
          <w:tcPr>
            <w:tcW w:w="264" w:type="pct"/>
            <w:shd w:val="clear" w:color="auto" w:fill="auto"/>
            <w:vAlign w:val="center"/>
          </w:tcPr>
          <w:p w14:paraId="179DD65E"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D9D9D9" w:themeFill="background1" w:themeFillShade="D9"/>
            <w:vAlign w:val="center"/>
          </w:tcPr>
          <w:p w14:paraId="1D35A2D3"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6</w:t>
            </w:r>
          </w:p>
        </w:tc>
        <w:tc>
          <w:tcPr>
            <w:tcW w:w="264" w:type="pct"/>
            <w:shd w:val="clear" w:color="auto" w:fill="D9D9D9" w:themeFill="background1" w:themeFillShade="D9"/>
            <w:vAlign w:val="center"/>
          </w:tcPr>
          <w:p w14:paraId="2DB447DA"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5</w:t>
            </w:r>
          </w:p>
        </w:tc>
        <w:tc>
          <w:tcPr>
            <w:tcW w:w="264" w:type="pct"/>
            <w:shd w:val="clear" w:color="auto" w:fill="auto"/>
            <w:vAlign w:val="center"/>
          </w:tcPr>
          <w:p w14:paraId="78354FCE"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D9D9D9" w:themeFill="background1" w:themeFillShade="D9"/>
            <w:vAlign w:val="center"/>
          </w:tcPr>
          <w:p w14:paraId="30439B55"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7</w:t>
            </w:r>
          </w:p>
        </w:tc>
        <w:tc>
          <w:tcPr>
            <w:tcW w:w="264" w:type="pct"/>
            <w:shd w:val="clear" w:color="auto" w:fill="D9D9D9" w:themeFill="background1" w:themeFillShade="D9"/>
            <w:vAlign w:val="center"/>
          </w:tcPr>
          <w:p w14:paraId="2CAACB58"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5</w:t>
            </w:r>
          </w:p>
        </w:tc>
        <w:tc>
          <w:tcPr>
            <w:tcW w:w="264" w:type="pct"/>
            <w:shd w:val="clear" w:color="auto" w:fill="auto"/>
            <w:vAlign w:val="center"/>
          </w:tcPr>
          <w:p w14:paraId="2F47C30A"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1</w:t>
            </w:r>
          </w:p>
        </w:tc>
        <w:tc>
          <w:tcPr>
            <w:tcW w:w="264" w:type="pct"/>
            <w:shd w:val="clear" w:color="auto" w:fill="D9D9D9" w:themeFill="background1" w:themeFillShade="D9"/>
            <w:vAlign w:val="center"/>
          </w:tcPr>
          <w:p w14:paraId="6F1228D4"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7</w:t>
            </w:r>
          </w:p>
        </w:tc>
        <w:tc>
          <w:tcPr>
            <w:tcW w:w="264" w:type="pct"/>
            <w:shd w:val="clear" w:color="auto" w:fill="D9D9D9" w:themeFill="background1" w:themeFillShade="D9"/>
            <w:vAlign w:val="center"/>
          </w:tcPr>
          <w:p w14:paraId="26B530D2"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5</w:t>
            </w:r>
          </w:p>
        </w:tc>
        <w:tc>
          <w:tcPr>
            <w:tcW w:w="284" w:type="pct"/>
            <w:shd w:val="clear" w:color="auto" w:fill="auto"/>
            <w:vAlign w:val="center"/>
          </w:tcPr>
          <w:p w14:paraId="101EC009"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1</w:t>
            </w:r>
          </w:p>
        </w:tc>
      </w:tr>
      <w:tr w:rsidR="008223CB" w:rsidRPr="00B83846" w14:paraId="1412BEF8" w14:textId="77777777" w:rsidTr="008223CB">
        <w:trPr>
          <w:cantSplit/>
        </w:trPr>
        <w:tc>
          <w:tcPr>
            <w:tcW w:w="454" w:type="pct"/>
            <w:shd w:val="clear" w:color="auto" w:fill="D9D9D9" w:themeFill="background1" w:themeFillShade="D9"/>
            <w:vAlign w:val="center"/>
            <w:hideMark/>
          </w:tcPr>
          <w:p w14:paraId="6F630159" w14:textId="77777777" w:rsidR="008223CB" w:rsidRPr="00B83846" w:rsidRDefault="008223CB" w:rsidP="00DF510F">
            <w:pPr>
              <w:widowControl/>
              <w:rPr>
                <w:rFonts w:cs="Arial"/>
                <w:color w:val="000000"/>
                <w:sz w:val="18"/>
                <w:szCs w:val="18"/>
                <w:lang w:eastAsia="en-GB" w:bidi="ar-SA"/>
              </w:rPr>
            </w:pPr>
            <w:r w:rsidRPr="00B83846">
              <w:rPr>
                <w:rFonts w:cs="Arial"/>
                <w:color w:val="000000"/>
                <w:sz w:val="18"/>
                <w:szCs w:val="18"/>
                <w:lang w:eastAsia="en-GB" w:bidi="ar-SA"/>
              </w:rPr>
              <w:t>8.1.3.2</w:t>
            </w:r>
          </w:p>
        </w:tc>
        <w:tc>
          <w:tcPr>
            <w:tcW w:w="166" w:type="pct"/>
            <w:tcBorders>
              <w:bottom w:val="single" w:sz="4" w:space="0" w:color="auto"/>
              <w:right w:val="nil"/>
            </w:tcBorders>
            <w:shd w:val="clear" w:color="auto" w:fill="D9D9D9" w:themeFill="background1" w:themeFillShade="D9"/>
            <w:vAlign w:val="center"/>
            <w:hideMark/>
          </w:tcPr>
          <w:p w14:paraId="4437AA3E" w14:textId="77777777" w:rsidR="008223CB" w:rsidRPr="00B83846" w:rsidRDefault="008223CB" w:rsidP="00DF510F">
            <w:pPr>
              <w:widowControl/>
              <w:rPr>
                <w:rFonts w:cs="Arial"/>
                <w:color w:val="000000"/>
                <w:sz w:val="18"/>
                <w:szCs w:val="18"/>
                <w:lang w:eastAsia="en-GB" w:bidi="ar-SA"/>
              </w:rPr>
            </w:pPr>
          </w:p>
        </w:tc>
        <w:tc>
          <w:tcPr>
            <w:tcW w:w="1192" w:type="pct"/>
            <w:tcBorders>
              <w:left w:val="nil"/>
              <w:bottom w:val="single" w:sz="4" w:space="0" w:color="auto"/>
            </w:tcBorders>
            <w:shd w:val="clear" w:color="auto" w:fill="D9D9D9" w:themeFill="background1" w:themeFillShade="D9"/>
            <w:vAlign w:val="center"/>
            <w:hideMark/>
          </w:tcPr>
          <w:p w14:paraId="268AF08E" w14:textId="77777777" w:rsidR="008223CB" w:rsidRPr="00B83846" w:rsidRDefault="008223CB" w:rsidP="00DF510F">
            <w:pPr>
              <w:widowControl/>
              <w:rPr>
                <w:rFonts w:cs="Arial"/>
                <w:color w:val="000000"/>
                <w:sz w:val="18"/>
                <w:szCs w:val="18"/>
                <w:lang w:eastAsia="en-GB" w:bidi="ar-SA"/>
              </w:rPr>
            </w:pPr>
            <w:r w:rsidRPr="00B83846">
              <w:rPr>
                <w:rFonts w:cs="Arial"/>
                <w:color w:val="000000"/>
                <w:sz w:val="18"/>
                <w:szCs w:val="18"/>
                <w:lang w:eastAsia="en-GB" w:bidi="ar-SA"/>
              </w:rPr>
              <w:t>Red meat, excluding game</w:t>
            </w:r>
          </w:p>
        </w:tc>
        <w:tc>
          <w:tcPr>
            <w:tcW w:w="264" w:type="pct"/>
            <w:shd w:val="clear" w:color="auto" w:fill="D9D9D9" w:themeFill="background1" w:themeFillShade="D9"/>
            <w:vAlign w:val="center"/>
          </w:tcPr>
          <w:p w14:paraId="3B3B3DDF"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39</w:t>
            </w:r>
          </w:p>
        </w:tc>
        <w:tc>
          <w:tcPr>
            <w:tcW w:w="264" w:type="pct"/>
            <w:shd w:val="clear" w:color="auto" w:fill="D9D9D9" w:themeFill="background1" w:themeFillShade="D9"/>
            <w:vAlign w:val="center"/>
          </w:tcPr>
          <w:p w14:paraId="6AC15605"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38</w:t>
            </w:r>
          </w:p>
        </w:tc>
        <w:tc>
          <w:tcPr>
            <w:tcW w:w="264" w:type="pct"/>
            <w:shd w:val="clear" w:color="auto" w:fill="D9D9D9" w:themeFill="background1" w:themeFillShade="D9"/>
            <w:vAlign w:val="center"/>
          </w:tcPr>
          <w:p w14:paraId="160DFEFF"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5</w:t>
            </w:r>
          </w:p>
        </w:tc>
        <w:tc>
          <w:tcPr>
            <w:tcW w:w="264" w:type="pct"/>
            <w:shd w:val="clear" w:color="auto" w:fill="D9D9D9" w:themeFill="background1" w:themeFillShade="D9"/>
            <w:vAlign w:val="center"/>
          </w:tcPr>
          <w:p w14:paraId="31FC35CF"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50</w:t>
            </w:r>
          </w:p>
        </w:tc>
        <w:tc>
          <w:tcPr>
            <w:tcW w:w="264" w:type="pct"/>
            <w:shd w:val="clear" w:color="auto" w:fill="D9D9D9" w:themeFill="background1" w:themeFillShade="D9"/>
            <w:vAlign w:val="center"/>
          </w:tcPr>
          <w:p w14:paraId="33A91061"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43</w:t>
            </w:r>
          </w:p>
        </w:tc>
        <w:tc>
          <w:tcPr>
            <w:tcW w:w="264" w:type="pct"/>
            <w:shd w:val="clear" w:color="auto" w:fill="D9D9D9" w:themeFill="background1" w:themeFillShade="D9"/>
            <w:vAlign w:val="center"/>
          </w:tcPr>
          <w:p w14:paraId="77E62C55"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7</w:t>
            </w:r>
          </w:p>
        </w:tc>
        <w:tc>
          <w:tcPr>
            <w:tcW w:w="264" w:type="pct"/>
            <w:shd w:val="clear" w:color="auto" w:fill="D9D9D9" w:themeFill="background1" w:themeFillShade="D9"/>
            <w:vAlign w:val="center"/>
          </w:tcPr>
          <w:p w14:paraId="543FA393"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53</w:t>
            </w:r>
          </w:p>
        </w:tc>
        <w:tc>
          <w:tcPr>
            <w:tcW w:w="264" w:type="pct"/>
            <w:shd w:val="clear" w:color="auto" w:fill="D9D9D9" w:themeFill="background1" w:themeFillShade="D9"/>
            <w:vAlign w:val="center"/>
          </w:tcPr>
          <w:p w14:paraId="2873316B"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41</w:t>
            </w:r>
          </w:p>
        </w:tc>
        <w:tc>
          <w:tcPr>
            <w:tcW w:w="264" w:type="pct"/>
            <w:tcBorders>
              <w:right w:val="single" w:sz="4" w:space="0" w:color="auto"/>
            </w:tcBorders>
            <w:shd w:val="clear" w:color="auto" w:fill="D9D9D9" w:themeFill="background1" w:themeFillShade="D9"/>
            <w:vAlign w:val="center"/>
          </w:tcPr>
          <w:p w14:paraId="663BA8BD"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8</w:t>
            </w:r>
          </w:p>
        </w:tc>
        <w:tc>
          <w:tcPr>
            <w:tcW w:w="264" w:type="pct"/>
            <w:tcBorders>
              <w:left w:val="single" w:sz="4" w:space="0" w:color="auto"/>
              <w:right w:val="single" w:sz="4" w:space="0" w:color="auto"/>
            </w:tcBorders>
            <w:shd w:val="clear" w:color="auto" w:fill="D9D9D9" w:themeFill="background1" w:themeFillShade="D9"/>
            <w:vAlign w:val="center"/>
          </w:tcPr>
          <w:p w14:paraId="19C556D2"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52</w:t>
            </w:r>
          </w:p>
        </w:tc>
        <w:tc>
          <w:tcPr>
            <w:tcW w:w="264" w:type="pct"/>
            <w:tcBorders>
              <w:left w:val="single" w:sz="4" w:space="0" w:color="auto"/>
              <w:right w:val="single" w:sz="4" w:space="0" w:color="auto"/>
            </w:tcBorders>
            <w:shd w:val="clear" w:color="auto" w:fill="D9D9D9" w:themeFill="background1" w:themeFillShade="D9"/>
            <w:vAlign w:val="center"/>
          </w:tcPr>
          <w:p w14:paraId="42A068F1"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42</w:t>
            </w:r>
          </w:p>
        </w:tc>
        <w:tc>
          <w:tcPr>
            <w:tcW w:w="284" w:type="pct"/>
            <w:tcBorders>
              <w:left w:val="single" w:sz="4" w:space="0" w:color="auto"/>
              <w:right w:val="single" w:sz="4" w:space="0" w:color="auto"/>
            </w:tcBorders>
            <w:shd w:val="clear" w:color="auto" w:fill="D9D9D9" w:themeFill="background1" w:themeFillShade="D9"/>
            <w:vAlign w:val="center"/>
          </w:tcPr>
          <w:p w14:paraId="1EE6B74D"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8</w:t>
            </w:r>
          </w:p>
        </w:tc>
      </w:tr>
      <w:tr w:rsidR="008223CB" w:rsidRPr="00B83846" w14:paraId="0C436834" w14:textId="77777777" w:rsidTr="00221A11">
        <w:trPr>
          <w:cantSplit/>
        </w:trPr>
        <w:tc>
          <w:tcPr>
            <w:tcW w:w="454" w:type="pct"/>
            <w:shd w:val="clear" w:color="auto" w:fill="D9D9D9" w:themeFill="background1" w:themeFillShade="D9"/>
            <w:vAlign w:val="center"/>
            <w:hideMark/>
          </w:tcPr>
          <w:p w14:paraId="2ED9D0B2" w14:textId="77777777" w:rsidR="008223CB" w:rsidRPr="00B83846" w:rsidRDefault="008223CB" w:rsidP="00DF510F">
            <w:pPr>
              <w:widowControl/>
              <w:rPr>
                <w:rFonts w:cs="Arial"/>
                <w:color w:val="000000"/>
                <w:sz w:val="18"/>
                <w:szCs w:val="18"/>
                <w:lang w:eastAsia="en-GB" w:bidi="ar-SA"/>
              </w:rPr>
            </w:pPr>
            <w:r w:rsidRPr="00B83846">
              <w:rPr>
                <w:rFonts w:cs="Arial"/>
                <w:color w:val="000000"/>
                <w:sz w:val="18"/>
                <w:szCs w:val="18"/>
                <w:lang w:eastAsia="en-GB" w:bidi="ar-SA"/>
              </w:rPr>
              <w:t>8.3.2</w:t>
            </w:r>
          </w:p>
        </w:tc>
        <w:tc>
          <w:tcPr>
            <w:tcW w:w="166" w:type="pct"/>
            <w:tcBorders>
              <w:right w:val="nil"/>
            </w:tcBorders>
            <w:shd w:val="clear" w:color="auto" w:fill="D9D9D9" w:themeFill="background1" w:themeFillShade="D9"/>
            <w:vAlign w:val="center"/>
          </w:tcPr>
          <w:p w14:paraId="7527F861" w14:textId="77777777" w:rsidR="008223CB" w:rsidRPr="00B83846" w:rsidRDefault="008223CB" w:rsidP="00DF510F">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19709887" w14:textId="77777777" w:rsidR="008223CB" w:rsidRPr="00B83846" w:rsidRDefault="008223CB" w:rsidP="00DF510F">
            <w:pPr>
              <w:widowControl/>
              <w:rPr>
                <w:rFonts w:cs="Arial"/>
                <w:color w:val="000000"/>
                <w:sz w:val="18"/>
                <w:szCs w:val="18"/>
                <w:lang w:eastAsia="en-GB" w:bidi="ar-SA"/>
              </w:rPr>
            </w:pPr>
            <w:r w:rsidRPr="00B83846">
              <w:rPr>
                <w:rFonts w:cs="Arial"/>
                <w:color w:val="000000"/>
                <w:sz w:val="18"/>
                <w:szCs w:val="18"/>
                <w:lang w:eastAsia="en-GB" w:bidi="ar-SA"/>
              </w:rPr>
              <w:t>Sausage &amp; sausage meat</w:t>
            </w:r>
          </w:p>
        </w:tc>
        <w:tc>
          <w:tcPr>
            <w:tcW w:w="264" w:type="pct"/>
            <w:shd w:val="clear" w:color="auto" w:fill="D9D9D9" w:themeFill="background1" w:themeFillShade="D9"/>
            <w:vAlign w:val="center"/>
          </w:tcPr>
          <w:p w14:paraId="0F982D1E"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5</w:t>
            </w:r>
          </w:p>
        </w:tc>
        <w:tc>
          <w:tcPr>
            <w:tcW w:w="264" w:type="pct"/>
            <w:shd w:val="clear" w:color="auto" w:fill="D9D9D9" w:themeFill="background1" w:themeFillShade="D9"/>
            <w:vAlign w:val="center"/>
          </w:tcPr>
          <w:p w14:paraId="5C07829B"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5</w:t>
            </w:r>
          </w:p>
        </w:tc>
        <w:tc>
          <w:tcPr>
            <w:tcW w:w="264" w:type="pct"/>
            <w:shd w:val="clear" w:color="auto" w:fill="auto"/>
            <w:vAlign w:val="center"/>
          </w:tcPr>
          <w:p w14:paraId="272A62AE"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2018760B"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4</w:t>
            </w:r>
          </w:p>
        </w:tc>
        <w:tc>
          <w:tcPr>
            <w:tcW w:w="264" w:type="pct"/>
            <w:vAlign w:val="center"/>
          </w:tcPr>
          <w:p w14:paraId="65754CC0"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3</w:t>
            </w:r>
          </w:p>
        </w:tc>
        <w:tc>
          <w:tcPr>
            <w:tcW w:w="264" w:type="pct"/>
            <w:shd w:val="clear" w:color="auto" w:fill="auto"/>
            <w:vAlign w:val="center"/>
          </w:tcPr>
          <w:p w14:paraId="600E49E6"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1F35E8D4"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3</w:t>
            </w:r>
          </w:p>
        </w:tc>
        <w:tc>
          <w:tcPr>
            <w:tcW w:w="264" w:type="pct"/>
            <w:vAlign w:val="center"/>
          </w:tcPr>
          <w:p w14:paraId="7231D28C"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2</w:t>
            </w:r>
          </w:p>
        </w:tc>
        <w:tc>
          <w:tcPr>
            <w:tcW w:w="264" w:type="pct"/>
            <w:shd w:val="clear" w:color="auto" w:fill="auto"/>
            <w:vAlign w:val="center"/>
          </w:tcPr>
          <w:p w14:paraId="7C673446"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1E4D6588"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3</w:t>
            </w:r>
          </w:p>
        </w:tc>
        <w:tc>
          <w:tcPr>
            <w:tcW w:w="264" w:type="pct"/>
            <w:vAlign w:val="center"/>
          </w:tcPr>
          <w:p w14:paraId="1A3CCEE0" w14:textId="77777777" w:rsidR="008223CB" w:rsidRPr="00B83846" w:rsidRDefault="008223CB" w:rsidP="00DF510F">
            <w:pPr>
              <w:widowControl/>
              <w:tabs>
                <w:tab w:val="decimal" w:pos="340"/>
              </w:tabs>
              <w:rPr>
                <w:rFonts w:cs="Arial"/>
                <w:color w:val="000000"/>
                <w:sz w:val="18"/>
                <w:szCs w:val="18"/>
              </w:rPr>
            </w:pPr>
            <w:r w:rsidRPr="005056E3">
              <w:rPr>
                <w:rFonts w:cs="Arial"/>
                <w:color w:val="000000"/>
                <w:sz w:val="18"/>
                <w:szCs w:val="18"/>
              </w:rPr>
              <w:t>2</w:t>
            </w:r>
          </w:p>
        </w:tc>
        <w:tc>
          <w:tcPr>
            <w:tcW w:w="284" w:type="pct"/>
            <w:shd w:val="clear" w:color="auto" w:fill="auto"/>
            <w:vAlign w:val="center"/>
          </w:tcPr>
          <w:p w14:paraId="29D93142" w14:textId="77777777" w:rsidR="008223CB" w:rsidRPr="005056E3" w:rsidRDefault="008223CB" w:rsidP="00DF510F">
            <w:pPr>
              <w:widowControl/>
              <w:tabs>
                <w:tab w:val="decimal" w:pos="340"/>
              </w:tabs>
              <w:rPr>
                <w:rFonts w:cs="Arial"/>
                <w:color w:val="000000"/>
                <w:sz w:val="18"/>
                <w:szCs w:val="18"/>
                <w:lang w:eastAsia="en-GB" w:bidi="ar-SA"/>
              </w:rPr>
            </w:pPr>
            <w:r w:rsidRPr="005056E3">
              <w:rPr>
                <w:rFonts w:cs="Arial"/>
                <w:color w:val="000000"/>
                <w:sz w:val="18"/>
                <w:szCs w:val="18"/>
              </w:rPr>
              <w:t>&lt;1</w:t>
            </w:r>
          </w:p>
        </w:tc>
      </w:tr>
      <w:tr w:rsidR="00E907D7" w:rsidRPr="002D2C2D" w14:paraId="2BB0076D" w14:textId="77777777" w:rsidTr="001A319B">
        <w:trPr>
          <w:cantSplit/>
        </w:trPr>
        <w:tc>
          <w:tcPr>
            <w:tcW w:w="454" w:type="pct"/>
            <w:shd w:val="clear" w:color="auto" w:fill="auto"/>
            <w:vAlign w:val="center"/>
            <w:hideMark/>
          </w:tcPr>
          <w:p w14:paraId="271119A5" w14:textId="77777777" w:rsidR="00E907D7" w:rsidRPr="002D2C2D" w:rsidRDefault="00E907D7" w:rsidP="002D2C2D">
            <w:pPr>
              <w:rPr>
                <w:rFonts w:cs="Arial"/>
                <w:bCs/>
                <w:color w:val="000000"/>
                <w:sz w:val="18"/>
                <w:szCs w:val="18"/>
                <w:lang w:eastAsia="en-GB" w:bidi="ar-SA"/>
              </w:rPr>
            </w:pPr>
            <w:r w:rsidRPr="002D2C2D">
              <w:rPr>
                <w:rFonts w:cs="Arial"/>
                <w:bCs/>
                <w:color w:val="000000"/>
                <w:sz w:val="18"/>
                <w:szCs w:val="18"/>
                <w:lang w:eastAsia="en-GB" w:bidi="ar-SA"/>
              </w:rPr>
              <w:t>9</w:t>
            </w:r>
          </w:p>
        </w:tc>
        <w:tc>
          <w:tcPr>
            <w:tcW w:w="1358" w:type="pct"/>
            <w:gridSpan w:val="2"/>
            <w:tcBorders>
              <w:bottom w:val="single" w:sz="4" w:space="0" w:color="auto"/>
            </w:tcBorders>
            <w:shd w:val="clear" w:color="auto" w:fill="auto"/>
            <w:vAlign w:val="center"/>
          </w:tcPr>
          <w:p w14:paraId="561191B4" w14:textId="77777777" w:rsidR="00E907D7" w:rsidRPr="002D2C2D" w:rsidRDefault="00E907D7" w:rsidP="00E907D7">
            <w:pPr>
              <w:keepNext/>
              <w:keepLines/>
              <w:widowControl/>
              <w:rPr>
                <w:rFonts w:cs="Arial"/>
                <w:bCs/>
                <w:color w:val="000000"/>
                <w:sz w:val="18"/>
                <w:szCs w:val="18"/>
                <w:lang w:eastAsia="en-GB" w:bidi="ar-SA"/>
              </w:rPr>
            </w:pPr>
            <w:r w:rsidRPr="002D2C2D">
              <w:rPr>
                <w:rFonts w:cs="Arial"/>
                <w:bCs/>
                <w:color w:val="000000"/>
                <w:sz w:val="18"/>
                <w:szCs w:val="18"/>
                <w:lang w:eastAsia="en-GB" w:bidi="ar-SA"/>
              </w:rPr>
              <w:t>All Fish &amp; fish products</w:t>
            </w:r>
          </w:p>
        </w:tc>
        <w:tc>
          <w:tcPr>
            <w:tcW w:w="264" w:type="pct"/>
            <w:shd w:val="clear" w:color="auto" w:fill="auto"/>
            <w:vAlign w:val="center"/>
          </w:tcPr>
          <w:p w14:paraId="7B0F7A28"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4" w:type="pct"/>
            <w:vAlign w:val="center"/>
          </w:tcPr>
          <w:p w14:paraId="1BCE5395"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55694921"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4" w:type="pct"/>
            <w:shd w:val="clear" w:color="auto" w:fill="auto"/>
            <w:vAlign w:val="center"/>
          </w:tcPr>
          <w:p w14:paraId="43275433"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4" w:type="pct"/>
            <w:vAlign w:val="center"/>
          </w:tcPr>
          <w:p w14:paraId="56D600DE"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6AEC2468"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4" w:type="pct"/>
            <w:shd w:val="clear" w:color="auto" w:fill="auto"/>
            <w:vAlign w:val="center"/>
          </w:tcPr>
          <w:p w14:paraId="003D88DF" w14:textId="77777777" w:rsidR="00E907D7" w:rsidRPr="002D2C2D" w:rsidRDefault="00E907D7" w:rsidP="00E907D7">
            <w:pPr>
              <w:keepNext/>
              <w:keepLines/>
              <w:widowControl/>
              <w:tabs>
                <w:tab w:val="decimal" w:pos="340"/>
              </w:tabs>
              <w:rPr>
                <w:rFonts w:cs="Arial"/>
                <w:bCs/>
                <w:sz w:val="18"/>
                <w:szCs w:val="18"/>
                <w:lang w:eastAsia="en-GB" w:bidi="ar-SA"/>
              </w:rPr>
            </w:pPr>
            <w:r w:rsidRPr="002D2C2D">
              <w:rPr>
                <w:rFonts w:cs="Arial"/>
                <w:bCs/>
                <w:color w:val="000000"/>
                <w:sz w:val="18"/>
                <w:szCs w:val="18"/>
              </w:rPr>
              <w:t>1</w:t>
            </w:r>
          </w:p>
        </w:tc>
        <w:tc>
          <w:tcPr>
            <w:tcW w:w="264" w:type="pct"/>
            <w:vAlign w:val="center"/>
          </w:tcPr>
          <w:p w14:paraId="53B87374"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1</w:t>
            </w:r>
          </w:p>
        </w:tc>
        <w:tc>
          <w:tcPr>
            <w:tcW w:w="264" w:type="pct"/>
            <w:shd w:val="clear" w:color="auto" w:fill="auto"/>
            <w:vAlign w:val="center"/>
          </w:tcPr>
          <w:p w14:paraId="66321BEE" w14:textId="77777777" w:rsidR="00E907D7" w:rsidRPr="002D2C2D" w:rsidRDefault="00E907D7" w:rsidP="00E907D7">
            <w:pPr>
              <w:keepNext/>
              <w:keepLines/>
              <w:widowControl/>
              <w:tabs>
                <w:tab w:val="decimal" w:pos="340"/>
              </w:tabs>
              <w:rPr>
                <w:rFonts w:cs="Arial"/>
                <w:bCs/>
                <w:sz w:val="18"/>
                <w:szCs w:val="18"/>
                <w:lang w:eastAsia="en-GB" w:bidi="ar-SA"/>
              </w:rPr>
            </w:pPr>
            <w:r w:rsidRPr="002D2C2D">
              <w:rPr>
                <w:rFonts w:cs="Arial"/>
                <w:bCs/>
                <w:color w:val="000000"/>
                <w:sz w:val="18"/>
                <w:szCs w:val="18"/>
              </w:rPr>
              <w:t>&lt;1</w:t>
            </w:r>
          </w:p>
        </w:tc>
        <w:tc>
          <w:tcPr>
            <w:tcW w:w="264" w:type="pct"/>
            <w:shd w:val="clear" w:color="auto" w:fill="auto"/>
            <w:vAlign w:val="center"/>
          </w:tcPr>
          <w:p w14:paraId="2B666C2D"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1</w:t>
            </w:r>
          </w:p>
        </w:tc>
        <w:tc>
          <w:tcPr>
            <w:tcW w:w="264" w:type="pct"/>
            <w:vAlign w:val="center"/>
          </w:tcPr>
          <w:p w14:paraId="1350D7B6" w14:textId="77777777" w:rsidR="00E907D7" w:rsidRPr="002D2C2D" w:rsidRDefault="00E907D7" w:rsidP="00E907D7">
            <w:pPr>
              <w:keepNext/>
              <w:keepLines/>
              <w:widowControl/>
              <w:tabs>
                <w:tab w:val="decimal" w:pos="340"/>
              </w:tabs>
              <w:rPr>
                <w:rFonts w:cs="Arial"/>
                <w:bCs/>
                <w:color w:val="000000"/>
                <w:sz w:val="18"/>
                <w:szCs w:val="18"/>
              </w:rPr>
            </w:pPr>
            <w:r w:rsidRPr="002D2C2D">
              <w:rPr>
                <w:rFonts w:cs="Arial"/>
                <w:bCs/>
                <w:color w:val="000000"/>
                <w:sz w:val="18"/>
                <w:szCs w:val="18"/>
              </w:rPr>
              <w:t>&lt;1</w:t>
            </w:r>
          </w:p>
        </w:tc>
        <w:tc>
          <w:tcPr>
            <w:tcW w:w="284" w:type="pct"/>
            <w:shd w:val="clear" w:color="auto" w:fill="auto"/>
            <w:vAlign w:val="center"/>
          </w:tcPr>
          <w:p w14:paraId="1F702109" w14:textId="77777777" w:rsidR="00E907D7" w:rsidRPr="002D2C2D" w:rsidRDefault="00E907D7" w:rsidP="00E907D7">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&lt;1</w:t>
            </w:r>
          </w:p>
        </w:tc>
      </w:tr>
      <w:tr w:rsidR="00E907D7" w:rsidRPr="002D2C2D" w14:paraId="7E1FA5B3" w14:textId="77777777" w:rsidTr="001A319B">
        <w:trPr>
          <w:cantSplit/>
        </w:trPr>
        <w:tc>
          <w:tcPr>
            <w:tcW w:w="454" w:type="pct"/>
            <w:shd w:val="clear" w:color="auto" w:fill="auto"/>
            <w:vAlign w:val="center"/>
            <w:hideMark/>
          </w:tcPr>
          <w:p w14:paraId="1614ECEA"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10</w:t>
            </w:r>
          </w:p>
        </w:tc>
        <w:tc>
          <w:tcPr>
            <w:tcW w:w="1358" w:type="pct"/>
            <w:gridSpan w:val="2"/>
            <w:tcBorders>
              <w:bottom w:val="single" w:sz="4" w:space="0" w:color="auto"/>
            </w:tcBorders>
            <w:shd w:val="clear" w:color="auto" w:fill="auto"/>
            <w:vAlign w:val="center"/>
          </w:tcPr>
          <w:p w14:paraId="3BD1838E"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All Egg &amp; egg products</w:t>
            </w:r>
          </w:p>
        </w:tc>
        <w:tc>
          <w:tcPr>
            <w:tcW w:w="264" w:type="pct"/>
            <w:shd w:val="clear" w:color="auto" w:fill="auto"/>
            <w:vAlign w:val="center"/>
          </w:tcPr>
          <w:p w14:paraId="6FB0C16A"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6AF8EFC0"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6B12767C"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shd w:val="clear" w:color="auto" w:fill="auto"/>
            <w:vAlign w:val="center"/>
          </w:tcPr>
          <w:p w14:paraId="3E5855E1"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5DE362B1"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774E04DA"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shd w:val="clear" w:color="auto" w:fill="auto"/>
            <w:vAlign w:val="center"/>
          </w:tcPr>
          <w:p w14:paraId="071D1643" w14:textId="77777777" w:rsidR="00E907D7" w:rsidRPr="002D2C2D" w:rsidRDefault="00E907D7" w:rsidP="00E907D7">
            <w:pPr>
              <w:widowControl/>
              <w:tabs>
                <w:tab w:val="decimal" w:pos="340"/>
              </w:tabs>
              <w:rPr>
                <w:rFonts w:cs="Arial"/>
                <w:bCs/>
                <w:sz w:val="18"/>
                <w:szCs w:val="18"/>
                <w:highlight w:val="magenta"/>
                <w:lang w:eastAsia="en-GB" w:bidi="ar-SA"/>
              </w:rPr>
            </w:pPr>
            <w:r w:rsidRPr="002D2C2D">
              <w:rPr>
                <w:rFonts w:cs="Arial"/>
                <w:bCs/>
                <w:color w:val="000000"/>
                <w:sz w:val="18"/>
                <w:szCs w:val="18"/>
              </w:rPr>
              <w:t>&lt;1</w:t>
            </w:r>
          </w:p>
        </w:tc>
        <w:tc>
          <w:tcPr>
            <w:tcW w:w="264" w:type="pct"/>
            <w:vAlign w:val="center"/>
          </w:tcPr>
          <w:p w14:paraId="01EBAD95"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496EEB2B" w14:textId="77777777" w:rsidR="00E907D7" w:rsidRPr="002D2C2D" w:rsidRDefault="00E907D7" w:rsidP="00E907D7">
            <w:pPr>
              <w:widowControl/>
              <w:tabs>
                <w:tab w:val="decimal" w:pos="340"/>
              </w:tabs>
              <w:rPr>
                <w:rFonts w:cs="Arial"/>
                <w:bCs/>
                <w:sz w:val="18"/>
                <w:szCs w:val="18"/>
                <w:highlight w:val="magenta"/>
                <w:lang w:eastAsia="en-GB" w:bidi="ar-SA"/>
              </w:rPr>
            </w:pPr>
            <w:r w:rsidRPr="002D2C2D">
              <w:rPr>
                <w:rFonts w:cs="Arial"/>
                <w:bCs/>
                <w:color w:val="000000"/>
                <w:sz w:val="18"/>
                <w:szCs w:val="18"/>
              </w:rPr>
              <w:t>&lt;1</w:t>
            </w:r>
          </w:p>
        </w:tc>
        <w:tc>
          <w:tcPr>
            <w:tcW w:w="264" w:type="pct"/>
            <w:shd w:val="clear" w:color="auto" w:fill="auto"/>
            <w:vAlign w:val="center"/>
          </w:tcPr>
          <w:p w14:paraId="3F40B9C0"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3122BF29"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84" w:type="pct"/>
            <w:shd w:val="clear" w:color="auto" w:fill="auto"/>
            <w:vAlign w:val="center"/>
          </w:tcPr>
          <w:p w14:paraId="1D0C5B84" w14:textId="77777777" w:rsidR="00E907D7" w:rsidRPr="002D2C2D" w:rsidRDefault="00E907D7" w:rsidP="00E907D7">
            <w:pPr>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r>
      <w:tr w:rsidR="00E907D7" w:rsidRPr="002D2C2D" w14:paraId="61136129" w14:textId="77777777" w:rsidTr="001A319B">
        <w:trPr>
          <w:cantSplit/>
        </w:trPr>
        <w:tc>
          <w:tcPr>
            <w:tcW w:w="454" w:type="pct"/>
            <w:shd w:val="clear" w:color="auto" w:fill="auto"/>
            <w:vAlign w:val="center"/>
            <w:hideMark/>
          </w:tcPr>
          <w:p w14:paraId="3700A19F"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12</w:t>
            </w:r>
          </w:p>
        </w:tc>
        <w:tc>
          <w:tcPr>
            <w:tcW w:w="1358" w:type="pct"/>
            <w:gridSpan w:val="2"/>
            <w:tcBorders>
              <w:bottom w:val="single" w:sz="4" w:space="0" w:color="auto"/>
            </w:tcBorders>
            <w:shd w:val="clear" w:color="auto" w:fill="auto"/>
            <w:vAlign w:val="center"/>
          </w:tcPr>
          <w:p w14:paraId="2E451CAA"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All Salts &amp; condiments</w:t>
            </w:r>
          </w:p>
        </w:tc>
        <w:tc>
          <w:tcPr>
            <w:tcW w:w="264" w:type="pct"/>
            <w:shd w:val="clear" w:color="auto" w:fill="auto"/>
            <w:vAlign w:val="center"/>
          </w:tcPr>
          <w:p w14:paraId="2C697FAC"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4" w:type="pct"/>
            <w:vAlign w:val="center"/>
          </w:tcPr>
          <w:p w14:paraId="6653C21F"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364B1AE5"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4" w:type="pct"/>
            <w:shd w:val="clear" w:color="auto" w:fill="auto"/>
            <w:vAlign w:val="center"/>
          </w:tcPr>
          <w:p w14:paraId="7A5391CA"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4" w:type="pct"/>
            <w:vAlign w:val="center"/>
          </w:tcPr>
          <w:p w14:paraId="730CE0F9"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501FB48E"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4" w:type="pct"/>
            <w:shd w:val="clear" w:color="auto" w:fill="auto"/>
            <w:vAlign w:val="center"/>
          </w:tcPr>
          <w:p w14:paraId="6B5E8E6A" w14:textId="77777777" w:rsidR="00E907D7" w:rsidRPr="002D2C2D" w:rsidRDefault="00E907D7" w:rsidP="00E907D7">
            <w:pPr>
              <w:widowControl/>
              <w:tabs>
                <w:tab w:val="decimal" w:pos="340"/>
              </w:tabs>
              <w:rPr>
                <w:rFonts w:cs="Arial"/>
                <w:bCs/>
                <w:sz w:val="18"/>
                <w:szCs w:val="18"/>
                <w:lang w:eastAsia="en-GB" w:bidi="ar-SA"/>
              </w:rPr>
            </w:pPr>
            <w:r w:rsidRPr="002D2C2D">
              <w:rPr>
                <w:rFonts w:cs="Arial"/>
                <w:bCs/>
                <w:color w:val="000000"/>
                <w:sz w:val="18"/>
                <w:szCs w:val="18"/>
              </w:rPr>
              <w:t>&lt;1</w:t>
            </w:r>
          </w:p>
        </w:tc>
        <w:tc>
          <w:tcPr>
            <w:tcW w:w="264" w:type="pct"/>
            <w:vAlign w:val="center"/>
          </w:tcPr>
          <w:p w14:paraId="258A68C1"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auto"/>
            <w:vAlign w:val="center"/>
          </w:tcPr>
          <w:p w14:paraId="49E16B7C" w14:textId="77777777" w:rsidR="00E907D7" w:rsidRPr="002D2C2D" w:rsidRDefault="00E907D7" w:rsidP="00E907D7">
            <w:pPr>
              <w:widowControl/>
              <w:tabs>
                <w:tab w:val="decimal" w:pos="340"/>
              </w:tabs>
              <w:rPr>
                <w:rFonts w:cs="Arial"/>
                <w:bCs/>
                <w:sz w:val="18"/>
                <w:szCs w:val="18"/>
                <w:lang w:eastAsia="en-GB" w:bidi="ar-SA"/>
              </w:rPr>
            </w:pPr>
            <w:r w:rsidRPr="002D2C2D">
              <w:rPr>
                <w:rFonts w:cs="Arial"/>
                <w:bCs/>
                <w:color w:val="000000"/>
                <w:sz w:val="18"/>
                <w:szCs w:val="18"/>
              </w:rPr>
              <w:t>&lt;1</w:t>
            </w:r>
          </w:p>
        </w:tc>
        <w:tc>
          <w:tcPr>
            <w:tcW w:w="264" w:type="pct"/>
            <w:shd w:val="clear" w:color="auto" w:fill="auto"/>
            <w:vAlign w:val="center"/>
          </w:tcPr>
          <w:p w14:paraId="67E556CD"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c>
          <w:tcPr>
            <w:tcW w:w="264" w:type="pct"/>
            <w:vAlign w:val="center"/>
          </w:tcPr>
          <w:p w14:paraId="643FDFBF"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&lt;1</w:t>
            </w:r>
          </w:p>
        </w:tc>
        <w:tc>
          <w:tcPr>
            <w:tcW w:w="284" w:type="pct"/>
            <w:shd w:val="clear" w:color="auto" w:fill="auto"/>
            <w:vAlign w:val="center"/>
          </w:tcPr>
          <w:p w14:paraId="01778419"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&lt;1</w:t>
            </w:r>
          </w:p>
        </w:tc>
      </w:tr>
      <w:tr w:rsidR="00E907D7" w:rsidRPr="002D2C2D" w14:paraId="7EF6F393" w14:textId="77777777" w:rsidTr="001A319B">
        <w:trPr>
          <w:cantSplit/>
        </w:trPr>
        <w:tc>
          <w:tcPr>
            <w:tcW w:w="454" w:type="pct"/>
            <w:shd w:val="clear" w:color="auto" w:fill="D9D9D9" w:themeFill="background1" w:themeFillShade="D9"/>
            <w:vAlign w:val="center"/>
            <w:hideMark/>
          </w:tcPr>
          <w:p w14:paraId="5F038A9F"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13</w:t>
            </w:r>
          </w:p>
        </w:tc>
        <w:tc>
          <w:tcPr>
            <w:tcW w:w="1358" w:type="pct"/>
            <w:gridSpan w:val="2"/>
            <w:tcBorders>
              <w:bottom w:val="single" w:sz="4" w:space="0" w:color="auto"/>
            </w:tcBorders>
            <w:shd w:val="clear" w:color="auto" w:fill="D9D9D9" w:themeFill="background1" w:themeFillShade="D9"/>
            <w:vAlign w:val="center"/>
          </w:tcPr>
          <w:p w14:paraId="25E9E93A" w14:textId="77777777" w:rsidR="00E907D7" w:rsidRPr="002D2C2D" w:rsidRDefault="00E907D7" w:rsidP="00E907D7">
            <w:pPr>
              <w:widowControl/>
              <w:rPr>
                <w:rFonts w:cs="Arial"/>
                <w:bCs/>
                <w:color w:val="000000"/>
                <w:sz w:val="18"/>
                <w:szCs w:val="18"/>
                <w:lang w:eastAsia="en-GB" w:bidi="ar-SA"/>
              </w:rPr>
            </w:pPr>
            <w:r w:rsidRPr="002D2C2D">
              <w:rPr>
                <w:rFonts w:cs="Arial"/>
                <w:bCs/>
                <w:color w:val="000000"/>
                <w:sz w:val="18"/>
                <w:szCs w:val="18"/>
                <w:lang w:eastAsia="en-GB" w:bidi="ar-SA"/>
              </w:rPr>
              <w:t>All Foods intended for particular dietary uses</w:t>
            </w:r>
          </w:p>
        </w:tc>
        <w:tc>
          <w:tcPr>
            <w:tcW w:w="264" w:type="pct"/>
            <w:shd w:val="clear" w:color="auto" w:fill="auto"/>
            <w:vAlign w:val="center"/>
          </w:tcPr>
          <w:p w14:paraId="19A52C64"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3</w:t>
            </w:r>
          </w:p>
        </w:tc>
        <w:tc>
          <w:tcPr>
            <w:tcW w:w="264" w:type="pct"/>
            <w:shd w:val="clear" w:color="auto" w:fill="D9D9D9" w:themeFill="background1" w:themeFillShade="D9"/>
            <w:vAlign w:val="center"/>
          </w:tcPr>
          <w:p w14:paraId="70A4B564"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5</w:t>
            </w:r>
          </w:p>
        </w:tc>
        <w:tc>
          <w:tcPr>
            <w:tcW w:w="264" w:type="pct"/>
            <w:shd w:val="clear" w:color="auto" w:fill="D9D9D9" w:themeFill="background1" w:themeFillShade="D9"/>
            <w:vAlign w:val="center"/>
          </w:tcPr>
          <w:p w14:paraId="79CFBEF3"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5</w:t>
            </w:r>
          </w:p>
        </w:tc>
        <w:tc>
          <w:tcPr>
            <w:tcW w:w="264" w:type="pct"/>
            <w:shd w:val="clear" w:color="auto" w:fill="D9D9D9" w:themeFill="background1" w:themeFillShade="D9"/>
            <w:vAlign w:val="center"/>
          </w:tcPr>
          <w:p w14:paraId="31DD79C6"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5</w:t>
            </w:r>
          </w:p>
        </w:tc>
        <w:tc>
          <w:tcPr>
            <w:tcW w:w="264" w:type="pct"/>
            <w:shd w:val="clear" w:color="auto" w:fill="D9D9D9" w:themeFill="background1" w:themeFillShade="D9"/>
            <w:vAlign w:val="center"/>
          </w:tcPr>
          <w:p w14:paraId="18956066"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18</w:t>
            </w:r>
          </w:p>
        </w:tc>
        <w:tc>
          <w:tcPr>
            <w:tcW w:w="264" w:type="pct"/>
            <w:shd w:val="clear" w:color="auto" w:fill="D9D9D9" w:themeFill="background1" w:themeFillShade="D9"/>
            <w:vAlign w:val="center"/>
          </w:tcPr>
          <w:p w14:paraId="359FD6C3"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7</w:t>
            </w:r>
          </w:p>
        </w:tc>
        <w:tc>
          <w:tcPr>
            <w:tcW w:w="264" w:type="pct"/>
            <w:shd w:val="clear" w:color="auto" w:fill="D9D9D9" w:themeFill="background1" w:themeFillShade="D9"/>
            <w:vAlign w:val="center"/>
          </w:tcPr>
          <w:p w14:paraId="4FFEC909" w14:textId="77777777" w:rsidR="00E907D7" w:rsidRPr="002D2C2D" w:rsidRDefault="00E907D7" w:rsidP="00E907D7">
            <w:pPr>
              <w:widowControl/>
              <w:tabs>
                <w:tab w:val="decimal" w:pos="340"/>
              </w:tabs>
              <w:rPr>
                <w:rFonts w:cs="Arial"/>
                <w:bCs/>
                <w:sz w:val="18"/>
                <w:szCs w:val="18"/>
                <w:lang w:eastAsia="en-GB" w:bidi="ar-SA"/>
              </w:rPr>
            </w:pPr>
            <w:r w:rsidRPr="002D2C2D">
              <w:rPr>
                <w:rFonts w:cs="Arial"/>
                <w:bCs/>
                <w:color w:val="000000"/>
                <w:sz w:val="18"/>
                <w:szCs w:val="18"/>
              </w:rPr>
              <w:t>8</w:t>
            </w:r>
          </w:p>
        </w:tc>
        <w:tc>
          <w:tcPr>
            <w:tcW w:w="264" w:type="pct"/>
            <w:shd w:val="clear" w:color="auto" w:fill="D9D9D9" w:themeFill="background1" w:themeFillShade="D9"/>
            <w:vAlign w:val="center"/>
          </w:tcPr>
          <w:p w14:paraId="7C734212"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28</w:t>
            </w:r>
          </w:p>
        </w:tc>
        <w:tc>
          <w:tcPr>
            <w:tcW w:w="264" w:type="pct"/>
            <w:shd w:val="clear" w:color="auto" w:fill="D9D9D9" w:themeFill="background1" w:themeFillShade="D9"/>
            <w:vAlign w:val="center"/>
          </w:tcPr>
          <w:p w14:paraId="6CBAAAA4" w14:textId="77777777" w:rsidR="00E907D7" w:rsidRPr="002D2C2D" w:rsidRDefault="00E907D7" w:rsidP="00E907D7">
            <w:pPr>
              <w:widowControl/>
              <w:tabs>
                <w:tab w:val="decimal" w:pos="340"/>
              </w:tabs>
              <w:rPr>
                <w:rFonts w:cs="Arial"/>
                <w:bCs/>
                <w:sz w:val="18"/>
                <w:szCs w:val="18"/>
                <w:lang w:eastAsia="en-GB" w:bidi="ar-SA"/>
              </w:rPr>
            </w:pPr>
            <w:r w:rsidRPr="002D2C2D">
              <w:rPr>
                <w:rFonts w:cs="Arial"/>
                <w:bCs/>
                <w:color w:val="000000"/>
                <w:sz w:val="18"/>
                <w:szCs w:val="18"/>
              </w:rPr>
              <w:t>8</w:t>
            </w:r>
          </w:p>
        </w:tc>
        <w:tc>
          <w:tcPr>
            <w:tcW w:w="264" w:type="pct"/>
            <w:shd w:val="clear" w:color="auto" w:fill="D9D9D9" w:themeFill="background1" w:themeFillShade="D9"/>
            <w:vAlign w:val="center"/>
          </w:tcPr>
          <w:p w14:paraId="50314A64"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7</w:t>
            </w:r>
          </w:p>
        </w:tc>
        <w:tc>
          <w:tcPr>
            <w:tcW w:w="264" w:type="pct"/>
            <w:shd w:val="clear" w:color="auto" w:fill="D9D9D9" w:themeFill="background1" w:themeFillShade="D9"/>
            <w:vAlign w:val="center"/>
          </w:tcPr>
          <w:p w14:paraId="0DFFBF10" w14:textId="77777777" w:rsidR="00E907D7" w:rsidRPr="002D2C2D" w:rsidRDefault="00E907D7" w:rsidP="00E907D7">
            <w:pPr>
              <w:widowControl/>
              <w:tabs>
                <w:tab w:val="decimal" w:pos="340"/>
              </w:tabs>
              <w:rPr>
                <w:rFonts w:cs="Arial"/>
                <w:bCs/>
                <w:color w:val="000000"/>
                <w:sz w:val="18"/>
                <w:szCs w:val="18"/>
              </w:rPr>
            </w:pPr>
            <w:r w:rsidRPr="002D2C2D">
              <w:rPr>
                <w:rFonts w:cs="Arial"/>
                <w:bCs/>
                <w:color w:val="000000"/>
                <w:sz w:val="18"/>
                <w:szCs w:val="18"/>
              </w:rPr>
              <w:t>25</w:t>
            </w:r>
          </w:p>
        </w:tc>
        <w:tc>
          <w:tcPr>
            <w:tcW w:w="284" w:type="pct"/>
            <w:shd w:val="clear" w:color="auto" w:fill="D9D9D9" w:themeFill="background1" w:themeFillShade="D9"/>
            <w:vAlign w:val="center"/>
          </w:tcPr>
          <w:p w14:paraId="27518F66" w14:textId="77777777" w:rsidR="00E907D7" w:rsidRPr="002D2C2D" w:rsidRDefault="00E907D7" w:rsidP="00E907D7">
            <w:pPr>
              <w:widowControl/>
              <w:tabs>
                <w:tab w:val="decimal" w:pos="340"/>
              </w:tabs>
              <w:rPr>
                <w:rFonts w:cs="Arial"/>
                <w:bCs/>
                <w:color w:val="000000"/>
                <w:sz w:val="18"/>
                <w:szCs w:val="18"/>
                <w:lang w:eastAsia="en-GB" w:bidi="ar-SA"/>
              </w:rPr>
            </w:pPr>
            <w:r w:rsidRPr="002D2C2D">
              <w:rPr>
                <w:rFonts w:cs="Arial"/>
                <w:bCs/>
                <w:color w:val="000000"/>
                <w:sz w:val="18"/>
                <w:szCs w:val="18"/>
              </w:rPr>
              <w:t>7</w:t>
            </w:r>
          </w:p>
        </w:tc>
      </w:tr>
      <w:tr w:rsidR="00E907D7" w:rsidRPr="002D2C2D" w14:paraId="0EF5D1C3" w14:textId="77777777" w:rsidTr="001A319B">
        <w:trPr>
          <w:cantSplit/>
        </w:trPr>
        <w:tc>
          <w:tcPr>
            <w:tcW w:w="454" w:type="pct"/>
            <w:tcBorders>
              <w:bottom w:val="single" w:sz="4" w:space="0" w:color="auto"/>
            </w:tcBorders>
            <w:shd w:val="clear" w:color="auto" w:fill="auto"/>
            <w:vAlign w:val="center"/>
            <w:hideMark/>
          </w:tcPr>
          <w:p w14:paraId="4257C2CD" w14:textId="77777777" w:rsidR="00E907D7" w:rsidRPr="002D2C2D" w:rsidRDefault="00E907D7" w:rsidP="00E907D7">
            <w:pPr>
              <w:widowControl/>
              <w:rPr>
                <w:rFonts w:cs="Arial"/>
                <w:color w:val="000000"/>
                <w:sz w:val="18"/>
                <w:szCs w:val="18"/>
                <w:lang w:eastAsia="en-GB" w:bidi="ar-SA"/>
              </w:rPr>
            </w:pPr>
            <w:r w:rsidRPr="002D2C2D">
              <w:rPr>
                <w:rFonts w:cs="Arial"/>
                <w:color w:val="000000"/>
                <w:sz w:val="18"/>
                <w:szCs w:val="18"/>
              </w:rPr>
              <w:t>13.3.1</w:t>
            </w:r>
          </w:p>
        </w:tc>
        <w:tc>
          <w:tcPr>
            <w:tcW w:w="166" w:type="pct"/>
            <w:tcBorders>
              <w:bottom w:val="single" w:sz="4" w:space="0" w:color="auto"/>
              <w:right w:val="nil"/>
            </w:tcBorders>
            <w:shd w:val="clear" w:color="auto" w:fill="auto"/>
            <w:vAlign w:val="center"/>
          </w:tcPr>
          <w:p w14:paraId="3BD90B43" w14:textId="77777777" w:rsidR="00E907D7" w:rsidRPr="002D2C2D" w:rsidRDefault="00E907D7" w:rsidP="00E907D7">
            <w:pPr>
              <w:widowControl/>
              <w:rPr>
                <w:rFonts w:cs="Arial"/>
                <w:color w:val="000000"/>
                <w:sz w:val="18"/>
                <w:szCs w:val="18"/>
                <w:lang w:eastAsia="en-GB" w:bidi="ar-SA"/>
              </w:rPr>
            </w:pPr>
          </w:p>
        </w:tc>
        <w:tc>
          <w:tcPr>
            <w:tcW w:w="1192" w:type="pct"/>
            <w:tcBorders>
              <w:left w:val="nil"/>
              <w:bottom w:val="single" w:sz="4" w:space="0" w:color="auto"/>
            </w:tcBorders>
            <w:shd w:val="clear" w:color="auto" w:fill="auto"/>
            <w:vAlign w:val="center"/>
            <w:hideMark/>
          </w:tcPr>
          <w:p w14:paraId="1091EC8C" w14:textId="77777777" w:rsidR="00E907D7" w:rsidRPr="002D2C2D" w:rsidRDefault="00E907D7" w:rsidP="00E907D7">
            <w:pPr>
              <w:widowControl/>
              <w:rPr>
                <w:rFonts w:cs="Arial"/>
                <w:color w:val="000000" w:themeColor="text1"/>
                <w:sz w:val="18"/>
                <w:szCs w:val="18"/>
                <w:lang w:eastAsia="en-GB" w:bidi="ar-SA"/>
              </w:rPr>
            </w:pPr>
            <w:r w:rsidRPr="002D2C2D">
              <w:rPr>
                <w:rFonts w:cs="Arial"/>
                <w:color w:val="000000"/>
                <w:sz w:val="18"/>
                <w:szCs w:val="18"/>
              </w:rPr>
              <w:t>Solid formula meal replacement &amp; formulated supplementary foods</w:t>
            </w:r>
          </w:p>
        </w:tc>
        <w:tc>
          <w:tcPr>
            <w:tcW w:w="264" w:type="pct"/>
            <w:shd w:val="clear" w:color="auto" w:fill="auto"/>
            <w:vAlign w:val="center"/>
          </w:tcPr>
          <w:p w14:paraId="492C7D38" w14:textId="77777777" w:rsidR="00E907D7" w:rsidRPr="002D2C2D" w:rsidRDefault="00E907D7" w:rsidP="00E907D7">
            <w:pPr>
              <w:widowControl/>
              <w:tabs>
                <w:tab w:val="decimal" w:pos="340"/>
              </w:tabs>
              <w:rPr>
                <w:rFonts w:cs="Arial"/>
                <w:color w:val="000000"/>
                <w:sz w:val="18"/>
                <w:szCs w:val="18"/>
                <w:highlight w:val="magenta"/>
                <w:lang w:eastAsia="en-GB" w:bidi="ar-SA"/>
              </w:rPr>
            </w:pPr>
            <w:r w:rsidRPr="002D2C2D">
              <w:rPr>
                <w:rFonts w:cs="Arial"/>
                <w:color w:val="000000"/>
                <w:sz w:val="18"/>
                <w:szCs w:val="18"/>
              </w:rPr>
              <w:t>&lt;1</w:t>
            </w:r>
          </w:p>
        </w:tc>
        <w:tc>
          <w:tcPr>
            <w:tcW w:w="264" w:type="pct"/>
            <w:vAlign w:val="center"/>
          </w:tcPr>
          <w:p w14:paraId="4ACC9653" w14:textId="77777777" w:rsidR="00E907D7" w:rsidRPr="002D2C2D" w:rsidRDefault="00E907D7" w:rsidP="00E907D7">
            <w:pPr>
              <w:widowControl/>
              <w:tabs>
                <w:tab w:val="decimal" w:pos="340"/>
              </w:tabs>
              <w:rPr>
                <w:rFonts w:cs="Arial"/>
                <w:color w:val="000000"/>
                <w:sz w:val="18"/>
                <w:szCs w:val="18"/>
              </w:rPr>
            </w:pPr>
            <w:r w:rsidRPr="002D2C2D">
              <w:rPr>
                <w:rFonts w:cs="Arial"/>
                <w:color w:val="000000"/>
                <w:sz w:val="18"/>
                <w:szCs w:val="18"/>
              </w:rPr>
              <w:t>&lt;1</w:t>
            </w:r>
          </w:p>
        </w:tc>
        <w:tc>
          <w:tcPr>
            <w:tcW w:w="264" w:type="pct"/>
            <w:tcBorders>
              <w:bottom w:val="single" w:sz="4" w:space="0" w:color="auto"/>
            </w:tcBorders>
            <w:shd w:val="clear" w:color="auto" w:fill="auto"/>
            <w:vAlign w:val="center"/>
          </w:tcPr>
          <w:p w14:paraId="25AFC4D9" w14:textId="77777777" w:rsidR="00E907D7" w:rsidRPr="002D2C2D" w:rsidRDefault="00E907D7" w:rsidP="00E907D7">
            <w:pPr>
              <w:widowControl/>
              <w:tabs>
                <w:tab w:val="decimal" w:pos="340"/>
              </w:tabs>
              <w:rPr>
                <w:rFonts w:cs="Arial"/>
                <w:color w:val="000000"/>
                <w:sz w:val="18"/>
                <w:szCs w:val="18"/>
                <w:highlight w:val="magenta"/>
                <w:lang w:eastAsia="en-GB" w:bidi="ar-SA"/>
              </w:rPr>
            </w:pPr>
            <w:r w:rsidRPr="002D2C2D">
              <w:rPr>
                <w:rFonts w:cs="Arial"/>
                <w:color w:val="000000"/>
                <w:sz w:val="18"/>
                <w:szCs w:val="18"/>
              </w:rPr>
              <w:t>&lt;1</w:t>
            </w:r>
          </w:p>
        </w:tc>
        <w:tc>
          <w:tcPr>
            <w:tcW w:w="264" w:type="pct"/>
            <w:shd w:val="clear" w:color="auto" w:fill="auto"/>
            <w:vAlign w:val="center"/>
          </w:tcPr>
          <w:p w14:paraId="631F7260" w14:textId="77777777" w:rsidR="00E907D7" w:rsidRPr="002D2C2D" w:rsidRDefault="00E907D7" w:rsidP="00E907D7">
            <w:pPr>
              <w:widowControl/>
              <w:tabs>
                <w:tab w:val="decimal" w:pos="340"/>
              </w:tabs>
              <w:rPr>
                <w:rFonts w:cs="Arial"/>
                <w:color w:val="000000"/>
                <w:sz w:val="18"/>
                <w:szCs w:val="18"/>
                <w:highlight w:val="magenta"/>
                <w:lang w:eastAsia="en-GB" w:bidi="ar-SA"/>
              </w:rPr>
            </w:pPr>
            <w:r w:rsidRPr="002D2C2D">
              <w:rPr>
                <w:rFonts w:cs="Arial"/>
                <w:color w:val="000000"/>
                <w:sz w:val="18"/>
                <w:szCs w:val="18"/>
              </w:rPr>
              <w:t>&lt;1</w:t>
            </w:r>
          </w:p>
        </w:tc>
        <w:tc>
          <w:tcPr>
            <w:tcW w:w="264" w:type="pct"/>
            <w:vAlign w:val="center"/>
          </w:tcPr>
          <w:p w14:paraId="4873B9E5" w14:textId="77777777" w:rsidR="00E907D7" w:rsidRPr="002D2C2D" w:rsidRDefault="00E907D7" w:rsidP="00E907D7">
            <w:pPr>
              <w:widowControl/>
              <w:tabs>
                <w:tab w:val="decimal" w:pos="340"/>
              </w:tabs>
              <w:rPr>
                <w:rFonts w:cs="Arial"/>
                <w:color w:val="000000"/>
                <w:sz w:val="18"/>
                <w:szCs w:val="18"/>
              </w:rPr>
            </w:pPr>
            <w:r w:rsidRPr="002D2C2D">
              <w:rPr>
                <w:rFonts w:cs="Arial"/>
                <w:color w:val="000000"/>
                <w:sz w:val="18"/>
                <w:szCs w:val="18"/>
              </w:rPr>
              <w:t>&lt;1</w:t>
            </w:r>
          </w:p>
        </w:tc>
        <w:tc>
          <w:tcPr>
            <w:tcW w:w="264" w:type="pct"/>
            <w:tcBorders>
              <w:bottom w:val="single" w:sz="4" w:space="0" w:color="auto"/>
            </w:tcBorders>
            <w:shd w:val="clear" w:color="auto" w:fill="auto"/>
            <w:vAlign w:val="center"/>
          </w:tcPr>
          <w:p w14:paraId="1AAF6B0C" w14:textId="77777777" w:rsidR="00E907D7" w:rsidRPr="002D2C2D" w:rsidRDefault="00E907D7" w:rsidP="00E907D7">
            <w:pPr>
              <w:widowControl/>
              <w:tabs>
                <w:tab w:val="decimal" w:pos="340"/>
              </w:tabs>
              <w:rPr>
                <w:rFonts w:cs="Arial"/>
                <w:color w:val="000000"/>
                <w:sz w:val="18"/>
                <w:szCs w:val="18"/>
                <w:highlight w:val="magenta"/>
                <w:lang w:eastAsia="en-GB" w:bidi="ar-SA"/>
              </w:rPr>
            </w:pPr>
            <w:r w:rsidRPr="002D2C2D">
              <w:rPr>
                <w:rFonts w:cs="Arial"/>
                <w:color w:val="000000"/>
                <w:sz w:val="18"/>
                <w:szCs w:val="18"/>
              </w:rPr>
              <w:t>&lt;1</w:t>
            </w:r>
          </w:p>
        </w:tc>
        <w:tc>
          <w:tcPr>
            <w:tcW w:w="264" w:type="pct"/>
            <w:shd w:val="clear" w:color="auto" w:fill="auto"/>
            <w:vAlign w:val="center"/>
          </w:tcPr>
          <w:p w14:paraId="56AA7191" w14:textId="77777777" w:rsidR="00E907D7" w:rsidRPr="002D2C2D" w:rsidRDefault="00E907D7" w:rsidP="00E907D7">
            <w:pPr>
              <w:widowControl/>
              <w:tabs>
                <w:tab w:val="decimal" w:pos="340"/>
              </w:tabs>
              <w:rPr>
                <w:rFonts w:cs="Arial"/>
                <w:color w:val="000000"/>
                <w:sz w:val="18"/>
                <w:szCs w:val="18"/>
                <w:highlight w:val="magenta"/>
                <w:lang w:eastAsia="en-GB" w:bidi="ar-SA"/>
              </w:rPr>
            </w:pPr>
            <w:r w:rsidRPr="002D2C2D">
              <w:rPr>
                <w:rFonts w:cs="Arial"/>
                <w:color w:val="000000"/>
                <w:sz w:val="18"/>
                <w:szCs w:val="18"/>
              </w:rPr>
              <w:t>&lt;1</w:t>
            </w:r>
          </w:p>
        </w:tc>
        <w:tc>
          <w:tcPr>
            <w:tcW w:w="264" w:type="pct"/>
            <w:vAlign w:val="center"/>
          </w:tcPr>
          <w:p w14:paraId="63D3A915" w14:textId="77777777" w:rsidR="00E907D7" w:rsidRPr="002D2C2D" w:rsidRDefault="00E907D7" w:rsidP="00E907D7">
            <w:pPr>
              <w:widowControl/>
              <w:tabs>
                <w:tab w:val="decimal" w:pos="340"/>
              </w:tabs>
              <w:rPr>
                <w:rFonts w:cs="Arial"/>
                <w:color w:val="000000"/>
                <w:sz w:val="18"/>
                <w:szCs w:val="18"/>
              </w:rPr>
            </w:pPr>
            <w:r w:rsidRPr="002D2C2D">
              <w:rPr>
                <w:rFonts w:cs="Arial"/>
                <w:color w:val="000000"/>
                <w:sz w:val="18"/>
                <w:szCs w:val="18"/>
              </w:rPr>
              <w:t>&lt;1</w:t>
            </w:r>
          </w:p>
        </w:tc>
        <w:tc>
          <w:tcPr>
            <w:tcW w:w="264" w:type="pct"/>
            <w:shd w:val="clear" w:color="auto" w:fill="auto"/>
            <w:vAlign w:val="center"/>
          </w:tcPr>
          <w:p w14:paraId="4A0A6990" w14:textId="77777777" w:rsidR="00E907D7" w:rsidRPr="002D2C2D" w:rsidRDefault="00E907D7" w:rsidP="00E907D7">
            <w:pPr>
              <w:widowControl/>
              <w:tabs>
                <w:tab w:val="decimal" w:pos="340"/>
              </w:tabs>
              <w:rPr>
                <w:rFonts w:cs="Arial"/>
                <w:color w:val="000000"/>
                <w:sz w:val="18"/>
                <w:szCs w:val="18"/>
                <w:highlight w:val="magenta"/>
                <w:lang w:eastAsia="en-GB" w:bidi="ar-SA"/>
              </w:rPr>
            </w:pPr>
            <w:r w:rsidRPr="002D2C2D">
              <w:rPr>
                <w:rFonts w:cs="Arial"/>
                <w:color w:val="000000"/>
                <w:sz w:val="18"/>
                <w:szCs w:val="18"/>
              </w:rPr>
              <w:t>&lt;1</w:t>
            </w:r>
          </w:p>
        </w:tc>
        <w:tc>
          <w:tcPr>
            <w:tcW w:w="264" w:type="pct"/>
            <w:shd w:val="clear" w:color="auto" w:fill="auto"/>
            <w:vAlign w:val="center"/>
          </w:tcPr>
          <w:p w14:paraId="0C80987A" w14:textId="77777777" w:rsidR="00E907D7" w:rsidRPr="002D2C2D" w:rsidRDefault="00E907D7" w:rsidP="00E907D7">
            <w:pPr>
              <w:widowControl/>
              <w:tabs>
                <w:tab w:val="decimal" w:pos="340"/>
              </w:tabs>
              <w:rPr>
                <w:rFonts w:cs="Arial"/>
                <w:color w:val="000000"/>
                <w:sz w:val="18"/>
                <w:szCs w:val="18"/>
                <w:highlight w:val="magenta"/>
                <w:lang w:eastAsia="en-GB" w:bidi="ar-SA"/>
              </w:rPr>
            </w:pPr>
            <w:r w:rsidRPr="002D2C2D">
              <w:rPr>
                <w:rFonts w:cs="Arial"/>
                <w:color w:val="000000"/>
                <w:sz w:val="18"/>
                <w:szCs w:val="18"/>
              </w:rPr>
              <w:t>&lt;1</w:t>
            </w:r>
          </w:p>
        </w:tc>
        <w:tc>
          <w:tcPr>
            <w:tcW w:w="264" w:type="pct"/>
            <w:vAlign w:val="center"/>
          </w:tcPr>
          <w:p w14:paraId="3C6627A9" w14:textId="77777777" w:rsidR="00E907D7" w:rsidRPr="002D2C2D" w:rsidRDefault="00E907D7" w:rsidP="00E907D7">
            <w:pPr>
              <w:widowControl/>
              <w:tabs>
                <w:tab w:val="decimal" w:pos="340"/>
              </w:tabs>
              <w:rPr>
                <w:rFonts w:cs="Arial"/>
                <w:color w:val="000000"/>
                <w:sz w:val="18"/>
                <w:szCs w:val="18"/>
              </w:rPr>
            </w:pPr>
            <w:r w:rsidRPr="002D2C2D">
              <w:rPr>
                <w:rFonts w:cs="Arial"/>
                <w:color w:val="000000"/>
                <w:sz w:val="18"/>
                <w:szCs w:val="18"/>
              </w:rPr>
              <w:t>&lt;1</w:t>
            </w:r>
          </w:p>
        </w:tc>
        <w:tc>
          <w:tcPr>
            <w:tcW w:w="284" w:type="pct"/>
            <w:shd w:val="clear" w:color="auto" w:fill="auto"/>
            <w:vAlign w:val="center"/>
          </w:tcPr>
          <w:p w14:paraId="360C3FBC" w14:textId="77777777" w:rsidR="00E907D7" w:rsidRPr="002D2C2D" w:rsidRDefault="00E907D7" w:rsidP="00E907D7">
            <w:pPr>
              <w:widowControl/>
              <w:tabs>
                <w:tab w:val="decimal" w:pos="340"/>
              </w:tabs>
              <w:rPr>
                <w:rFonts w:cs="Arial"/>
                <w:color w:val="000000"/>
                <w:sz w:val="18"/>
                <w:szCs w:val="18"/>
                <w:highlight w:val="magenta"/>
                <w:lang w:eastAsia="en-GB" w:bidi="ar-SA"/>
              </w:rPr>
            </w:pPr>
            <w:r w:rsidRPr="002D2C2D">
              <w:rPr>
                <w:rFonts w:cs="Arial"/>
                <w:color w:val="000000"/>
                <w:sz w:val="18"/>
                <w:szCs w:val="18"/>
              </w:rPr>
              <w:t>&lt;1</w:t>
            </w:r>
          </w:p>
        </w:tc>
      </w:tr>
      <w:tr w:rsidR="00E907D7" w:rsidRPr="002D2C2D" w14:paraId="533A7230" w14:textId="77777777" w:rsidTr="001A319B">
        <w:trPr>
          <w:cantSplit/>
        </w:trPr>
        <w:tc>
          <w:tcPr>
            <w:tcW w:w="454" w:type="pct"/>
            <w:shd w:val="clear" w:color="auto" w:fill="D9D9D9" w:themeFill="background1" w:themeFillShade="D9"/>
            <w:vAlign w:val="center"/>
            <w:hideMark/>
          </w:tcPr>
          <w:p w14:paraId="077CDDBD" w14:textId="77777777" w:rsidR="00E907D7" w:rsidRPr="002D2C2D" w:rsidRDefault="00E907D7" w:rsidP="00E907D7">
            <w:pPr>
              <w:widowControl/>
              <w:rPr>
                <w:rFonts w:cs="Arial"/>
                <w:color w:val="000000"/>
                <w:sz w:val="18"/>
                <w:szCs w:val="18"/>
                <w:lang w:eastAsia="en-GB" w:bidi="ar-SA"/>
              </w:rPr>
            </w:pPr>
            <w:r w:rsidRPr="002D2C2D">
              <w:rPr>
                <w:rFonts w:cs="Arial"/>
                <w:color w:val="000000"/>
                <w:sz w:val="18"/>
                <w:szCs w:val="18"/>
              </w:rPr>
              <w:t>13.3.2</w:t>
            </w:r>
          </w:p>
        </w:tc>
        <w:tc>
          <w:tcPr>
            <w:tcW w:w="166" w:type="pct"/>
            <w:tcBorders>
              <w:right w:val="nil"/>
            </w:tcBorders>
            <w:shd w:val="clear" w:color="auto" w:fill="D9D9D9" w:themeFill="background1" w:themeFillShade="D9"/>
            <w:vAlign w:val="center"/>
          </w:tcPr>
          <w:p w14:paraId="5C536277" w14:textId="77777777" w:rsidR="00E907D7" w:rsidRPr="002D2C2D" w:rsidRDefault="00E907D7" w:rsidP="00E907D7">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05F56206" w14:textId="77777777" w:rsidR="00E907D7" w:rsidRPr="002D2C2D" w:rsidRDefault="00E907D7" w:rsidP="00E907D7">
            <w:pPr>
              <w:widowControl/>
              <w:rPr>
                <w:rFonts w:cs="Arial"/>
                <w:color w:val="000000" w:themeColor="text1"/>
                <w:sz w:val="18"/>
                <w:szCs w:val="18"/>
                <w:lang w:eastAsia="en-GB" w:bidi="ar-SA"/>
              </w:rPr>
            </w:pPr>
            <w:r w:rsidRPr="002D2C2D">
              <w:rPr>
                <w:rFonts w:cs="Arial"/>
                <w:color w:val="000000"/>
                <w:sz w:val="18"/>
                <w:szCs w:val="18"/>
              </w:rPr>
              <w:t>Liquid formula meal replacement &amp; formulated supplementary foods</w:t>
            </w:r>
          </w:p>
        </w:tc>
        <w:tc>
          <w:tcPr>
            <w:tcW w:w="264" w:type="pct"/>
            <w:shd w:val="clear" w:color="auto" w:fill="auto"/>
            <w:vAlign w:val="center"/>
          </w:tcPr>
          <w:p w14:paraId="31BE3E26"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2</w:t>
            </w:r>
          </w:p>
        </w:tc>
        <w:tc>
          <w:tcPr>
            <w:tcW w:w="264" w:type="pct"/>
            <w:vAlign w:val="center"/>
          </w:tcPr>
          <w:p w14:paraId="6A62F398" w14:textId="77777777" w:rsidR="00E907D7" w:rsidRPr="002D2C2D" w:rsidRDefault="00E907D7" w:rsidP="00E907D7">
            <w:pPr>
              <w:widowControl/>
              <w:tabs>
                <w:tab w:val="decimal" w:pos="340"/>
              </w:tabs>
              <w:rPr>
                <w:rFonts w:cs="Arial"/>
                <w:color w:val="000000"/>
                <w:sz w:val="18"/>
                <w:szCs w:val="18"/>
              </w:rPr>
            </w:pPr>
            <w:r w:rsidRPr="002D2C2D">
              <w:rPr>
                <w:rFonts w:cs="Arial"/>
                <w:color w:val="000000"/>
                <w:sz w:val="18"/>
                <w:szCs w:val="18"/>
              </w:rPr>
              <w:t>2</w:t>
            </w:r>
          </w:p>
        </w:tc>
        <w:tc>
          <w:tcPr>
            <w:tcW w:w="264" w:type="pct"/>
            <w:shd w:val="clear" w:color="auto" w:fill="D9D9D9" w:themeFill="background1" w:themeFillShade="D9"/>
            <w:vAlign w:val="center"/>
          </w:tcPr>
          <w:p w14:paraId="71280C78"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5</w:t>
            </w:r>
          </w:p>
        </w:tc>
        <w:tc>
          <w:tcPr>
            <w:tcW w:w="264" w:type="pct"/>
            <w:shd w:val="clear" w:color="auto" w:fill="auto"/>
            <w:vAlign w:val="center"/>
          </w:tcPr>
          <w:p w14:paraId="28735A45"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1</w:t>
            </w:r>
          </w:p>
        </w:tc>
        <w:tc>
          <w:tcPr>
            <w:tcW w:w="264" w:type="pct"/>
            <w:shd w:val="clear" w:color="auto" w:fill="auto"/>
            <w:vAlign w:val="center"/>
          </w:tcPr>
          <w:p w14:paraId="6C5ADA83" w14:textId="77777777" w:rsidR="00E907D7" w:rsidRPr="002D2C2D" w:rsidRDefault="00E907D7" w:rsidP="00E907D7">
            <w:pPr>
              <w:widowControl/>
              <w:tabs>
                <w:tab w:val="decimal" w:pos="340"/>
              </w:tabs>
              <w:rPr>
                <w:rFonts w:cs="Arial"/>
                <w:color w:val="000000"/>
                <w:sz w:val="18"/>
                <w:szCs w:val="18"/>
              </w:rPr>
            </w:pPr>
            <w:r w:rsidRPr="002D2C2D">
              <w:rPr>
                <w:rFonts w:cs="Arial"/>
                <w:color w:val="000000"/>
                <w:sz w:val="18"/>
                <w:szCs w:val="18"/>
              </w:rPr>
              <w:t>1</w:t>
            </w:r>
          </w:p>
        </w:tc>
        <w:tc>
          <w:tcPr>
            <w:tcW w:w="264" w:type="pct"/>
            <w:shd w:val="clear" w:color="auto" w:fill="auto"/>
            <w:vAlign w:val="center"/>
          </w:tcPr>
          <w:p w14:paraId="747DBE6F"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4</w:t>
            </w:r>
          </w:p>
        </w:tc>
        <w:tc>
          <w:tcPr>
            <w:tcW w:w="264" w:type="pct"/>
            <w:shd w:val="clear" w:color="auto" w:fill="auto"/>
            <w:vAlign w:val="center"/>
          </w:tcPr>
          <w:p w14:paraId="16FFA96E"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4" w:type="pct"/>
            <w:vAlign w:val="center"/>
          </w:tcPr>
          <w:p w14:paraId="6913933C" w14:textId="77777777" w:rsidR="00E907D7" w:rsidRPr="002D2C2D" w:rsidRDefault="00E907D7" w:rsidP="00E907D7">
            <w:pPr>
              <w:widowControl/>
              <w:tabs>
                <w:tab w:val="decimal" w:pos="340"/>
              </w:tabs>
              <w:rPr>
                <w:rFonts w:cs="Arial"/>
                <w:color w:val="000000"/>
                <w:sz w:val="18"/>
                <w:szCs w:val="18"/>
              </w:rPr>
            </w:pPr>
            <w:r w:rsidRPr="002D2C2D">
              <w:rPr>
                <w:rFonts w:cs="Arial"/>
                <w:color w:val="000000"/>
                <w:sz w:val="18"/>
                <w:szCs w:val="18"/>
              </w:rPr>
              <w:t>&lt;1</w:t>
            </w:r>
          </w:p>
        </w:tc>
        <w:tc>
          <w:tcPr>
            <w:tcW w:w="264" w:type="pct"/>
            <w:shd w:val="clear" w:color="auto" w:fill="auto"/>
            <w:vAlign w:val="center"/>
          </w:tcPr>
          <w:p w14:paraId="2F04606E"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2</w:t>
            </w:r>
          </w:p>
        </w:tc>
        <w:tc>
          <w:tcPr>
            <w:tcW w:w="264" w:type="pct"/>
            <w:shd w:val="clear" w:color="auto" w:fill="auto"/>
            <w:vAlign w:val="center"/>
          </w:tcPr>
          <w:p w14:paraId="55F42A8F"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4" w:type="pct"/>
            <w:vAlign w:val="center"/>
          </w:tcPr>
          <w:p w14:paraId="13119E8C" w14:textId="77777777" w:rsidR="00E907D7" w:rsidRPr="002D2C2D" w:rsidRDefault="00E907D7" w:rsidP="00E907D7">
            <w:pPr>
              <w:widowControl/>
              <w:tabs>
                <w:tab w:val="decimal" w:pos="340"/>
              </w:tabs>
              <w:rPr>
                <w:rFonts w:cs="Arial"/>
                <w:color w:val="000000"/>
                <w:sz w:val="18"/>
                <w:szCs w:val="18"/>
              </w:rPr>
            </w:pPr>
            <w:r w:rsidRPr="002D2C2D">
              <w:rPr>
                <w:rFonts w:cs="Arial"/>
                <w:color w:val="000000"/>
                <w:sz w:val="18"/>
                <w:szCs w:val="18"/>
              </w:rPr>
              <w:t>&lt;1</w:t>
            </w:r>
          </w:p>
        </w:tc>
        <w:tc>
          <w:tcPr>
            <w:tcW w:w="284" w:type="pct"/>
            <w:shd w:val="clear" w:color="auto" w:fill="auto"/>
            <w:vAlign w:val="center"/>
          </w:tcPr>
          <w:p w14:paraId="25FC183C"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3</w:t>
            </w:r>
          </w:p>
        </w:tc>
      </w:tr>
      <w:tr w:rsidR="00E907D7" w:rsidRPr="002D2C2D" w14:paraId="04CB2FFB" w14:textId="77777777" w:rsidTr="001A319B">
        <w:trPr>
          <w:cantSplit/>
        </w:trPr>
        <w:tc>
          <w:tcPr>
            <w:tcW w:w="454" w:type="pct"/>
            <w:tcBorders>
              <w:bottom w:val="single" w:sz="4" w:space="0" w:color="auto"/>
            </w:tcBorders>
            <w:shd w:val="clear" w:color="auto" w:fill="auto"/>
            <w:vAlign w:val="center"/>
            <w:hideMark/>
          </w:tcPr>
          <w:p w14:paraId="043B84B7" w14:textId="77777777" w:rsidR="00E907D7" w:rsidRPr="002D2C2D" w:rsidRDefault="00E907D7" w:rsidP="00E907D7">
            <w:pPr>
              <w:widowControl/>
              <w:rPr>
                <w:rFonts w:cs="Arial"/>
                <w:color w:val="000000"/>
                <w:sz w:val="18"/>
                <w:szCs w:val="18"/>
                <w:lang w:eastAsia="en-GB" w:bidi="ar-SA"/>
              </w:rPr>
            </w:pPr>
            <w:r w:rsidRPr="002D2C2D">
              <w:rPr>
                <w:rFonts w:cs="Arial"/>
                <w:color w:val="000000"/>
                <w:sz w:val="18"/>
                <w:szCs w:val="18"/>
                <w:lang w:eastAsia="en-GB" w:bidi="ar-SA"/>
              </w:rPr>
              <w:t>13.4.1</w:t>
            </w:r>
          </w:p>
        </w:tc>
        <w:tc>
          <w:tcPr>
            <w:tcW w:w="166" w:type="pct"/>
            <w:tcBorders>
              <w:bottom w:val="single" w:sz="4" w:space="0" w:color="auto"/>
              <w:right w:val="nil"/>
            </w:tcBorders>
            <w:shd w:val="clear" w:color="auto" w:fill="auto"/>
            <w:vAlign w:val="center"/>
          </w:tcPr>
          <w:p w14:paraId="7A5F1BD2" w14:textId="77777777" w:rsidR="00E907D7" w:rsidRPr="002D2C2D" w:rsidRDefault="00E907D7" w:rsidP="00E907D7">
            <w:pPr>
              <w:widowControl/>
              <w:rPr>
                <w:rFonts w:cs="Arial"/>
                <w:color w:val="000000"/>
                <w:sz w:val="18"/>
                <w:szCs w:val="18"/>
                <w:lang w:eastAsia="en-GB" w:bidi="ar-SA"/>
              </w:rPr>
            </w:pPr>
          </w:p>
        </w:tc>
        <w:tc>
          <w:tcPr>
            <w:tcW w:w="1192" w:type="pct"/>
            <w:tcBorders>
              <w:left w:val="nil"/>
              <w:bottom w:val="single" w:sz="4" w:space="0" w:color="auto"/>
            </w:tcBorders>
            <w:shd w:val="clear" w:color="auto" w:fill="auto"/>
            <w:vAlign w:val="center"/>
            <w:hideMark/>
          </w:tcPr>
          <w:p w14:paraId="2DBB4219" w14:textId="77777777" w:rsidR="00E907D7" w:rsidRPr="002D2C2D" w:rsidRDefault="00E907D7" w:rsidP="00E907D7">
            <w:pPr>
              <w:widowControl/>
              <w:rPr>
                <w:rFonts w:cs="Arial"/>
                <w:color w:val="000000"/>
                <w:sz w:val="18"/>
                <w:szCs w:val="18"/>
                <w:lang w:eastAsia="en-GB" w:bidi="ar-SA"/>
              </w:rPr>
            </w:pPr>
            <w:r w:rsidRPr="002D2C2D">
              <w:rPr>
                <w:rFonts w:cs="Arial"/>
                <w:color w:val="000000"/>
                <w:sz w:val="18"/>
                <w:szCs w:val="18"/>
                <w:lang w:eastAsia="en-GB" w:bidi="ar-SA"/>
              </w:rPr>
              <w:t>Solid formulated supplementary sports foods</w:t>
            </w:r>
          </w:p>
        </w:tc>
        <w:tc>
          <w:tcPr>
            <w:tcW w:w="264" w:type="pct"/>
            <w:shd w:val="clear" w:color="auto" w:fill="auto"/>
            <w:vAlign w:val="center"/>
          </w:tcPr>
          <w:p w14:paraId="03E387D6"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4" w:type="pct"/>
            <w:vAlign w:val="center"/>
          </w:tcPr>
          <w:p w14:paraId="4ADECC8C" w14:textId="77777777" w:rsidR="00E907D7" w:rsidRPr="002D2C2D" w:rsidRDefault="00E907D7" w:rsidP="00E907D7">
            <w:pPr>
              <w:widowControl/>
              <w:tabs>
                <w:tab w:val="decimal" w:pos="340"/>
              </w:tabs>
              <w:rPr>
                <w:rFonts w:cs="Arial"/>
                <w:color w:val="000000"/>
                <w:sz w:val="18"/>
                <w:szCs w:val="18"/>
              </w:rPr>
            </w:pPr>
            <w:r w:rsidRPr="002D2C2D">
              <w:rPr>
                <w:rFonts w:cs="Arial"/>
                <w:color w:val="000000"/>
                <w:sz w:val="18"/>
                <w:szCs w:val="18"/>
              </w:rPr>
              <w:t>&lt;1</w:t>
            </w:r>
          </w:p>
        </w:tc>
        <w:tc>
          <w:tcPr>
            <w:tcW w:w="264" w:type="pct"/>
            <w:shd w:val="clear" w:color="auto" w:fill="auto"/>
            <w:vAlign w:val="center"/>
          </w:tcPr>
          <w:p w14:paraId="6059EC5A"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4" w:type="pct"/>
            <w:shd w:val="clear" w:color="auto" w:fill="auto"/>
            <w:vAlign w:val="center"/>
          </w:tcPr>
          <w:p w14:paraId="74CD1C32"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4" w:type="pct"/>
            <w:tcBorders>
              <w:bottom w:val="single" w:sz="4" w:space="0" w:color="auto"/>
            </w:tcBorders>
            <w:vAlign w:val="center"/>
          </w:tcPr>
          <w:p w14:paraId="7BBFB2C1" w14:textId="77777777" w:rsidR="00E907D7" w:rsidRPr="002D2C2D" w:rsidRDefault="00E907D7" w:rsidP="00E907D7">
            <w:pPr>
              <w:widowControl/>
              <w:tabs>
                <w:tab w:val="decimal" w:pos="340"/>
              </w:tabs>
              <w:rPr>
                <w:rFonts w:cs="Arial"/>
                <w:color w:val="000000"/>
                <w:sz w:val="18"/>
                <w:szCs w:val="18"/>
              </w:rPr>
            </w:pPr>
            <w:r w:rsidRPr="002D2C2D">
              <w:rPr>
                <w:rFonts w:cs="Arial"/>
                <w:color w:val="000000"/>
                <w:sz w:val="18"/>
                <w:szCs w:val="18"/>
              </w:rPr>
              <w:t>&lt;1</w:t>
            </w:r>
          </w:p>
        </w:tc>
        <w:tc>
          <w:tcPr>
            <w:tcW w:w="264" w:type="pct"/>
            <w:shd w:val="clear" w:color="auto" w:fill="auto"/>
            <w:vAlign w:val="center"/>
          </w:tcPr>
          <w:p w14:paraId="04399B6A"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4" w:type="pct"/>
            <w:tcBorders>
              <w:bottom w:val="single" w:sz="4" w:space="0" w:color="auto"/>
            </w:tcBorders>
            <w:shd w:val="clear" w:color="auto" w:fill="auto"/>
            <w:vAlign w:val="center"/>
          </w:tcPr>
          <w:p w14:paraId="310BEA61"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4" w:type="pct"/>
            <w:tcBorders>
              <w:bottom w:val="single" w:sz="4" w:space="0" w:color="auto"/>
            </w:tcBorders>
            <w:vAlign w:val="center"/>
          </w:tcPr>
          <w:p w14:paraId="312B5FE9" w14:textId="77777777" w:rsidR="00E907D7" w:rsidRPr="002D2C2D" w:rsidRDefault="00E907D7" w:rsidP="00E907D7">
            <w:pPr>
              <w:widowControl/>
              <w:tabs>
                <w:tab w:val="decimal" w:pos="340"/>
              </w:tabs>
              <w:rPr>
                <w:rFonts w:cs="Arial"/>
                <w:color w:val="000000"/>
                <w:sz w:val="18"/>
                <w:szCs w:val="18"/>
              </w:rPr>
            </w:pPr>
            <w:r w:rsidRPr="002D2C2D">
              <w:rPr>
                <w:rFonts w:cs="Arial"/>
                <w:color w:val="000000"/>
                <w:sz w:val="18"/>
                <w:szCs w:val="18"/>
              </w:rPr>
              <w:t>3</w:t>
            </w:r>
          </w:p>
        </w:tc>
        <w:tc>
          <w:tcPr>
            <w:tcW w:w="264" w:type="pct"/>
            <w:tcBorders>
              <w:bottom w:val="single" w:sz="4" w:space="0" w:color="auto"/>
            </w:tcBorders>
            <w:shd w:val="clear" w:color="auto" w:fill="auto"/>
            <w:vAlign w:val="center"/>
          </w:tcPr>
          <w:p w14:paraId="680B2ADC"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4" w:type="pct"/>
            <w:tcBorders>
              <w:bottom w:val="single" w:sz="4" w:space="0" w:color="auto"/>
            </w:tcBorders>
            <w:shd w:val="clear" w:color="auto" w:fill="auto"/>
            <w:vAlign w:val="center"/>
          </w:tcPr>
          <w:p w14:paraId="0F782320"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4" w:type="pct"/>
            <w:tcBorders>
              <w:bottom w:val="single" w:sz="4" w:space="0" w:color="auto"/>
            </w:tcBorders>
            <w:vAlign w:val="center"/>
          </w:tcPr>
          <w:p w14:paraId="0EE83701" w14:textId="77777777" w:rsidR="00E907D7" w:rsidRPr="002D2C2D" w:rsidRDefault="00E907D7" w:rsidP="00E907D7">
            <w:pPr>
              <w:widowControl/>
              <w:tabs>
                <w:tab w:val="decimal" w:pos="340"/>
              </w:tabs>
              <w:rPr>
                <w:rFonts w:cs="Arial"/>
                <w:color w:val="000000"/>
                <w:sz w:val="18"/>
                <w:szCs w:val="18"/>
              </w:rPr>
            </w:pPr>
            <w:r w:rsidRPr="002D2C2D">
              <w:rPr>
                <w:rFonts w:cs="Arial"/>
                <w:color w:val="000000"/>
                <w:sz w:val="18"/>
                <w:szCs w:val="18"/>
              </w:rPr>
              <w:t>3</w:t>
            </w:r>
          </w:p>
        </w:tc>
        <w:tc>
          <w:tcPr>
            <w:tcW w:w="284" w:type="pct"/>
            <w:shd w:val="clear" w:color="auto" w:fill="auto"/>
            <w:vAlign w:val="center"/>
          </w:tcPr>
          <w:p w14:paraId="7D92D390"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&lt;1</w:t>
            </w:r>
          </w:p>
        </w:tc>
      </w:tr>
      <w:tr w:rsidR="00E907D7" w:rsidRPr="002D2C2D" w14:paraId="07BA07A4" w14:textId="77777777" w:rsidTr="001A319B">
        <w:trPr>
          <w:cantSplit/>
        </w:trPr>
        <w:tc>
          <w:tcPr>
            <w:tcW w:w="454" w:type="pct"/>
            <w:tcBorders>
              <w:right w:val="single" w:sz="4" w:space="0" w:color="auto"/>
            </w:tcBorders>
            <w:shd w:val="clear" w:color="auto" w:fill="D9D9D9" w:themeFill="background1" w:themeFillShade="D9"/>
            <w:vAlign w:val="center"/>
            <w:hideMark/>
          </w:tcPr>
          <w:p w14:paraId="01FC5C9F" w14:textId="77777777" w:rsidR="00E907D7" w:rsidRPr="002D2C2D" w:rsidRDefault="00E907D7" w:rsidP="00E907D7">
            <w:pPr>
              <w:widowControl/>
              <w:rPr>
                <w:rFonts w:cs="Arial"/>
                <w:color w:val="000000"/>
                <w:sz w:val="18"/>
                <w:szCs w:val="18"/>
                <w:lang w:eastAsia="en-GB" w:bidi="ar-SA"/>
              </w:rPr>
            </w:pPr>
            <w:r w:rsidRPr="002D2C2D">
              <w:rPr>
                <w:rFonts w:cs="Arial"/>
                <w:color w:val="000000"/>
                <w:sz w:val="18"/>
                <w:szCs w:val="18"/>
                <w:lang w:eastAsia="en-GB" w:bidi="ar-SA"/>
              </w:rPr>
              <w:t>13.4.2</w:t>
            </w:r>
          </w:p>
        </w:tc>
        <w:tc>
          <w:tcPr>
            <w:tcW w:w="166" w:type="pct"/>
            <w:tcBorders>
              <w:left w:val="single" w:sz="4" w:space="0" w:color="auto"/>
              <w:right w:val="nil"/>
            </w:tcBorders>
            <w:shd w:val="clear" w:color="auto" w:fill="D9D9D9" w:themeFill="background1" w:themeFillShade="D9"/>
            <w:vAlign w:val="center"/>
          </w:tcPr>
          <w:p w14:paraId="4979E839" w14:textId="77777777" w:rsidR="00E907D7" w:rsidRPr="002D2C2D" w:rsidRDefault="00E907D7" w:rsidP="00E907D7">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64CEAFD8" w14:textId="77777777" w:rsidR="00E907D7" w:rsidRPr="002D2C2D" w:rsidRDefault="00E907D7" w:rsidP="00E907D7">
            <w:pPr>
              <w:widowControl/>
              <w:rPr>
                <w:rFonts w:cs="Arial"/>
                <w:color w:val="000000"/>
                <w:sz w:val="18"/>
                <w:szCs w:val="18"/>
                <w:lang w:eastAsia="en-GB" w:bidi="ar-SA"/>
              </w:rPr>
            </w:pPr>
            <w:r w:rsidRPr="002D2C2D">
              <w:rPr>
                <w:rFonts w:cs="Arial"/>
                <w:color w:val="000000"/>
                <w:sz w:val="18"/>
                <w:szCs w:val="18"/>
                <w:lang w:eastAsia="en-GB" w:bidi="ar-SA"/>
              </w:rPr>
              <w:t>Liquid formulated supplementary sports foods</w:t>
            </w:r>
          </w:p>
        </w:tc>
        <w:tc>
          <w:tcPr>
            <w:tcW w:w="264" w:type="pct"/>
            <w:shd w:val="clear" w:color="auto" w:fill="auto"/>
            <w:vAlign w:val="center"/>
          </w:tcPr>
          <w:p w14:paraId="683CD9D7"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4" w:type="pct"/>
            <w:vAlign w:val="center"/>
          </w:tcPr>
          <w:p w14:paraId="017E0E49" w14:textId="77777777" w:rsidR="00E907D7" w:rsidRPr="002D2C2D" w:rsidRDefault="00E907D7" w:rsidP="00E907D7">
            <w:pPr>
              <w:widowControl/>
              <w:tabs>
                <w:tab w:val="decimal" w:pos="340"/>
              </w:tabs>
              <w:rPr>
                <w:rFonts w:cs="Arial"/>
                <w:color w:val="000000"/>
                <w:sz w:val="18"/>
                <w:szCs w:val="18"/>
              </w:rPr>
            </w:pPr>
            <w:r w:rsidRPr="002D2C2D">
              <w:rPr>
                <w:rFonts w:cs="Arial"/>
                <w:color w:val="000000"/>
                <w:sz w:val="18"/>
                <w:szCs w:val="18"/>
              </w:rPr>
              <w:t>3</w:t>
            </w:r>
          </w:p>
        </w:tc>
        <w:tc>
          <w:tcPr>
            <w:tcW w:w="264" w:type="pct"/>
            <w:shd w:val="clear" w:color="auto" w:fill="auto"/>
            <w:vAlign w:val="center"/>
          </w:tcPr>
          <w:p w14:paraId="5BF6BFB0"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&lt;1</w:t>
            </w:r>
          </w:p>
        </w:tc>
        <w:tc>
          <w:tcPr>
            <w:tcW w:w="264" w:type="pct"/>
            <w:shd w:val="clear" w:color="auto" w:fill="auto"/>
            <w:vAlign w:val="center"/>
          </w:tcPr>
          <w:p w14:paraId="2424B37C"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4</w:t>
            </w:r>
          </w:p>
        </w:tc>
        <w:tc>
          <w:tcPr>
            <w:tcW w:w="264" w:type="pct"/>
            <w:shd w:val="clear" w:color="auto" w:fill="D9D9D9" w:themeFill="background1" w:themeFillShade="D9"/>
            <w:vAlign w:val="center"/>
          </w:tcPr>
          <w:p w14:paraId="2F06543F" w14:textId="77777777" w:rsidR="00E907D7" w:rsidRPr="002D2C2D" w:rsidRDefault="00E907D7" w:rsidP="00E907D7">
            <w:pPr>
              <w:widowControl/>
              <w:tabs>
                <w:tab w:val="decimal" w:pos="340"/>
              </w:tabs>
              <w:rPr>
                <w:rFonts w:cs="Arial"/>
                <w:color w:val="000000"/>
                <w:sz w:val="18"/>
                <w:szCs w:val="18"/>
              </w:rPr>
            </w:pPr>
            <w:r w:rsidRPr="002D2C2D">
              <w:rPr>
                <w:rFonts w:cs="Arial"/>
                <w:color w:val="000000"/>
                <w:sz w:val="18"/>
                <w:szCs w:val="18"/>
              </w:rPr>
              <w:t>16</w:t>
            </w:r>
          </w:p>
        </w:tc>
        <w:tc>
          <w:tcPr>
            <w:tcW w:w="264" w:type="pct"/>
            <w:shd w:val="clear" w:color="auto" w:fill="auto"/>
            <w:vAlign w:val="center"/>
          </w:tcPr>
          <w:p w14:paraId="20DAB135"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2</w:t>
            </w:r>
          </w:p>
        </w:tc>
        <w:tc>
          <w:tcPr>
            <w:tcW w:w="264" w:type="pct"/>
            <w:shd w:val="clear" w:color="auto" w:fill="D9D9D9" w:themeFill="background1" w:themeFillShade="D9"/>
            <w:vAlign w:val="center"/>
          </w:tcPr>
          <w:p w14:paraId="00CCFA33"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6</w:t>
            </w:r>
          </w:p>
        </w:tc>
        <w:tc>
          <w:tcPr>
            <w:tcW w:w="264" w:type="pct"/>
            <w:shd w:val="clear" w:color="auto" w:fill="D9D9D9" w:themeFill="background1" w:themeFillShade="D9"/>
            <w:vAlign w:val="center"/>
          </w:tcPr>
          <w:p w14:paraId="52A735FE" w14:textId="77777777" w:rsidR="00E907D7" w:rsidRPr="002D2C2D" w:rsidRDefault="00E907D7" w:rsidP="00E907D7">
            <w:pPr>
              <w:widowControl/>
              <w:tabs>
                <w:tab w:val="decimal" w:pos="340"/>
              </w:tabs>
              <w:rPr>
                <w:rFonts w:cs="Arial"/>
                <w:color w:val="000000"/>
                <w:sz w:val="18"/>
                <w:szCs w:val="18"/>
              </w:rPr>
            </w:pPr>
            <w:r w:rsidRPr="002D2C2D">
              <w:rPr>
                <w:rFonts w:cs="Arial"/>
                <w:color w:val="000000"/>
                <w:sz w:val="18"/>
                <w:szCs w:val="18"/>
              </w:rPr>
              <w:t>25</w:t>
            </w:r>
          </w:p>
        </w:tc>
        <w:tc>
          <w:tcPr>
            <w:tcW w:w="264" w:type="pct"/>
            <w:shd w:val="clear" w:color="auto" w:fill="D9D9D9" w:themeFill="background1" w:themeFillShade="D9"/>
            <w:vAlign w:val="center"/>
          </w:tcPr>
          <w:p w14:paraId="73CF2557"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5</w:t>
            </w:r>
          </w:p>
        </w:tc>
        <w:tc>
          <w:tcPr>
            <w:tcW w:w="264" w:type="pct"/>
            <w:shd w:val="clear" w:color="auto" w:fill="D9D9D9" w:themeFill="background1" w:themeFillShade="D9"/>
            <w:vAlign w:val="center"/>
          </w:tcPr>
          <w:p w14:paraId="6CD87EA0"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5</w:t>
            </w:r>
          </w:p>
        </w:tc>
        <w:tc>
          <w:tcPr>
            <w:tcW w:w="264" w:type="pct"/>
            <w:shd w:val="clear" w:color="auto" w:fill="D9D9D9" w:themeFill="background1" w:themeFillShade="D9"/>
            <w:vAlign w:val="center"/>
          </w:tcPr>
          <w:p w14:paraId="487EC26D" w14:textId="77777777" w:rsidR="00E907D7" w:rsidRPr="002D2C2D" w:rsidRDefault="00E907D7" w:rsidP="00E907D7">
            <w:pPr>
              <w:widowControl/>
              <w:tabs>
                <w:tab w:val="decimal" w:pos="340"/>
              </w:tabs>
              <w:rPr>
                <w:rFonts w:cs="Arial"/>
                <w:color w:val="000000"/>
                <w:sz w:val="18"/>
                <w:szCs w:val="18"/>
              </w:rPr>
            </w:pPr>
            <w:r w:rsidRPr="002D2C2D">
              <w:rPr>
                <w:rFonts w:cs="Arial"/>
                <w:color w:val="000000"/>
                <w:sz w:val="18"/>
                <w:szCs w:val="18"/>
              </w:rPr>
              <w:t>22</w:t>
            </w:r>
          </w:p>
        </w:tc>
        <w:tc>
          <w:tcPr>
            <w:tcW w:w="284" w:type="pct"/>
            <w:shd w:val="clear" w:color="auto" w:fill="auto"/>
            <w:vAlign w:val="center"/>
          </w:tcPr>
          <w:p w14:paraId="41F5A4A4" w14:textId="77777777" w:rsidR="00E907D7" w:rsidRPr="002D2C2D" w:rsidRDefault="00E907D7" w:rsidP="00E907D7">
            <w:pPr>
              <w:widowControl/>
              <w:tabs>
                <w:tab w:val="decimal" w:pos="340"/>
              </w:tabs>
              <w:rPr>
                <w:rFonts w:cs="Arial"/>
                <w:color w:val="000000"/>
                <w:sz w:val="18"/>
                <w:szCs w:val="18"/>
                <w:lang w:eastAsia="en-GB" w:bidi="ar-SA"/>
              </w:rPr>
            </w:pPr>
            <w:r w:rsidRPr="002D2C2D">
              <w:rPr>
                <w:rFonts w:cs="Arial"/>
                <w:color w:val="000000"/>
                <w:sz w:val="18"/>
                <w:szCs w:val="18"/>
              </w:rPr>
              <w:t>4</w:t>
            </w:r>
          </w:p>
        </w:tc>
      </w:tr>
      <w:tr w:rsidR="00E907D7" w:rsidRPr="002D2C2D" w14:paraId="18C58768" w14:textId="77777777" w:rsidTr="001A319B">
        <w:trPr>
          <w:cantSplit/>
        </w:trPr>
        <w:tc>
          <w:tcPr>
            <w:tcW w:w="454" w:type="pct"/>
            <w:shd w:val="clear" w:color="auto" w:fill="D9D9D9" w:themeFill="background1" w:themeFillShade="D9"/>
            <w:vAlign w:val="center"/>
            <w:hideMark/>
          </w:tcPr>
          <w:p w14:paraId="323033FE" w14:textId="77777777" w:rsidR="00E907D7" w:rsidRPr="002D2C2D" w:rsidRDefault="00E907D7" w:rsidP="00221A11">
            <w:pPr>
              <w:keepNext/>
              <w:keepLines/>
              <w:rPr>
                <w:rFonts w:cs="Arial"/>
                <w:bCs/>
                <w:color w:val="000000"/>
                <w:sz w:val="18"/>
                <w:szCs w:val="18"/>
                <w:lang w:eastAsia="en-GB" w:bidi="ar-SA"/>
              </w:rPr>
            </w:pPr>
            <w:r w:rsidRPr="002D2C2D">
              <w:rPr>
                <w:rFonts w:cs="Arial"/>
                <w:bCs/>
                <w:color w:val="000000"/>
                <w:sz w:val="18"/>
                <w:szCs w:val="18"/>
                <w:lang w:eastAsia="en-GB" w:bidi="ar-SA"/>
              </w:rPr>
              <w:lastRenderedPageBreak/>
              <w:t>14</w:t>
            </w:r>
          </w:p>
        </w:tc>
        <w:tc>
          <w:tcPr>
            <w:tcW w:w="1358" w:type="pct"/>
            <w:gridSpan w:val="2"/>
            <w:tcBorders>
              <w:bottom w:val="single" w:sz="4" w:space="0" w:color="auto"/>
            </w:tcBorders>
            <w:shd w:val="clear" w:color="auto" w:fill="D9D9D9" w:themeFill="background1" w:themeFillShade="D9"/>
            <w:vAlign w:val="center"/>
          </w:tcPr>
          <w:p w14:paraId="7E47668B" w14:textId="77777777" w:rsidR="00E907D7" w:rsidRPr="002D2C2D" w:rsidRDefault="00E907D7" w:rsidP="00221A11">
            <w:pPr>
              <w:keepNext/>
              <w:keepLines/>
              <w:widowControl/>
              <w:rPr>
                <w:rFonts w:cs="Arial"/>
                <w:bCs/>
                <w:color w:val="000000"/>
                <w:sz w:val="18"/>
                <w:szCs w:val="18"/>
                <w:lang w:eastAsia="en-GB" w:bidi="ar-SA"/>
              </w:rPr>
            </w:pPr>
            <w:r w:rsidRPr="002D2C2D">
              <w:rPr>
                <w:rFonts w:cs="Arial"/>
                <w:bCs/>
                <w:color w:val="000000"/>
                <w:sz w:val="18"/>
                <w:szCs w:val="18"/>
                <w:lang w:eastAsia="en-GB" w:bidi="ar-SA"/>
              </w:rPr>
              <w:t>All Non-alcoholic &amp; alcoholic beverages</w:t>
            </w:r>
          </w:p>
        </w:tc>
        <w:tc>
          <w:tcPr>
            <w:tcW w:w="264" w:type="pct"/>
            <w:shd w:val="clear" w:color="auto" w:fill="auto"/>
            <w:vAlign w:val="center"/>
          </w:tcPr>
          <w:p w14:paraId="1435E972" w14:textId="77777777" w:rsidR="00E907D7" w:rsidRPr="002D2C2D" w:rsidRDefault="00E907D7" w:rsidP="00221A11">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73497322" w14:textId="77777777" w:rsidR="00E907D7" w:rsidRPr="002D2C2D" w:rsidRDefault="00E907D7" w:rsidP="00221A11">
            <w:pPr>
              <w:keepNext/>
              <w:keepLines/>
              <w:widowControl/>
              <w:tabs>
                <w:tab w:val="decimal" w:pos="340"/>
              </w:tabs>
              <w:rPr>
                <w:rFonts w:cs="Arial"/>
                <w:bCs/>
                <w:color w:val="000000"/>
                <w:sz w:val="18"/>
                <w:szCs w:val="18"/>
              </w:rPr>
            </w:pPr>
            <w:r w:rsidRPr="002D2C2D">
              <w:rPr>
                <w:rFonts w:cs="Arial"/>
                <w:bCs/>
                <w:color w:val="000000"/>
                <w:sz w:val="18"/>
                <w:szCs w:val="18"/>
              </w:rPr>
              <w:t>&lt;1</w:t>
            </w:r>
          </w:p>
        </w:tc>
        <w:tc>
          <w:tcPr>
            <w:tcW w:w="264" w:type="pct"/>
            <w:shd w:val="clear" w:color="auto" w:fill="D9D9D9" w:themeFill="background1" w:themeFillShade="D9"/>
            <w:vAlign w:val="center"/>
          </w:tcPr>
          <w:p w14:paraId="63D2CC72" w14:textId="77777777" w:rsidR="00E907D7" w:rsidRPr="002D2C2D" w:rsidRDefault="00E907D7" w:rsidP="00221A11">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27</w:t>
            </w:r>
          </w:p>
        </w:tc>
        <w:tc>
          <w:tcPr>
            <w:tcW w:w="264" w:type="pct"/>
            <w:shd w:val="clear" w:color="auto" w:fill="auto"/>
            <w:vAlign w:val="center"/>
          </w:tcPr>
          <w:p w14:paraId="28FA1D3D" w14:textId="77777777" w:rsidR="00E907D7" w:rsidRPr="002D2C2D" w:rsidRDefault="00E907D7" w:rsidP="00221A11">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1E406F40" w14:textId="77777777" w:rsidR="00E907D7" w:rsidRPr="002D2C2D" w:rsidRDefault="00E907D7" w:rsidP="00221A11">
            <w:pPr>
              <w:keepNext/>
              <w:keepLines/>
              <w:widowControl/>
              <w:tabs>
                <w:tab w:val="decimal" w:pos="340"/>
              </w:tabs>
              <w:rPr>
                <w:rFonts w:cs="Arial"/>
                <w:bCs/>
                <w:color w:val="000000"/>
                <w:sz w:val="18"/>
                <w:szCs w:val="18"/>
              </w:rPr>
            </w:pPr>
            <w:r w:rsidRPr="002D2C2D">
              <w:rPr>
                <w:rFonts w:cs="Arial"/>
                <w:bCs/>
                <w:color w:val="000000"/>
                <w:sz w:val="18"/>
                <w:szCs w:val="18"/>
              </w:rPr>
              <w:t>&lt;1</w:t>
            </w:r>
          </w:p>
        </w:tc>
        <w:tc>
          <w:tcPr>
            <w:tcW w:w="264" w:type="pct"/>
            <w:tcBorders>
              <w:bottom w:val="single" w:sz="4" w:space="0" w:color="auto"/>
            </w:tcBorders>
            <w:shd w:val="clear" w:color="auto" w:fill="D9D9D9" w:themeFill="background1" w:themeFillShade="D9"/>
            <w:vAlign w:val="center"/>
          </w:tcPr>
          <w:p w14:paraId="28F8A5AB" w14:textId="77777777" w:rsidR="00E907D7" w:rsidRPr="002D2C2D" w:rsidRDefault="00E907D7" w:rsidP="00221A11">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43</w:t>
            </w:r>
          </w:p>
        </w:tc>
        <w:tc>
          <w:tcPr>
            <w:tcW w:w="264" w:type="pct"/>
            <w:shd w:val="clear" w:color="auto" w:fill="auto"/>
            <w:vAlign w:val="center"/>
          </w:tcPr>
          <w:p w14:paraId="65F86C88" w14:textId="77777777" w:rsidR="00E907D7" w:rsidRPr="002D2C2D" w:rsidRDefault="00E907D7" w:rsidP="00221A11">
            <w:pPr>
              <w:keepNext/>
              <w:keepLines/>
              <w:widowControl/>
              <w:tabs>
                <w:tab w:val="decimal" w:pos="340"/>
              </w:tabs>
              <w:rPr>
                <w:rFonts w:cs="Arial"/>
                <w:bCs/>
                <w:sz w:val="18"/>
                <w:szCs w:val="18"/>
                <w:highlight w:val="magenta"/>
                <w:lang w:eastAsia="en-GB" w:bidi="ar-SA"/>
              </w:rPr>
            </w:pPr>
            <w:r w:rsidRPr="002D2C2D">
              <w:rPr>
                <w:rFonts w:cs="Arial"/>
                <w:bCs/>
                <w:color w:val="000000"/>
                <w:sz w:val="18"/>
                <w:szCs w:val="18"/>
              </w:rPr>
              <w:t>&lt;1</w:t>
            </w:r>
          </w:p>
        </w:tc>
        <w:tc>
          <w:tcPr>
            <w:tcW w:w="264" w:type="pct"/>
            <w:vAlign w:val="center"/>
          </w:tcPr>
          <w:p w14:paraId="06688E54" w14:textId="77777777" w:rsidR="00E907D7" w:rsidRPr="002D2C2D" w:rsidRDefault="00E907D7" w:rsidP="00221A11">
            <w:pPr>
              <w:keepNext/>
              <w:keepLines/>
              <w:widowControl/>
              <w:tabs>
                <w:tab w:val="decimal" w:pos="340"/>
              </w:tabs>
              <w:rPr>
                <w:rFonts w:cs="Arial"/>
                <w:bCs/>
                <w:color w:val="000000"/>
                <w:sz w:val="18"/>
                <w:szCs w:val="18"/>
              </w:rPr>
            </w:pPr>
            <w:r w:rsidRPr="002D2C2D">
              <w:rPr>
                <w:rFonts w:cs="Arial"/>
                <w:bCs/>
                <w:color w:val="000000"/>
                <w:sz w:val="18"/>
                <w:szCs w:val="18"/>
              </w:rPr>
              <w:t>&lt;1</w:t>
            </w:r>
          </w:p>
        </w:tc>
        <w:tc>
          <w:tcPr>
            <w:tcW w:w="264" w:type="pct"/>
            <w:tcBorders>
              <w:bottom w:val="single" w:sz="4" w:space="0" w:color="auto"/>
            </w:tcBorders>
            <w:shd w:val="clear" w:color="auto" w:fill="D9D9D9" w:themeFill="background1" w:themeFillShade="D9"/>
            <w:vAlign w:val="center"/>
          </w:tcPr>
          <w:p w14:paraId="7428D5B9" w14:textId="77777777" w:rsidR="00E907D7" w:rsidRPr="002D2C2D" w:rsidRDefault="00E907D7" w:rsidP="00221A11">
            <w:pPr>
              <w:keepNext/>
              <w:keepLines/>
              <w:widowControl/>
              <w:tabs>
                <w:tab w:val="decimal" w:pos="340"/>
              </w:tabs>
              <w:rPr>
                <w:rFonts w:cs="Arial"/>
                <w:bCs/>
                <w:sz w:val="18"/>
                <w:szCs w:val="18"/>
                <w:highlight w:val="magenta"/>
                <w:lang w:eastAsia="en-GB" w:bidi="ar-SA"/>
              </w:rPr>
            </w:pPr>
            <w:r w:rsidRPr="002D2C2D">
              <w:rPr>
                <w:rFonts w:cs="Arial"/>
                <w:bCs/>
                <w:color w:val="000000"/>
                <w:sz w:val="18"/>
                <w:szCs w:val="18"/>
              </w:rPr>
              <w:t>38</w:t>
            </w:r>
          </w:p>
        </w:tc>
        <w:tc>
          <w:tcPr>
            <w:tcW w:w="264" w:type="pct"/>
            <w:shd w:val="clear" w:color="auto" w:fill="auto"/>
            <w:vAlign w:val="center"/>
          </w:tcPr>
          <w:p w14:paraId="5D9C16A9" w14:textId="77777777" w:rsidR="00E907D7" w:rsidRPr="002D2C2D" w:rsidRDefault="00E907D7" w:rsidP="00221A11">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&lt;1</w:t>
            </w:r>
          </w:p>
        </w:tc>
        <w:tc>
          <w:tcPr>
            <w:tcW w:w="264" w:type="pct"/>
            <w:vAlign w:val="center"/>
          </w:tcPr>
          <w:p w14:paraId="481E465C" w14:textId="77777777" w:rsidR="00E907D7" w:rsidRPr="002D2C2D" w:rsidRDefault="00E907D7" w:rsidP="00221A11">
            <w:pPr>
              <w:keepNext/>
              <w:keepLines/>
              <w:widowControl/>
              <w:tabs>
                <w:tab w:val="decimal" w:pos="340"/>
              </w:tabs>
              <w:rPr>
                <w:rFonts w:cs="Arial"/>
                <w:bCs/>
                <w:color w:val="000000"/>
                <w:sz w:val="18"/>
                <w:szCs w:val="18"/>
              </w:rPr>
            </w:pPr>
            <w:r w:rsidRPr="002D2C2D">
              <w:rPr>
                <w:rFonts w:cs="Arial"/>
                <w:bCs/>
                <w:color w:val="000000"/>
                <w:sz w:val="18"/>
                <w:szCs w:val="18"/>
              </w:rPr>
              <w:t>&lt;1</w:t>
            </w:r>
          </w:p>
        </w:tc>
        <w:tc>
          <w:tcPr>
            <w:tcW w:w="284" w:type="pct"/>
            <w:tcBorders>
              <w:bottom w:val="single" w:sz="4" w:space="0" w:color="auto"/>
            </w:tcBorders>
            <w:shd w:val="clear" w:color="auto" w:fill="D9D9D9" w:themeFill="background1" w:themeFillShade="D9"/>
            <w:vAlign w:val="center"/>
          </w:tcPr>
          <w:p w14:paraId="4C7DFFA7" w14:textId="77777777" w:rsidR="00E907D7" w:rsidRPr="002D2C2D" w:rsidRDefault="00E907D7" w:rsidP="00221A11">
            <w:pPr>
              <w:keepNext/>
              <w:keepLines/>
              <w:widowControl/>
              <w:tabs>
                <w:tab w:val="decimal" w:pos="340"/>
              </w:tabs>
              <w:rPr>
                <w:rFonts w:cs="Arial"/>
                <w:bCs/>
                <w:color w:val="000000"/>
                <w:sz w:val="18"/>
                <w:szCs w:val="18"/>
                <w:highlight w:val="magenta"/>
                <w:lang w:eastAsia="en-GB" w:bidi="ar-SA"/>
              </w:rPr>
            </w:pPr>
            <w:r w:rsidRPr="002D2C2D">
              <w:rPr>
                <w:rFonts w:cs="Arial"/>
                <w:bCs/>
                <w:color w:val="000000"/>
                <w:sz w:val="18"/>
                <w:szCs w:val="18"/>
              </w:rPr>
              <w:t>38</w:t>
            </w:r>
          </w:p>
        </w:tc>
      </w:tr>
      <w:tr w:rsidR="008223CB" w:rsidRPr="00B83846" w14:paraId="45668D04" w14:textId="77777777" w:rsidTr="00221A11">
        <w:trPr>
          <w:cantSplit/>
        </w:trPr>
        <w:tc>
          <w:tcPr>
            <w:tcW w:w="454" w:type="pct"/>
            <w:shd w:val="clear" w:color="auto" w:fill="D9D9D9" w:themeFill="background1" w:themeFillShade="D9"/>
            <w:vAlign w:val="center"/>
            <w:hideMark/>
          </w:tcPr>
          <w:p w14:paraId="4F866A41" w14:textId="77777777" w:rsidR="008223CB" w:rsidRPr="00B83846" w:rsidRDefault="008223CB" w:rsidP="00221A11">
            <w:pPr>
              <w:keepNext/>
              <w:keepLines/>
              <w:widowControl/>
              <w:rPr>
                <w:rFonts w:cs="Arial"/>
                <w:color w:val="000000"/>
                <w:sz w:val="18"/>
                <w:szCs w:val="18"/>
                <w:lang w:eastAsia="en-GB" w:bidi="ar-SA"/>
              </w:rPr>
            </w:pPr>
            <w:r w:rsidRPr="00B83846">
              <w:rPr>
                <w:rFonts w:cs="Arial"/>
                <w:color w:val="000000"/>
                <w:sz w:val="18"/>
                <w:szCs w:val="18"/>
                <w:lang w:eastAsia="en-GB" w:bidi="ar-SA"/>
              </w:rPr>
              <w:t>14.1.2</w:t>
            </w:r>
          </w:p>
        </w:tc>
        <w:tc>
          <w:tcPr>
            <w:tcW w:w="166" w:type="pct"/>
            <w:tcBorders>
              <w:right w:val="nil"/>
            </w:tcBorders>
            <w:shd w:val="clear" w:color="auto" w:fill="D9D9D9" w:themeFill="background1" w:themeFillShade="D9"/>
            <w:vAlign w:val="center"/>
          </w:tcPr>
          <w:p w14:paraId="72A71B8C" w14:textId="77777777" w:rsidR="008223CB" w:rsidRPr="00B83846" w:rsidRDefault="008223CB" w:rsidP="00221A11">
            <w:pPr>
              <w:keepNext/>
              <w:keepLines/>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0FD8C532" w14:textId="77777777" w:rsidR="008223CB" w:rsidRPr="00B83846" w:rsidRDefault="008223CB" w:rsidP="00221A11">
            <w:pPr>
              <w:keepNext/>
              <w:keepLines/>
              <w:widowControl/>
              <w:rPr>
                <w:rFonts w:cs="Arial"/>
                <w:color w:val="000000"/>
                <w:sz w:val="18"/>
                <w:szCs w:val="18"/>
                <w:lang w:eastAsia="en-GB" w:bidi="ar-SA"/>
              </w:rPr>
            </w:pPr>
            <w:r w:rsidRPr="00B83846">
              <w:rPr>
                <w:rFonts w:cs="Arial"/>
                <w:color w:val="000000"/>
                <w:sz w:val="18"/>
                <w:szCs w:val="18"/>
                <w:lang w:eastAsia="en-GB" w:bidi="ar-SA"/>
              </w:rPr>
              <w:t>Fruit &amp; vegetable juices &amp; fruit &amp; vegetable juice products</w:t>
            </w:r>
          </w:p>
        </w:tc>
        <w:tc>
          <w:tcPr>
            <w:tcW w:w="264" w:type="pct"/>
            <w:shd w:val="clear" w:color="auto" w:fill="auto"/>
            <w:vAlign w:val="center"/>
          </w:tcPr>
          <w:p w14:paraId="0A11C20B"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64DE048" w14:textId="77777777" w:rsidR="008223CB" w:rsidRPr="00B83846" w:rsidRDefault="008223CB" w:rsidP="00221A11">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D9D9D9" w:themeFill="background1" w:themeFillShade="D9"/>
            <w:vAlign w:val="center"/>
          </w:tcPr>
          <w:p w14:paraId="54A22483"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15</w:t>
            </w:r>
          </w:p>
        </w:tc>
        <w:tc>
          <w:tcPr>
            <w:tcW w:w="264" w:type="pct"/>
            <w:shd w:val="clear" w:color="auto" w:fill="auto"/>
            <w:vAlign w:val="center"/>
          </w:tcPr>
          <w:p w14:paraId="6B5FA72E" w14:textId="77777777" w:rsidR="008223CB" w:rsidRPr="00A6741A" w:rsidRDefault="008223CB">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F9D77A3" w14:textId="77777777" w:rsidR="008223CB" w:rsidRPr="00B83846" w:rsidRDefault="008223CB">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D9D9D9" w:themeFill="background1" w:themeFillShade="D9"/>
            <w:vAlign w:val="center"/>
          </w:tcPr>
          <w:p w14:paraId="67037FA7" w14:textId="77777777" w:rsidR="008223CB" w:rsidRPr="00A6741A" w:rsidRDefault="008223CB">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11</w:t>
            </w:r>
          </w:p>
        </w:tc>
        <w:tc>
          <w:tcPr>
            <w:tcW w:w="264" w:type="pct"/>
            <w:shd w:val="clear" w:color="auto" w:fill="auto"/>
            <w:vAlign w:val="center"/>
          </w:tcPr>
          <w:p w14:paraId="0C4528E6" w14:textId="77777777" w:rsidR="008223CB" w:rsidRPr="00A6741A" w:rsidRDefault="008223CB">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43EC35D" w14:textId="77777777" w:rsidR="008223CB" w:rsidRPr="00B83846" w:rsidRDefault="008223CB">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tcBorders>
              <w:top w:val="single" w:sz="4" w:space="0" w:color="auto"/>
            </w:tcBorders>
            <w:shd w:val="clear" w:color="auto" w:fill="D9D9D9" w:themeFill="background1" w:themeFillShade="D9"/>
            <w:vAlign w:val="center"/>
          </w:tcPr>
          <w:p w14:paraId="06D9AF64" w14:textId="77777777" w:rsidR="008223CB" w:rsidRPr="00A6741A" w:rsidRDefault="008223CB">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7</w:t>
            </w:r>
          </w:p>
        </w:tc>
        <w:tc>
          <w:tcPr>
            <w:tcW w:w="264" w:type="pct"/>
            <w:shd w:val="clear" w:color="auto" w:fill="auto"/>
            <w:vAlign w:val="center"/>
          </w:tcPr>
          <w:p w14:paraId="682A3251" w14:textId="77777777" w:rsidR="008223CB" w:rsidRPr="00A6741A" w:rsidRDefault="008223CB">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5D946F6" w14:textId="77777777" w:rsidR="008223CB" w:rsidRPr="00B83846" w:rsidRDefault="008223CB">
            <w:pPr>
              <w:keepNext/>
              <w:keepLines/>
              <w:widowControl/>
              <w:tabs>
                <w:tab w:val="decimal" w:pos="340"/>
              </w:tabs>
              <w:rPr>
                <w:rFonts w:cs="Arial"/>
                <w:color w:val="000000"/>
                <w:sz w:val="18"/>
                <w:szCs w:val="18"/>
              </w:rPr>
            </w:pPr>
            <w:r w:rsidRPr="00B83846">
              <w:rPr>
                <w:rFonts w:cs="Arial"/>
                <w:color w:val="000000"/>
                <w:sz w:val="18"/>
                <w:szCs w:val="18"/>
              </w:rPr>
              <w:t>&lt;1</w:t>
            </w:r>
          </w:p>
        </w:tc>
        <w:tc>
          <w:tcPr>
            <w:tcW w:w="284" w:type="pct"/>
            <w:tcBorders>
              <w:top w:val="single" w:sz="4" w:space="0" w:color="auto"/>
            </w:tcBorders>
            <w:shd w:val="clear" w:color="auto" w:fill="D9D9D9" w:themeFill="background1" w:themeFillShade="D9"/>
            <w:vAlign w:val="center"/>
          </w:tcPr>
          <w:p w14:paraId="6B8416AB" w14:textId="77777777" w:rsidR="008223CB" w:rsidRPr="00A6741A" w:rsidRDefault="008223CB">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8</w:t>
            </w:r>
          </w:p>
        </w:tc>
      </w:tr>
      <w:tr w:rsidR="008223CB" w:rsidRPr="00B83846" w14:paraId="4BF5ADC1" w14:textId="77777777" w:rsidTr="00221A11">
        <w:trPr>
          <w:cantSplit/>
        </w:trPr>
        <w:tc>
          <w:tcPr>
            <w:tcW w:w="454" w:type="pct"/>
            <w:shd w:val="clear" w:color="auto" w:fill="D9D9D9" w:themeFill="background1" w:themeFillShade="D9"/>
            <w:vAlign w:val="center"/>
            <w:hideMark/>
          </w:tcPr>
          <w:p w14:paraId="68C5F65D" w14:textId="77777777" w:rsidR="008223CB" w:rsidRPr="00B83846" w:rsidRDefault="008223CB" w:rsidP="00221A11">
            <w:pPr>
              <w:keepNext/>
              <w:keepLines/>
              <w:widowControl/>
              <w:rPr>
                <w:rFonts w:cs="Arial"/>
                <w:color w:val="000000"/>
                <w:sz w:val="18"/>
                <w:szCs w:val="18"/>
                <w:lang w:eastAsia="en-GB" w:bidi="ar-SA"/>
              </w:rPr>
            </w:pPr>
            <w:r w:rsidRPr="00B83846">
              <w:rPr>
                <w:rFonts w:cs="Arial"/>
                <w:color w:val="000000"/>
                <w:sz w:val="18"/>
                <w:szCs w:val="18"/>
                <w:lang w:eastAsia="en-GB" w:bidi="ar-SA"/>
              </w:rPr>
              <w:t>14.1.3</w:t>
            </w:r>
          </w:p>
        </w:tc>
        <w:tc>
          <w:tcPr>
            <w:tcW w:w="166" w:type="pct"/>
            <w:tcBorders>
              <w:right w:val="nil"/>
            </w:tcBorders>
            <w:shd w:val="clear" w:color="auto" w:fill="D9D9D9" w:themeFill="background1" w:themeFillShade="D9"/>
            <w:vAlign w:val="center"/>
          </w:tcPr>
          <w:p w14:paraId="0D894752" w14:textId="77777777" w:rsidR="008223CB" w:rsidRPr="00B83846" w:rsidRDefault="008223CB" w:rsidP="00221A11">
            <w:pPr>
              <w:keepNext/>
              <w:keepLines/>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6681E017" w14:textId="77777777" w:rsidR="008223CB" w:rsidRPr="00B83846" w:rsidRDefault="008223CB" w:rsidP="00221A11">
            <w:pPr>
              <w:keepNext/>
              <w:keepLines/>
              <w:widowControl/>
              <w:rPr>
                <w:rFonts w:cs="Arial"/>
                <w:color w:val="000000"/>
                <w:sz w:val="18"/>
                <w:szCs w:val="18"/>
                <w:lang w:eastAsia="en-GB" w:bidi="ar-SA"/>
              </w:rPr>
            </w:pPr>
            <w:r w:rsidRPr="00B83846">
              <w:rPr>
                <w:rFonts w:cs="Arial"/>
                <w:color w:val="000000"/>
                <w:sz w:val="18"/>
                <w:szCs w:val="18"/>
                <w:lang w:eastAsia="en-GB" w:bidi="ar-SA"/>
              </w:rPr>
              <w:t>Soft drinks (excluding intensely sweetened)</w:t>
            </w:r>
          </w:p>
        </w:tc>
        <w:tc>
          <w:tcPr>
            <w:tcW w:w="264" w:type="pct"/>
            <w:shd w:val="clear" w:color="auto" w:fill="auto"/>
            <w:vAlign w:val="center"/>
          </w:tcPr>
          <w:p w14:paraId="1F7EC140"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5CC8877E" w14:textId="77777777" w:rsidR="008223CB" w:rsidRPr="00B83846" w:rsidRDefault="008223CB" w:rsidP="00221A11">
            <w:pPr>
              <w:keepNext/>
              <w:keepLines/>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D9D9D9" w:themeFill="background1" w:themeFillShade="D9"/>
            <w:vAlign w:val="center"/>
          </w:tcPr>
          <w:p w14:paraId="1402E569"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9</w:t>
            </w:r>
          </w:p>
        </w:tc>
        <w:tc>
          <w:tcPr>
            <w:tcW w:w="264" w:type="pct"/>
            <w:shd w:val="clear" w:color="auto" w:fill="auto"/>
            <w:vAlign w:val="center"/>
          </w:tcPr>
          <w:p w14:paraId="4E27B18E"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63D36834" w14:textId="77777777" w:rsidR="008223CB" w:rsidRPr="00B83846" w:rsidRDefault="008223CB" w:rsidP="00221A11">
            <w:pPr>
              <w:keepNext/>
              <w:keepLines/>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D9D9D9" w:themeFill="background1" w:themeFillShade="D9"/>
            <w:vAlign w:val="center"/>
          </w:tcPr>
          <w:p w14:paraId="40518801"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30</w:t>
            </w:r>
          </w:p>
        </w:tc>
        <w:tc>
          <w:tcPr>
            <w:tcW w:w="264" w:type="pct"/>
            <w:shd w:val="clear" w:color="auto" w:fill="auto"/>
            <w:vAlign w:val="center"/>
          </w:tcPr>
          <w:p w14:paraId="12DB6489"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05AC8AE7" w14:textId="77777777" w:rsidR="008223CB" w:rsidRPr="00B83846" w:rsidRDefault="008223CB" w:rsidP="00221A11">
            <w:pPr>
              <w:keepNext/>
              <w:keepLines/>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D9D9D9" w:themeFill="background1" w:themeFillShade="D9"/>
            <w:vAlign w:val="center"/>
          </w:tcPr>
          <w:p w14:paraId="47597D0F"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26</w:t>
            </w:r>
          </w:p>
        </w:tc>
        <w:tc>
          <w:tcPr>
            <w:tcW w:w="264" w:type="pct"/>
            <w:shd w:val="clear" w:color="auto" w:fill="auto"/>
            <w:vAlign w:val="center"/>
          </w:tcPr>
          <w:p w14:paraId="4F1F8AAE"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08181413" w14:textId="77777777" w:rsidR="008223CB" w:rsidRPr="00B83846" w:rsidRDefault="008223CB" w:rsidP="00221A11">
            <w:pPr>
              <w:keepNext/>
              <w:keepLines/>
              <w:widowControl/>
              <w:tabs>
                <w:tab w:val="decimal" w:pos="340"/>
              </w:tabs>
              <w:rPr>
                <w:rFonts w:cs="Arial"/>
                <w:color w:val="000000"/>
                <w:sz w:val="18"/>
                <w:szCs w:val="18"/>
              </w:rPr>
            </w:pPr>
            <w:r w:rsidRPr="00B83846">
              <w:rPr>
                <w:rFonts w:cs="Arial"/>
                <w:color w:val="000000"/>
                <w:sz w:val="18"/>
                <w:szCs w:val="18"/>
              </w:rPr>
              <w:t>0</w:t>
            </w:r>
          </w:p>
        </w:tc>
        <w:tc>
          <w:tcPr>
            <w:tcW w:w="284" w:type="pct"/>
            <w:shd w:val="clear" w:color="auto" w:fill="D9D9D9" w:themeFill="background1" w:themeFillShade="D9"/>
            <w:vAlign w:val="center"/>
          </w:tcPr>
          <w:p w14:paraId="1EC6CEBB"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25</w:t>
            </w:r>
          </w:p>
        </w:tc>
      </w:tr>
      <w:tr w:rsidR="008223CB" w:rsidRPr="00B83846" w14:paraId="7A2CDB31" w14:textId="77777777" w:rsidTr="00221A11">
        <w:trPr>
          <w:cantSplit/>
        </w:trPr>
        <w:tc>
          <w:tcPr>
            <w:tcW w:w="454" w:type="pct"/>
            <w:shd w:val="clear" w:color="auto" w:fill="D9D9D9" w:themeFill="background1" w:themeFillShade="D9"/>
            <w:vAlign w:val="center"/>
            <w:hideMark/>
          </w:tcPr>
          <w:p w14:paraId="2D37E406" w14:textId="77777777" w:rsidR="008223CB" w:rsidRPr="00B83846" w:rsidRDefault="008223CB" w:rsidP="00221A11">
            <w:pPr>
              <w:keepNext/>
              <w:keepLines/>
              <w:widowControl/>
              <w:rPr>
                <w:rFonts w:cs="Arial"/>
                <w:color w:val="000000"/>
                <w:sz w:val="18"/>
                <w:szCs w:val="18"/>
                <w:lang w:eastAsia="en-GB" w:bidi="ar-SA"/>
              </w:rPr>
            </w:pPr>
            <w:r w:rsidRPr="00B83846">
              <w:rPr>
                <w:rFonts w:cs="Arial"/>
                <w:color w:val="000000"/>
                <w:sz w:val="18"/>
                <w:szCs w:val="18"/>
                <w:lang w:eastAsia="en-GB" w:bidi="ar-SA"/>
              </w:rPr>
              <w:t>14.1.7</w:t>
            </w:r>
          </w:p>
        </w:tc>
        <w:tc>
          <w:tcPr>
            <w:tcW w:w="166" w:type="pct"/>
            <w:tcBorders>
              <w:right w:val="nil"/>
            </w:tcBorders>
            <w:shd w:val="clear" w:color="auto" w:fill="D9D9D9" w:themeFill="background1" w:themeFillShade="D9"/>
            <w:vAlign w:val="center"/>
          </w:tcPr>
          <w:p w14:paraId="54338063" w14:textId="77777777" w:rsidR="008223CB" w:rsidRPr="00B83846" w:rsidRDefault="008223CB" w:rsidP="00221A11">
            <w:pPr>
              <w:keepNext/>
              <w:keepLines/>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56D1375F" w14:textId="77777777" w:rsidR="008223CB" w:rsidRPr="00B83846" w:rsidRDefault="008223CB" w:rsidP="00221A11">
            <w:pPr>
              <w:keepNext/>
              <w:keepLines/>
              <w:widowControl/>
              <w:rPr>
                <w:rFonts w:cs="Arial"/>
                <w:color w:val="000000"/>
                <w:sz w:val="18"/>
                <w:szCs w:val="18"/>
                <w:lang w:eastAsia="en-GB" w:bidi="ar-SA"/>
              </w:rPr>
            </w:pPr>
            <w:r w:rsidRPr="00B83846">
              <w:rPr>
                <w:rFonts w:cs="Arial"/>
                <w:color w:val="000000"/>
                <w:sz w:val="18"/>
                <w:szCs w:val="18"/>
                <w:lang w:eastAsia="en-GB" w:bidi="ar-SA"/>
              </w:rPr>
              <w:t>Soy beverage</w:t>
            </w:r>
          </w:p>
        </w:tc>
        <w:tc>
          <w:tcPr>
            <w:tcW w:w="264" w:type="pct"/>
            <w:shd w:val="clear" w:color="auto" w:fill="auto"/>
            <w:vAlign w:val="center"/>
          </w:tcPr>
          <w:p w14:paraId="33461672"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2D7F293" w14:textId="77777777" w:rsidR="008223CB" w:rsidRPr="00B83846" w:rsidRDefault="008223CB" w:rsidP="00221A11">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181BF1A"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64" w:type="pct"/>
            <w:shd w:val="clear" w:color="auto" w:fill="auto"/>
            <w:vAlign w:val="center"/>
          </w:tcPr>
          <w:p w14:paraId="798D3025"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87CE444" w14:textId="77777777" w:rsidR="008223CB" w:rsidRPr="00B83846" w:rsidRDefault="008223CB" w:rsidP="00221A11">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2A4DE30A"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90BC469"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37AB874" w14:textId="77777777" w:rsidR="008223CB" w:rsidRPr="00B83846" w:rsidRDefault="008223CB" w:rsidP="00221A11">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3602F87B"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64" w:type="pct"/>
            <w:shd w:val="clear" w:color="auto" w:fill="auto"/>
            <w:vAlign w:val="center"/>
          </w:tcPr>
          <w:p w14:paraId="2B036552"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C52BE13" w14:textId="77777777" w:rsidR="008223CB" w:rsidRPr="00B83846" w:rsidRDefault="008223CB" w:rsidP="00221A11">
            <w:pPr>
              <w:keepNext/>
              <w:keepLines/>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4D52BD16" w14:textId="77777777" w:rsidR="008223CB" w:rsidRPr="00A6741A" w:rsidRDefault="008223CB" w:rsidP="00221A11">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r>
      <w:tr w:rsidR="008223CB" w:rsidRPr="002D2C2D" w14:paraId="6340EDE9" w14:textId="77777777" w:rsidTr="00DF510F">
        <w:trPr>
          <w:cantSplit/>
        </w:trPr>
        <w:tc>
          <w:tcPr>
            <w:tcW w:w="454" w:type="pct"/>
            <w:shd w:val="clear" w:color="auto" w:fill="D9D9D9" w:themeFill="background1" w:themeFillShade="D9"/>
            <w:vAlign w:val="center"/>
            <w:hideMark/>
          </w:tcPr>
          <w:p w14:paraId="78633DC7" w14:textId="77777777" w:rsidR="008223CB" w:rsidRPr="002D2C2D" w:rsidRDefault="008223CB" w:rsidP="00DF510F">
            <w:pPr>
              <w:rPr>
                <w:rFonts w:cs="Arial"/>
                <w:bCs/>
                <w:color w:val="000000"/>
                <w:sz w:val="18"/>
                <w:szCs w:val="18"/>
                <w:lang w:eastAsia="en-GB" w:bidi="ar-SA"/>
              </w:rPr>
            </w:pPr>
            <w:r w:rsidRPr="002D2C2D">
              <w:rPr>
                <w:rFonts w:cs="Arial"/>
                <w:bCs/>
                <w:color w:val="000000"/>
                <w:sz w:val="18"/>
                <w:szCs w:val="18"/>
                <w:lang w:eastAsia="en-GB" w:bidi="ar-SA"/>
              </w:rPr>
              <w:t>20</w:t>
            </w:r>
          </w:p>
        </w:tc>
        <w:tc>
          <w:tcPr>
            <w:tcW w:w="1358" w:type="pct"/>
            <w:gridSpan w:val="2"/>
            <w:tcBorders>
              <w:bottom w:val="single" w:sz="4" w:space="0" w:color="auto"/>
            </w:tcBorders>
            <w:shd w:val="clear" w:color="auto" w:fill="D9D9D9" w:themeFill="background1" w:themeFillShade="D9"/>
            <w:vAlign w:val="center"/>
          </w:tcPr>
          <w:p w14:paraId="1245FBB9" w14:textId="77777777" w:rsidR="008223CB" w:rsidRPr="002D2C2D" w:rsidRDefault="008223CB" w:rsidP="00DF510F">
            <w:pPr>
              <w:keepNext/>
              <w:keepLines/>
              <w:widowControl/>
              <w:rPr>
                <w:rFonts w:cs="Arial"/>
                <w:bCs/>
                <w:color w:val="000000"/>
                <w:sz w:val="18"/>
                <w:szCs w:val="18"/>
                <w:lang w:eastAsia="en-GB" w:bidi="ar-SA"/>
              </w:rPr>
            </w:pPr>
            <w:r w:rsidRPr="002D2C2D">
              <w:rPr>
                <w:rFonts w:cs="Arial"/>
                <w:bCs/>
                <w:color w:val="000000"/>
                <w:sz w:val="18"/>
                <w:szCs w:val="18"/>
                <w:lang w:eastAsia="en-GB" w:bidi="ar-SA"/>
              </w:rPr>
              <w:t>All Mixed Foods Commercial</w:t>
            </w:r>
          </w:p>
        </w:tc>
        <w:tc>
          <w:tcPr>
            <w:tcW w:w="264" w:type="pct"/>
            <w:shd w:val="clear" w:color="auto" w:fill="auto"/>
            <w:vAlign w:val="center"/>
          </w:tcPr>
          <w:p w14:paraId="21D6A893" w14:textId="77777777" w:rsidR="008223CB" w:rsidRPr="002D2C2D" w:rsidRDefault="008223CB" w:rsidP="00DF510F">
            <w:pPr>
              <w:keepNext/>
              <w:keepLines/>
              <w:widowControl/>
              <w:tabs>
                <w:tab w:val="decimal" w:pos="340"/>
              </w:tabs>
              <w:rPr>
                <w:rFonts w:cs="Arial"/>
                <w:bCs/>
                <w:color w:val="000000"/>
                <w:sz w:val="18"/>
                <w:szCs w:val="18"/>
                <w:lang w:eastAsia="en-GB" w:bidi="ar-SA"/>
              </w:rPr>
            </w:pPr>
          </w:p>
        </w:tc>
        <w:tc>
          <w:tcPr>
            <w:tcW w:w="264" w:type="pct"/>
          </w:tcPr>
          <w:p w14:paraId="430DC401" w14:textId="77777777" w:rsidR="008223CB" w:rsidRPr="002D2C2D" w:rsidRDefault="008223CB" w:rsidP="00DF510F">
            <w:pPr>
              <w:keepNext/>
              <w:keepLines/>
              <w:widowControl/>
              <w:tabs>
                <w:tab w:val="decimal" w:pos="340"/>
              </w:tabs>
              <w:rPr>
                <w:rFonts w:cs="Arial"/>
                <w:bCs/>
                <w:color w:val="000000"/>
                <w:sz w:val="18"/>
                <w:szCs w:val="18"/>
              </w:rPr>
            </w:pPr>
          </w:p>
        </w:tc>
        <w:tc>
          <w:tcPr>
            <w:tcW w:w="264" w:type="pct"/>
            <w:shd w:val="clear" w:color="auto" w:fill="D9D9D9" w:themeFill="background1" w:themeFillShade="D9"/>
            <w:vAlign w:val="center"/>
          </w:tcPr>
          <w:p w14:paraId="02252179" w14:textId="77777777" w:rsidR="008223CB" w:rsidRPr="002D2C2D" w:rsidRDefault="008223CB" w:rsidP="00DF510F">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17</w:t>
            </w:r>
          </w:p>
        </w:tc>
        <w:tc>
          <w:tcPr>
            <w:tcW w:w="264" w:type="pct"/>
            <w:shd w:val="clear" w:color="auto" w:fill="auto"/>
            <w:vAlign w:val="center"/>
          </w:tcPr>
          <w:p w14:paraId="6581E0E4" w14:textId="77777777" w:rsidR="008223CB" w:rsidRPr="002D2C2D" w:rsidRDefault="008223CB" w:rsidP="00DF510F">
            <w:pPr>
              <w:keepNext/>
              <w:keepLines/>
              <w:widowControl/>
              <w:tabs>
                <w:tab w:val="decimal" w:pos="340"/>
              </w:tabs>
              <w:rPr>
                <w:rFonts w:cs="Arial"/>
                <w:bCs/>
                <w:color w:val="000000"/>
                <w:sz w:val="18"/>
                <w:szCs w:val="18"/>
                <w:lang w:eastAsia="en-GB" w:bidi="ar-SA"/>
              </w:rPr>
            </w:pPr>
          </w:p>
        </w:tc>
        <w:tc>
          <w:tcPr>
            <w:tcW w:w="264" w:type="pct"/>
          </w:tcPr>
          <w:p w14:paraId="429D850A" w14:textId="77777777" w:rsidR="008223CB" w:rsidRPr="002D2C2D" w:rsidRDefault="008223CB" w:rsidP="00DF510F">
            <w:pPr>
              <w:keepNext/>
              <w:keepLines/>
              <w:widowControl/>
              <w:tabs>
                <w:tab w:val="decimal" w:pos="340"/>
              </w:tabs>
              <w:rPr>
                <w:rFonts w:cs="Arial"/>
                <w:bCs/>
                <w:color w:val="000000"/>
                <w:sz w:val="18"/>
                <w:szCs w:val="18"/>
              </w:rPr>
            </w:pPr>
          </w:p>
        </w:tc>
        <w:tc>
          <w:tcPr>
            <w:tcW w:w="264" w:type="pct"/>
            <w:shd w:val="clear" w:color="auto" w:fill="D9D9D9" w:themeFill="background1" w:themeFillShade="D9"/>
            <w:vAlign w:val="center"/>
          </w:tcPr>
          <w:p w14:paraId="3005A4EE" w14:textId="77777777" w:rsidR="008223CB" w:rsidRPr="002D2C2D" w:rsidRDefault="008223CB" w:rsidP="00DF510F">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17</w:t>
            </w:r>
          </w:p>
        </w:tc>
        <w:tc>
          <w:tcPr>
            <w:tcW w:w="264" w:type="pct"/>
            <w:shd w:val="clear" w:color="auto" w:fill="auto"/>
            <w:vAlign w:val="center"/>
          </w:tcPr>
          <w:p w14:paraId="6394FF32" w14:textId="77777777" w:rsidR="008223CB" w:rsidRPr="002D2C2D" w:rsidRDefault="008223CB" w:rsidP="00DF510F">
            <w:pPr>
              <w:keepNext/>
              <w:keepLines/>
              <w:widowControl/>
              <w:tabs>
                <w:tab w:val="decimal" w:pos="340"/>
              </w:tabs>
              <w:rPr>
                <w:rFonts w:cs="Arial"/>
                <w:bCs/>
                <w:sz w:val="18"/>
                <w:szCs w:val="18"/>
                <w:lang w:eastAsia="en-GB" w:bidi="ar-SA"/>
              </w:rPr>
            </w:pPr>
          </w:p>
        </w:tc>
        <w:tc>
          <w:tcPr>
            <w:tcW w:w="264" w:type="pct"/>
          </w:tcPr>
          <w:p w14:paraId="660F1EF7" w14:textId="77777777" w:rsidR="008223CB" w:rsidRPr="002D2C2D" w:rsidRDefault="008223CB" w:rsidP="00DF510F">
            <w:pPr>
              <w:keepNext/>
              <w:keepLines/>
              <w:widowControl/>
              <w:tabs>
                <w:tab w:val="decimal" w:pos="340"/>
              </w:tabs>
              <w:rPr>
                <w:rFonts w:cs="Arial"/>
                <w:bCs/>
                <w:color w:val="000000"/>
                <w:sz w:val="18"/>
                <w:szCs w:val="18"/>
              </w:rPr>
            </w:pPr>
          </w:p>
        </w:tc>
        <w:tc>
          <w:tcPr>
            <w:tcW w:w="264" w:type="pct"/>
            <w:shd w:val="clear" w:color="auto" w:fill="D9D9D9" w:themeFill="background1" w:themeFillShade="D9"/>
            <w:vAlign w:val="center"/>
          </w:tcPr>
          <w:p w14:paraId="6D23E8F5" w14:textId="77777777" w:rsidR="008223CB" w:rsidRPr="002D2C2D" w:rsidRDefault="008223CB" w:rsidP="00DF510F">
            <w:pPr>
              <w:keepNext/>
              <w:keepLines/>
              <w:widowControl/>
              <w:tabs>
                <w:tab w:val="decimal" w:pos="340"/>
              </w:tabs>
              <w:rPr>
                <w:rFonts w:cs="Arial"/>
                <w:bCs/>
                <w:sz w:val="18"/>
                <w:szCs w:val="18"/>
                <w:lang w:eastAsia="en-GB" w:bidi="ar-SA"/>
              </w:rPr>
            </w:pPr>
            <w:r w:rsidRPr="002D2C2D">
              <w:rPr>
                <w:rFonts w:cs="Arial"/>
                <w:bCs/>
                <w:color w:val="000000"/>
                <w:sz w:val="18"/>
                <w:szCs w:val="18"/>
              </w:rPr>
              <w:t>18</w:t>
            </w:r>
          </w:p>
        </w:tc>
        <w:tc>
          <w:tcPr>
            <w:tcW w:w="264" w:type="pct"/>
            <w:shd w:val="clear" w:color="auto" w:fill="auto"/>
            <w:vAlign w:val="center"/>
          </w:tcPr>
          <w:p w14:paraId="15ACE92E" w14:textId="77777777" w:rsidR="008223CB" w:rsidRPr="002D2C2D" w:rsidRDefault="008223CB" w:rsidP="00DF510F">
            <w:pPr>
              <w:keepNext/>
              <w:keepLines/>
              <w:widowControl/>
              <w:tabs>
                <w:tab w:val="decimal" w:pos="340"/>
              </w:tabs>
              <w:rPr>
                <w:rFonts w:cs="Arial"/>
                <w:bCs/>
                <w:color w:val="000000"/>
                <w:sz w:val="18"/>
                <w:szCs w:val="18"/>
                <w:lang w:eastAsia="en-GB" w:bidi="ar-SA"/>
              </w:rPr>
            </w:pPr>
          </w:p>
        </w:tc>
        <w:tc>
          <w:tcPr>
            <w:tcW w:w="264" w:type="pct"/>
          </w:tcPr>
          <w:p w14:paraId="257A4C06" w14:textId="77777777" w:rsidR="008223CB" w:rsidRPr="002D2C2D" w:rsidRDefault="008223CB" w:rsidP="00DF510F">
            <w:pPr>
              <w:keepNext/>
              <w:keepLines/>
              <w:widowControl/>
              <w:tabs>
                <w:tab w:val="decimal" w:pos="340"/>
              </w:tabs>
              <w:rPr>
                <w:rFonts w:cs="Arial"/>
                <w:bCs/>
                <w:color w:val="000000"/>
                <w:sz w:val="18"/>
                <w:szCs w:val="18"/>
              </w:rPr>
            </w:pPr>
          </w:p>
        </w:tc>
        <w:tc>
          <w:tcPr>
            <w:tcW w:w="284" w:type="pct"/>
            <w:shd w:val="clear" w:color="auto" w:fill="D9D9D9" w:themeFill="background1" w:themeFillShade="D9"/>
            <w:vAlign w:val="center"/>
          </w:tcPr>
          <w:p w14:paraId="5FC35280" w14:textId="77777777" w:rsidR="008223CB" w:rsidRPr="002D2C2D" w:rsidRDefault="008223CB" w:rsidP="00DF510F">
            <w:pPr>
              <w:keepNext/>
              <w:keepLines/>
              <w:widowControl/>
              <w:tabs>
                <w:tab w:val="decimal" w:pos="340"/>
              </w:tabs>
              <w:rPr>
                <w:rFonts w:cs="Arial"/>
                <w:bCs/>
                <w:color w:val="000000"/>
                <w:sz w:val="18"/>
                <w:szCs w:val="18"/>
                <w:lang w:eastAsia="en-GB" w:bidi="ar-SA"/>
              </w:rPr>
            </w:pPr>
            <w:r w:rsidRPr="002D2C2D">
              <w:rPr>
                <w:rFonts w:cs="Arial"/>
                <w:bCs/>
                <w:color w:val="000000"/>
                <w:sz w:val="18"/>
                <w:szCs w:val="18"/>
              </w:rPr>
              <w:t>18</w:t>
            </w:r>
          </w:p>
        </w:tc>
      </w:tr>
      <w:tr w:rsidR="008223CB" w:rsidRPr="00B83846" w14:paraId="4035CDB4" w14:textId="77777777" w:rsidTr="00221A11">
        <w:trPr>
          <w:cantSplit/>
        </w:trPr>
        <w:tc>
          <w:tcPr>
            <w:tcW w:w="454" w:type="pct"/>
            <w:tcBorders>
              <w:bottom w:val="single" w:sz="4" w:space="0" w:color="auto"/>
            </w:tcBorders>
            <w:shd w:val="clear" w:color="auto" w:fill="D9D9D9" w:themeFill="background1" w:themeFillShade="D9"/>
            <w:vAlign w:val="center"/>
          </w:tcPr>
          <w:p w14:paraId="4AE6183D" w14:textId="77777777" w:rsidR="008223CB" w:rsidRPr="00B83846" w:rsidRDefault="008223CB" w:rsidP="00DF510F">
            <w:pPr>
              <w:widowControl/>
              <w:rPr>
                <w:rFonts w:cs="Arial"/>
                <w:color w:val="000000"/>
                <w:sz w:val="18"/>
                <w:szCs w:val="18"/>
                <w:lang w:eastAsia="en-GB" w:bidi="ar-SA"/>
              </w:rPr>
            </w:pPr>
            <w:r w:rsidRPr="00B83846">
              <w:rPr>
                <w:rFonts w:cs="Arial"/>
                <w:color w:val="000000"/>
                <w:sz w:val="18"/>
                <w:szCs w:val="18"/>
              </w:rPr>
              <w:t>20.3.1</w:t>
            </w:r>
          </w:p>
        </w:tc>
        <w:tc>
          <w:tcPr>
            <w:tcW w:w="166" w:type="pct"/>
            <w:tcBorders>
              <w:bottom w:val="single" w:sz="4" w:space="0" w:color="auto"/>
              <w:right w:val="nil"/>
            </w:tcBorders>
            <w:shd w:val="clear" w:color="auto" w:fill="D9D9D9" w:themeFill="background1" w:themeFillShade="D9"/>
            <w:vAlign w:val="center"/>
          </w:tcPr>
          <w:p w14:paraId="783CB493" w14:textId="77777777" w:rsidR="008223CB" w:rsidRPr="00B83846" w:rsidRDefault="008223CB" w:rsidP="00DF510F">
            <w:pPr>
              <w:widowControl/>
              <w:rPr>
                <w:rFonts w:cs="Arial"/>
                <w:color w:val="000000"/>
                <w:sz w:val="18"/>
                <w:szCs w:val="18"/>
                <w:lang w:eastAsia="en-GB" w:bidi="ar-SA"/>
              </w:rPr>
            </w:pPr>
          </w:p>
        </w:tc>
        <w:tc>
          <w:tcPr>
            <w:tcW w:w="1192" w:type="pct"/>
            <w:tcBorders>
              <w:left w:val="nil"/>
              <w:bottom w:val="single" w:sz="4" w:space="0" w:color="auto"/>
            </w:tcBorders>
            <w:shd w:val="clear" w:color="auto" w:fill="D9D9D9" w:themeFill="background1" w:themeFillShade="D9"/>
            <w:vAlign w:val="center"/>
          </w:tcPr>
          <w:p w14:paraId="4BE85221" w14:textId="77777777" w:rsidR="008223CB" w:rsidRPr="00B83846" w:rsidRDefault="008223CB" w:rsidP="00DF510F">
            <w:pPr>
              <w:widowControl/>
              <w:rPr>
                <w:rFonts w:cs="Arial"/>
                <w:color w:val="000000"/>
                <w:sz w:val="18"/>
                <w:szCs w:val="18"/>
                <w:lang w:eastAsia="en-GB" w:bidi="ar-SA"/>
              </w:rPr>
            </w:pPr>
            <w:r w:rsidRPr="00B83846">
              <w:rPr>
                <w:rFonts w:cs="Arial"/>
                <w:color w:val="000000"/>
                <w:sz w:val="18"/>
                <w:szCs w:val="18"/>
              </w:rPr>
              <w:t>Ready-to-eat mueslis</w:t>
            </w:r>
          </w:p>
        </w:tc>
        <w:tc>
          <w:tcPr>
            <w:tcW w:w="264" w:type="pct"/>
            <w:shd w:val="clear" w:color="auto" w:fill="auto"/>
            <w:vAlign w:val="center"/>
          </w:tcPr>
          <w:p w14:paraId="2AA39707" w14:textId="77777777" w:rsidR="008223CB" w:rsidRPr="00B83846" w:rsidRDefault="008223CB" w:rsidP="00DF510F">
            <w:pPr>
              <w:widowControl/>
              <w:tabs>
                <w:tab w:val="decimal" w:pos="340"/>
              </w:tabs>
              <w:rPr>
                <w:rFonts w:cs="Arial"/>
                <w:color w:val="000000"/>
                <w:sz w:val="18"/>
                <w:szCs w:val="18"/>
                <w:lang w:eastAsia="en-GB" w:bidi="ar-SA"/>
              </w:rPr>
            </w:pPr>
          </w:p>
        </w:tc>
        <w:tc>
          <w:tcPr>
            <w:tcW w:w="264" w:type="pct"/>
          </w:tcPr>
          <w:p w14:paraId="60E5B59E" w14:textId="77777777" w:rsidR="008223CB" w:rsidRPr="00B83846" w:rsidRDefault="008223CB" w:rsidP="00DF510F">
            <w:pPr>
              <w:widowControl/>
              <w:tabs>
                <w:tab w:val="decimal" w:pos="340"/>
              </w:tabs>
              <w:rPr>
                <w:rFonts w:cs="Arial"/>
                <w:color w:val="000000"/>
                <w:sz w:val="18"/>
                <w:szCs w:val="18"/>
              </w:rPr>
            </w:pPr>
          </w:p>
        </w:tc>
        <w:tc>
          <w:tcPr>
            <w:tcW w:w="264" w:type="pct"/>
            <w:shd w:val="clear" w:color="auto" w:fill="auto"/>
            <w:vAlign w:val="center"/>
          </w:tcPr>
          <w:p w14:paraId="67755293" w14:textId="77777777" w:rsidR="008223CB" w:rsidRPr="00B83846" w:rsidRDefault="008223CB" w:rsidP="00DF510F">
            <w:pPr>
              <w:widowControl/>
              <w:tabs>
                <w:tab w:val="decimal" w:pos="340"/>
              </w:tabs>
              <w:rPr>
                <w:rFonts w:cs="Arial"/>
                <w:color w:val="000000"/>
                <w:sz w:val="18"/>
                <w:szCs w:val="18"/>
                <w:lang w:eastAsia="en-GB" w:bidi="ar-SA"/>
              </w:rPr>
            </w:pPr>
            <w:r w:rsidRPr="00B83846">
              <w:rPr>
                <w:rFonts w:cs="Arial"/>
                <w:color w:val="000000"/>
                <w:sz w:val="18"/>
                <w:szCs w:val="18"/>
              </w:rPr>
              <w:t>3</w:t>
            </w:r>
          </w:p>
        </w:tc>
        <w:tc>
          <w:tcPr>
            <w:tcW w:w="264" w:type="pct"/>
            <w:shd w:val="clear" w:color="auto" w:fill="auto"/>
            <w:vAlign w:val="center"/>
          </w:tcPr>
          <w:p w14:paraId="1AEDCBFD" w14:textId="77777777" w:rsidR="008223CB" w:rsidRPr="00B83846" w:rsidRDefault="008223CB" w:rsidP="00DF510F">
            <w:pPr>
              <w:widowControl/>
              <w:tabs>
                <w:tab w:val="decimal" w:pos="340"/>
              </w:tabs>
              <w:rPr>
                <w:rFonts w:cs="Arial"/>
                <w:color w:val="000000"/>
                <w:sz w:val="18"/>
                <w:szCs w:val="18"/>
                <w:lang w:eastAsia="en-GB" w:bidi="ar-SA"/>
              </w:rPr>
            </w:pPr>
          </w:p>
        </w:tc>
        <w:tc>
          <w:tcPr>
            <w:tcW w:w="264" w:type="pct"/>
          </w:tcPr>
          <w:p w14:paraId="2FB762AE" w14:textId="77777777" w:rsidR="008223CB" w:rsidRPr="00B83846" w:rsidRDefault="008223CB" w:rsidP="00DF510F">
            <w:pPr>
              <w:widowControl/>
              <w:tabs>
                <w:tab w:val="decimal" w:pos="340"/>
              </w:tabs>
              <w:rPr>
                <w:rFonts w:cs="Arial"/>
                <w:color w:val="000000"/>
                <w:sz w:val="18"/>
                <w:szCs w:val="18"/>
              </w:rPr>
            </w:pPr>
          </w:p>
        </w:tc>
        <w:tc>
          <w:tcPr>
            <w:tcW w:w="264" w:type="pct"/>
            <w:shd w:val="clear" w:color="auto" w:fill="auto"/>
            <w:vAlign w:val="center"/>
          </w:tcPr>
          <w:p w14:paraId="295188C6" w14:textId="77777777" w:rsidR="008223CB" w:rsidRPr="00B83846" w:rsidRDefault="008223CB" w:rsidP="00DF510F">
            <w:pPr>
              <w:widowControl/>
              <w:tabs>
                <w:tab w:val="decimal" w:pos="340"/>
              </w:tabs>
              <w:rPr>
                <w:rFonts w:cs="Arial"/>
                <w:color w:val="000000"/>
                <w:sz w:val="18"/>
                <w:szCs w:val="18"/>
                <w:lang w:eastAsia="en-GB" w:bidi="ar-SA"/>
              </w:rPr>
            </w:pPr>
            <w:r w:rsidRPr="00B83846">
              <w:rPr>
                <w:rFonts w:cs="Arial"/>
                <w:color w:val="000000"/>
                <w:sz w:val="18"/>
                <w:szCs w:val="18"/>
              </w:rPr>
              <w:t>4</w:t>
            </w:r>
          </w:p>
        </w:tc>
        <w:tc>
          <w:tcPr>
            <w:tcW w:w="264" w:type="pct"/>
            <w:shd w:val="clear" w:color="auto" w:fill="auto"/>
            <w:vAlign w:val="center"/>
          </w:tcPr>
          <w:p w14:paraId="37F8EC6C" w14:textId="77777777" w:rsidR="008223CB" w:rsidRPr="00B83846" w:rsidRDefault="008223CB" w:rsidP="00DF510F">
            <w:pPr>
              <w:widowControl/>
              <w:tabs>
                <w:tab w:val="decimal" w:pos="340"/>
              </w:tabs>
              <w:rPr>
                <w:rFonts w:cs="Arial"/>
                <w:color w:val="000000"/>
                <w:sz w:val="18"/>
                <w:szCs w:val="18"/>
                <w:lang w:eastAsia="en-GB" w:bidi="ar-SA"/>
              </w:rPr>
            </w:pPr>
          </w:p>
        </w:tc>
        <w:tc>
          <w:tcPr>
            <w:tcW w:w="264" w:type="pct"/>
          </w:tcPr>
          <w:p w14:paraId="6392B290" w14:textId="77777777" w:rsidR="008223CB" w:rsidRPr="00B83846" w:rsidRDefault="008223CB" w:rsidP="00DF510F">
            <w:pPr>
              <w:widowControl/>
              <w:tabs>
                <w:tab w:val="decimal" w:pos="340"/>
              </w:tabs>
              <w:rPr>
                <w:rFonts w:cs="Arial"/>
                <w:color w:val="000000"/>
                <w:sz w:val="18"/>
                <w:szCs w:val="18"/>
              </w:rPr>
            </w:pPr>
          </w:p>
        </w:tc>
        <w:tc>
          <w:tcPr>
            <w:tcW w:w="264" w:type="pct"/>
            <w:shd w:val="clear" w:color="auto" w:fill="D9D9D9" w:themeFill="background1" w:themeFillShade="D9"/>
            <w:vAlign w:val="center"/>
          </w:tcPr>
          <w:p w14:paraId="0DD93B85" w14:textId="77777777" w:rsidR="008223CB" w:rsidRPr="00B83846" w:rsidRDefault="008223CB" w:rsidP="00DF510F">
            <w:pPr>
              <w:widowControl/>
              <w:tabs>
                <w:tab w:val="decimal" w:pos="340"/>
              </w:tabs>
              <w:rPr>
                <w:rFonts w:cs="Arial"/>
                <w:color w:val="000000"/>
                <w:sz w:val="18"/>
                <w:szCs w:val="18"/>
                <w:lang w:eastAsia="en-GB" w:bidi="ar-SA"/>
              </w:rPr>
            </w:pPr>
            <w:r w:rsidRPr="00B83846">
              <w:rPr>
                <w:rFonts w:cs="Arial"/>
                <w:color w:val="000000"/>
                <w:sz w:val="18"/>
                <w:szCs w:val="18"/>
              </w:rPr>
              <w:t>12</w:t>
            </w:r>
          </w:p>
        </w:tc>
        <w:tc>
          <w:tcPr>
            <w:tcW w:w="264" w:type="pct"/>
            <w:shd w:val="clear" w:color="auto" w:fill="auto"/>
            <w:vAlign w:val="center"/>
          </w:tcPr>
          <w:p w14:paraId="61CD24CC" w14:textId="77777777" w:rsidR="008223CB" w:rsidRPr="00B83846" w:rsidRDefault="008223CB" w:rsidP="00DF510F">
            <w:pPr>
              <w:widowControl/>
              <w:tabs>
                <w:tab w:val="decimal" w:pos="340"/>
              </w:tabs>
              <w:rPr>
                <w:rFonts w:cs="Arial"/>
                <w:color w:val="000000"/>
                <w:sz w:val="18"/>
                <w:szCs w:val="18"/>
                <w:lang w:eastAsia="en-GB" w:bidi="ar-SA"/>
              </w:rPr>
            </w:pPr>
          </w:p>
        </w:tc>
        <w:tc>
          <w:tcPr>
            <w:tcW w:w="264" w:type="pct"/>
          </w:tcPr>
          <w:p w14:paraId="16098AE4" w14:textId="77777777" w:rsidR="008223CB" w:rsidRPr="00B83846" w:rsidRDefault="008223CB" w:rsidP="00DF510F">
            <w:pPr>
              <w:widowControl/>
              <w:tabs>
                <w:tab w:val="decimal" w:pos="340"/>
              </w:tabs>
              <w:rPr>
                <w:rFonts w:cs="Arial"/>
                <w:color w:val="000000"/>
                <w:sz w:val="18"/>
                <w:szCs w:val="18"/>
              </w:rPr>
            </w:pPr>
          </w:p>
        </w:tc>
        <w:tc>
          <w:tcPr>
            <w:tcW w:w="284" w:type="pct"/>
            <w:shd w:val="clear" w:color="auto" w:fill="D9D9D9" w:themeFill="background1" w:themeFillShade="D9"/>
            <w:vAlign w:val="center"/>
          </w:tcPr>
          <w:p w14:paraId="07220C12" w14:textId="77777777" w:rsidR="008223CB" w:rsidRPr="00B83846" w:rsidRDefault="008223CB" w:rsidP="00DF510F">
            <w:pPr>
              <w:widowControl/>
              <w:tabs>
                <w:tab w:val="decimal" w:pos="340"/>
              </w:tabs>
              <w:rPr>
                <w:rFonts w:cs="Arial"/>
                <w:color w:val="000000"/>
                <w:sz w:val="18"/>
                <w:szCs w:val="18"/>
                <w:lang w:eastAsia="en-GB" w:bidi="ar-SA"/>
              </w:rPr>
            </w:pPr>
            <w:r w:rsidRPr="00B83846">
              <w:rPr>
                <w:rFonts w:cs="Arial"/>
                <w:color w:val="000000"/>
                <w:sz w:val="18"/>
                <w:szCs w:val="18"/>
              </w:rPr>
              <w:t>11</w:t>
            </w:r>
          </w:p>
        </w:tc>
      </w:tr>
      <w:tr w:rsidR="008223CB" w:rsidRPr="00B83846" w14:paraId="5B830F83" w14:textId="77777777" w:rsidTr="00221A11">
        <w:trPr>
          <w:cantSplit/>
        </w:trPr>
        <w:tc>
          <w:tcPr>
            <w:tcW w:w="454" w:type="pct"/>
            <w:shd w:val="clear" w:color="auto" w:fill="D9D9D9" w:themeFill="background1" w:themeFillShade="D9"/>
            <w:vAlign w:val="center"/>
            <w:hideMark/>
          </w:tcPr>
          <w:p w14:paraId="17255027" w14:textId="77777777" w:rsidR="008223CB" w:rsidRPr="00B83846" w:rsidRDefault="008223CB" w:rsidP="00DF510F">
            <w:pPr>
              <w:widowControl/>
              <w:rPr>
                <w:rFonts w:cs="Arial"/>
                <w:color w:val="000000"/>
                <w:sz w:val="18"/>
                <w:szCs w:val="18"/>
                <w:lang w:eastAsia="en-GB" w:bidi="ar-SA"/>
              </w:rPr>
            </w:pPr>
            <w:r w:rsidRPr="00B83846">
              <w:rPr>
                <w:rFonts w:cs="Arial"/>
                <w:color w:val="000000"/>
                <w:sz w:val="18"/>
                <w:szCs w:val="18"/>
                <w:lang w:eastAsia="en-GB" w:bidi="ar-SA"/>
              </w:rPr>
              <w:t>20.2.2.3</w:t>
            </w:r>
          </w:p>
        </w:tc>
        <w:tc>
          <w:tcPr>
            <w:tcW w:w="166" w:type="pct"/>
            <w:tcBorders>
              <w:right w:val="nil"/>
            </w:tcBorders>
            <w:shd w:val="clear" w:color="auto" w:fill="D9D9D9" w:themeFill="background1" w:themeFillShade="D9"/>
            <w:vAlign w:val="center"/>
          </w:tcPr>
          <w:p w14:paraId="0D80B68C" w14:textId="77777777" w:rsidR="008223CB" w:rsidRPr="00B83846" w:rsidRDefault="008223CB" w:rsidP="00DF510F">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1DE7CC30" w14:textId="77777777" w:rsidR="008223CB" w:rsidRPr="00B83846" w:rsidRDefault="008223CB" w:rsidP="00DF510F">
            <w:pPr>
              <w:widowControl/>
              <w:rPr>
                <w:rFonts w:cs="Arial"/>
                <w:color w:val="000000"/>
                <w:sz w:val="18"/>
                <w:szCs w:val="18"/>
                <w:lang w:eastAsia="en-GB" w:bidi="ar-SA"/>
              </w:rPr>
            </w:pPr>
            <w:r w:rsidRPr="00B83846">
              <w:rPr>
                <w:rFonts w:cs="Arial"/>
                <w:color w:val="000000"/>
                <w:sz w:val="18"/>
                <w:szCs w:val="18"/>
                <w:lang w:eastAsia="en-GB" w:bidi="ar-SA"/>
              </w:rPr>
              <w:t>Cereal products, bars</w:t>
            </w:r>
          </w:p>
        </w:tc>
        <w:tc>
          <w:tcPr>
            <w:tcW w:w="264" w:type="pct"/>
            <w:shd w:val="clear" w:color="auto" w:fill="auto"/>
            <w:vAlign w:val="center"/>
          </w:tcPr>
          <w:p w14:paraId="6091112C" w14:textId="77777777" w:rsidR="008223CB" w:rsidRPr="00B83846" w:rsidRDefault="008223CB" w:rsidP="00DF510F">
            <w:pPr>
              <w:widowControl/>
              <w:tabs>
                <w:tab w:val="decimal" w:pos="340"/>
              </w:tabs>
              <w:rPr>
                <w:rFonts w:cs="Arial"/>
                <w:color w:val="000000"/>
                <w:sz w:val="18"/>
                <w:szCs w:val="18"/>
                <w:lang w:eastAsia="en-GB" w:bidi="ar-SA"/>
              </w:rPr>
            </w:pPr>
          </w:p>
        </w:tc>
        <w:tc>
          <w:tcPr>
            <w:tcW w:w="264" w:type="pct"/>
          </w:tcPr>
          <w:p w14:paraId="384CA69E" w14:textId="77777777" w:rsidR="008223CB" w:rsidRPr="00B83846" w:rsidRDefault="008223CB" w:rsidP="00DF510F">
            <w:pPr>
              <w:widowControl/>
              <w:tabs>
                <w:tab w:val="decimal" w:pos="340"/>
              </w:tabs>
              <w:rPr>
                <w:rFonts w:cs="Arial"/>
                <w:color w:val="000000"/>
                <w:sz w:val="18"/>
                <w:szCs w:val="18"/>
              </w:rPr>
            </w:pPr>
          </w:p>
        </w:tc>
        <w:tc>
          <w:tcPr>
            <w:tcW w:w="264" w:type="pct"/>
            <w:shd w:val="clear" w:color="auto" w:fill="D9D9D9" w:themeFill="background1" w:themeFillShade="D9"/>
            <w:vAlign w:val="center"/>
          </w:tcPr>
          <w:p w14:paraId="6FA0C8DF" w14:textId="77777777" w:rsidR="008223CB" w:rsidRPr="00B83846" w:rsidRDefault="008223CB" w:rsidP="00DF510F">
            <w:pPr>
              <w:widowControl/>
              <w:tabs>
                <w:tab w:val="decimal" w:pos="340"/>
              </w:tabs>
              <w:rPr>
                <w:rFonts w:cs="Arial"/>
                <w:color w:val="000000"/>
                <w:sz w:val="18"/>
                <w:szCs w:val="18"/>
                <w:lang w:eastAsia="en-GB" w:bidi="ar-SA"/>
              </w:rPr>
            </w:pPr>
            <w:r w:rsidRPr="00B83846">
              <w:rPr>
                <w:rFonts w:cs="Arial"/>
                <w:color w:val="000000"/>
                <w:sz w:val="18"/>
                <w:szCs w:val="18"/>
              </w:rPr>
              <w:t>13</w:t>
            </w:r>
          </w:p>
        </w:tc>
        <w:tc>
          <w:tcPr>
            <w:tcW w:w="264" w:type="pct"/>
            <w:shd w:val="clear" w:color="auto" w:fill="auto"/>
            <w:vAlign w:val="center"/>
          </w:tcPr>
          <w:p w14:paraId="06470C2D" w14:textId="77777777" w:rsidR="008223CB" w:rsidRPr="00B83846" w:rsidRDefault="008223CB" w:rsidP="00DF510F">
            <w:pPr>
              <w:widowControl/>
              <w:tabs>
                <w:tab w:val="decimal" w:pos="340"/>
              </w:tabs>
              <w:rPr>
                <w:rFonts w:cs="Arial"/>
                <w:color w:val="000000"/>
                <w:sz w:val="18"/>
                <w:szCs w:val="18"/>
                <w:lang w:eastAsia="en-GB" w:bidi="ar-SA"/>
              </w:rPr>
            </w:pPr>
          </w:p>
        </w:tc>
        <w:tc>
          <w:tcPr>
            <w:tcW w:w="264" w:type="pct"/>
          </w:tcPr>
          <w:p w14:paraId="6EAAC2E2" w14:textId="77777777" w:rsidR="008223CB" w:rsidRPr="00B83846" w:rsidRDefault="008223CB" w:rsidP="00DF510F">
            <w:pPr>
              <w:widowControl/>
              <w:tabs>
                <w:tab w:val="decimal" w:pos="340"/>
              </w:tabs>
              <w:rPr>
                <w:rFonts w:cs="Arial"/>
                <w:color w:val="000000"/>
                <w:sz w:val="18"/>
                <w:szCs w:val="18"/>
              </w:rPr>
            </w:pPr>
          </w:p>
        </w:tc>
        <w:tc>
          <w:tcPr>
            <w:tcW w:w="264" w:type="pct"/>
            <w:shd w:val="clear" w:color="auto" w:fill="D9D9D9" w:themeFill="background1" w:themeFillShade="D9"/>
            <w:vAlign w:val="center"/>
          </w:tcPr>
          <w:p w14:paraId="28033C35" w14:textId="77777777" w:rsidR="008223CB" w:rsidRPr="00B83846" w:rsidRDefault="008223CB" w:rsidP="00DF510F">
            <w:pPr>
              <w:widowControl/>
              <w:tabs>
                <w:tab w:val="decimal" w:pos="340"/>
              </w:tabs>
              <w:rPr>
                <w:rFonts w:cs="Arial"/>
                <w:color w:val="000000"/>
                <w:sz w:val="18"/>
                <w:szCs w:val="18"/>
                <w:lang w:eastAsia="en-GB" w:bidi="ar-SA"/>
              </w:rPr>
            </w:pPr>
            <w:r w:rsidRPr="00B83846">
              <w:rPr>
                <w:rFonts w:cs="Arial"/>
                <w:color w:val="000000"/>
                <w:sz w:val="18"/>
                <w:szCs w:val="18"/>
              </w:rPr>
              <w:t>12</w:t>
            </w:r>
          </w:p>
        </w:tc>
        <w:tc>
          <w:tcPr>
            <w:tcW w:w="264" w:type="pct"/>
            <w:shd w:val="clear" w:color="auto" w:fill="auto"/>
            <w:vAlign w:val="center"/>
          </w:tcPr>
          <w:p w14:paraId="1F298A82" w14:textId="77777777" w:rsidR="008223CB" w:rsidRPr="00B83846" w:rsidRDefault="008223CB" w:rsidP="00DF510F">
            <w:pPr>
              <w:widowControl/>
              <w:tabs>
                <w:tab w:val="decimal" w:pos="340"/>
              </w:tabs>
              <w:rPr>
                <w:rFonts w:cs="Arial"/>
                <w:color w:val="000000"/>
                <w:sz w:val="18"/>
                <w:szCs w:val="18"/>
                <w:lang w:eastAsia="en-GB" w:bidi="ar-SA"/>
              </w:rPr>
            </w:pPr>
          </w:p>
        </w:tc>
        <w:tc>
          <w:tcPr>
            <w:tcW w:w="264" w:type="pct"/>
          </w:tcPr>
          <w:p w14:paraId="17B35B1F" w14:textId="77777777" w:rsidR="008223CB" w:rsidRPr="00B83846" w:rsidRDefault="008223CB" w:rsidP="00DF510F">
            <w:pPr>
              <w:widowControl/>
              <w:tabs>
                <w:tab w:val="decimal" w:pos="340"/>
              </w:tabs>
              <w:rPr>
                <w:rFonts w:cs="Arial"/>
                <w:color w:val="000000"/>
                <w:sz w:val="18"/>
                <w:szCs w:val="18"/>
              </w:rPr>
            </w:pPr>
          </w:p>
        </w:tc>
        <w:tc>
          <w:tcPr>
            <w:tcW w:w="264" w:type="pct"/>
            <w:shd w:val="clear" w:color="auto" w:fill="D9D9D9" w:themeFill="background1" w:themeFillShade="D9"/>
            <w:vAlign w:val="center"/>
          </w:tcPr>
          <w:p w14:paraId="56BB6916" w14:textId="77777777" w:rsidR="008223CB" w:rsidRPr="00B83846" w:rsidRDefault="008223CB" w:rsidP="00DF510F">
            <w:pPr>
              <w:widowControl/>
              <w:tabs>
                <w:tab w:val="decimal" w:pos="340"/>
              </w:tabs>
              <w:rPr>
                <w:rFonts w:cs="Arial"/>
                <w:color w:val="000000"/>
                <w:sz w:val="18"/>
                <w:szCs w:val="18"/>
                <w:lang w:eastAsia="en-GB" w:bidi="ar-SA"/>
              </w:rPr>
            </w:pPr>
            <w:r w:rsidRPr="00B83846">
              <w:rPr>
                <w:rFonts w:cs="Arial"/>
                <w:color w:val="000000"/>
                <w:sz w:val="18"/>
                <w:szCs w:val="18"/>
              </w:rPr>
              <w:t>5</w:t>
            </w:r>
          </w:p>
        </w:tc>
        <w:tc>
          <w:tcPr>
            <w:tcW w:w="264" w:type="pct"/>
            <w:shd w:val="clear" w:color="auto" w:fill="auto"/>
            <w:vAlign w:val="center"/>
          </w:tcPr>
          <w:p w14:paraId="6EBB4D00" w14:textId="77777777" w:rsidR="008223CB" w:rsidRPr="00B83846" w:rsidRDefault="008223CB" w:rsidP="00DF510F">
            <w:pPr>
              <w:widowControl/>
              <w:tabs>
                <w:tab w:val="decimal" w:pos="340"/>
              </w:tabs>
              <w:rPr>
                <w:rFonts w:cs="Arial"/>
                <w:color w:val="000000"/>
                <w:sz w:val="18"/>
                <w:szCs w:val="18"/>
                <w:lang w:eastAsia="en-GB" w:bidi="ar-SA"/>
              </w:rPr>
            </w:pPr>
          </w:p>
        </w:tc>
        <w:tc>
          <w:tcPr>
            <w:tcW w:w="264" w:type="pct"/>
          </w:tcPr>
          <w:p w14:paraId="2285FB4D" w14:textId="77777777" w:rsidR="008223CB" w:rsidRPr="00B83846" w:rsidRDefault="008223CB" w:rsidP="00DF510F">
            <w:pPr>
              <w:widowControl/>
              <w:tabs>
                <w:tab w:val="decimal" w:pos="340"/>
              </w:tabs>
              <w:rPr>
                <w:rFonts w:cs="Arial"/>
                <w:color w:val="000000"/>
                <w:sz w:val="18"/>
                <w:szCs w:val="18"/>
              </w:rPr>
            </w:pPr>
          </w:p>
        </w:tc>
        <w:tc>
          <w:tcPr>
            <w:tcW w:w="284" w:type="pct"/>
            <w:shd w:val="clear" w:color="auto" w:fill="D9D9D9" w:themeFill="background1" w:themeFillShade="D9"/>
            <w:vAlign w:val="center"/>
          </w:tcPr>
          <w:p w14:paraId="09068E05" w14:textId="77777777" w:rsidR="008223CB" w:rsidRPr="00B83846" w:rsidRDefault="008223CB" w:rsidP="00DF510F">
            <w:pPr>
              <w:widowControl/>
              <w:tabs>
                <w:tab w:val="decimal" w:pos="340"/>
              </w:tabs>
              <w:rPr>
                <w:rFonts w:cs="Arial"/>
                <w:color w:val="000000"/>
                <w:sz w:val="18"/>
                <w:szCs w:val="18"/>
                <w:lang w:eastAsia="en-GB" w:bidi="ar-SA"/>
              </w:rPr>
            </w:pPr>
            <w:r w:rsidRPr="00B83846">
              <w:rPr>
                <w:rFonts w:cs="Arial"/>
                <w:color w:val="000000"/>
                <w:sz w:val="18"/>
                <w:szCs w:val="18"/>
              </w:rPr>
              <w:t>6</w:t>
            </w:r>
          </w:p>
        </w:tc>
      </w:tr>
    </w:tbl>
    <w:p w14:paraId="2B142254" w14:textId="77777777" w:rsidR="00E907D7" w:rsidRPr="002D2C2D" w:rsidRDefault="00E907D7" w:rsidP="00E907D7">
      <w:pPr>
        <w:keepNext/>
        <w:keepLines/>
        <w:widowControl/>
        <w:rPr>
          <w:sz w:val="16"/>
          <w:szCs w:val="20"/>
        </w:rPr>
      </w:pPr>
      <w:r w:rsidRPr="002D2C2D">
        <w:rPr>
          <w:sz w:val="16"/>
          <w:szCs w:val="20"/>
        </w:rPr>
        <w:t>Note: Gray shading indicates that the food category / group is a major contributor to L-carnitine dietary intakes</w:t>
      </w:r>
    </w:p>
    <w:p w14:paraId="3E75A890" w14:textId="77777777" w:rsidR="00E907D7" w:rsidRPr="00B83846" w:rsidRDefault="00E907D7" w:rsidP="00E907D7">
      <w:pPr>
        <w:widowControl/>
        <w:rPr>
          <w:sz w:val="20"/>
          <w:szCs w:val="20"/>
        </w:rPr>
      </w:pPr>
      <w:r w:rsidRPr="00B83846">
        <w:rPr>
          <w:sz w:val="20"/>
          <w:szCs w:val="20"/>
        </w:rPr>
        <w:br w:type="page"/>
      </w:r>
    </w:p>
    <w:tbl>
      <w:tblPr>
        <w:tblW w:w="141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ontributing food categories and food groups for Australian population groups for the Baseline and Consumer Behaviour scenarios using Day 1 only of the 2011-12 NNPAS. Major contributors (greater than or equal to 5% contribution) are also listed."/>
      </w:tblPr>
      <w:tblGrid>
        <w:gridCol w:w="1167"/>
        <w:gridCol w:w="236"/>
        <w:gridCol w:w="236"/>
        <w:gridCol w:w="3479"/>
        <w:gridCol w:w="752"/>
        <w:gridCol w:w="752"/>
        <w:gridCol w:w="752"/>
        <w:gridCol w:w="752"/>
        <w:gridCol w:w="752"/>
        <w:gridCol w:w="752"/>
        <w:gridCol w:w="752"/>
        <w:gridCol w:w="752"/>
        <w:gridCol w:w="752"/>
        <w:gridCol w:w="752"/>
        <w:gridCol w:w="752"/>
        <w:gridCol w:w="753"/>
      </w:tblGrid>
      <w:tr w:rsidR="00E907D7" w:rsidRPr="00B83846" w14:paraId="518E10A2" w14:textId="77777777" w:rsidTr="00E907D7">
        <w:trPr>
          <w:cantSplit/>
          <w:tblHeader/>
        </w:trPr>
        <w:tc>
          <w:tcPr>
            <w:tcW w:w="14143" w:type="dxa"/>
            <w:gridSpan w:val="16"/>
            <w:tcBorders>
              <w:top w:val="nil"/>
              <w:left w:val="nil"/>
              <w:bottom w:val="nil"/>
              <w:right w:val="nil"/>
            </w:tcBorders>
          </w:tcPr>
          <w:p w14:paraId="42D0710E" w14:textId="3662285C" w:rsidR="00E907D7" w:rsidRPr="00B83846" w:rsidRDefault="00E907D7" w:rsidP="00A05C00">
            <w:pPr>
              <w:pStyle w:val="FSTableTitle"/>
              <w:rPr>
                <w:bCs/>
                <w:color w:val="000000"/>
                <w:sz w:val="18"/>
                <w:szCs w:val="18"/>
                <w:lang w:eastAsia="en-GB"/>
              </w:rPr>
            </w:pPr>
            <w:r w:rsidRPr="00B83846">
              <w:t>Table A</w:t>
            </w:r>
            <w:r w:rsidR="00A05C00">
              <w:t>3</w:t>
            </w:r>
            <w:r>
              <w:t>.</w:t>
            </w:r>
            <w:r w:rsidR="00BE485E">
              <w:rPr>
                <w:noProof/>
              </w:rPr>
              <w:fldChar w:fldCharType="begin"/>
            </w:r>
            <w:r w:rsidR="00BE485E">
              <w:rPr>
                <w:noProof/>
              </w:rPr>
              <w:instrText xml:space="preserve"> SEQ Table_A \* ARABIC \s 1 </w:instrText>
            </w:r>
            <w:r w:rsidR="00BE485E">
              <w:rPr>
                <w:noProof/>
              </w:rPr>
              <w:fldChar w:fldCharType="separate"/>
            </w:r>
            <w:r w:rsidR="00872715">
              <w:rPr>
                <w:noProof/>
              </w:rPr>
              <w:t>5</w:t>
            </w:r>
            <w:r w:rsidR="00BE485E">
              <w:rPr>
                <w:noProof/>
              </w:rPr>
              <w:fldChar w:fldCharType="end"/>
            </w:r>
            <w:r w:rsidRPr="00B83846">
              <w:t>: Food contributors to L-carnitine dietary intakes for Australia, based on Day 1 of the 2011-12 NNPAS for special population groups</w:t>
            </w:r>
          </w:p>
        </w:tc>
      </w:tr>
      <w:tr w:rsidR="00E907D7" w:rsidRPr="00B83846" w14:paraId="2AB7F0B3" w14:textId="77777777" w:rsidTr="00E907D7">
        <w:trPr>
          <w:cantSplit/>
          <w:tblHeader/>
        </w:trPr>
        <w:tc>
          <w:tcPr>
            <w:tcW w:w="1167" w:type="dxa"/>
            <w:tcBorders>
              <w:bottom w:val="nil"/>
            </w:tcBorders>
            <w:shd w:val="clear" w:color="auto" w:fill="auto"/>
            <w:vAlign w:val="center"/>
            <w:hideMark/>
          </w:tcPr>
          <w:p w14:paraId="5220FBEE"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Food Code</w:t>
            </w:r>
          </w:p>
        </w:tc>
        <w:tc>
          <w:tcPr>
            <w:tcW w:w="3951" w:type="dxa"/>
            <w:gridSpan w:val="3"/>
            <w:tcBorders>
              <w:bottom w:val="nil"/>
            </w:tcBorders>
            <w:shd w:val="clear" w:color="auto" w:fill="auto"/>
            <w:vAlign w:val="center"/>
            <w:hideMark/>
          </w:tcPr>
          <w:p w14:paraId="566DB493"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Food Group</w:t>
            </w:r>
          </w:p>
        </w:tc>
        <w:tc>
          <w:tcPr>
            <w:tcW w:w="2256" w:type="dxa"/>
            <w:gridSpan w:val="3"/>
            <w:shd w:val="clear" w:color="auto" w:fill="auto"/>
            <w:vAlign w:val="center"/>
            <w:hideMark/>
          </w:tcPr>
          <w:p w14:paraId="49B54072"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Elderly</w:t>
            </w:r>
          </w:p>
        </w:tc>
        <w:tc>
          <w:tcPr>
            <w:tcW w:w="2256" w:type="dxa"/>
            <w:gridSpan w:val="3"/>
            <w:shd w:val="clear" w:color="auto" w:fill="auto"/>
            <w:vAlign w:val="center"/>
            <w:hideMark/>
          </w:tcPr>
          <w:p w14:paraId="49763579"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People who consume sports food/ beverages</w:t>
            </w:r>
          </w:p>
        </w:tc>
        <w:tc>
          <w:tcPr>
            <w:tcW w:w="2256" w:type="dxa"/>
            <w:gridSpan w:val="3"/>
            <w:shd w:val="clear" w:color="auto" w:fill="auto"/>
            <w:vAlign w:val="center"/>
            <w:hideMark/>
          </w:tcPr>
          <w:p w14:paraId="56EE378D"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People who consume Wt management/ meal replacement products</w:t>
            </w:r>
          </w:p>
        </w:tc>
        <w:tc>
          <w:tcPr>
            <w:tcW w:w="2257" w:type="dxa"/>
            <w:gridSpan w:val="3"/>
            <w:shd w:val="clear" w:color="auto" w:fill="auto"/>
            <w:vAlign w:val="center"/>
            <w:hideMark/>
          </w:tcPr>
          <w:p w14:paraId="0BD5F8D6"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People who don’t eat meat</w:t>
            </w:r>
          </w:p>
        </w:tc>
      </w:tr>
      <w:tr w:rsidR="00E907D7" w:rsidRPr="00B83846" w14:paraId="5B83D8B6" w14:textId="77777777" w:rsidTr="00E907D7">
        <w:trPr>
          <w:cantSplit/>
          <w:tblHeader/>
        </w:trPr>
        <w:tc>
          <w:tcPr>
            <w:tcW w:w="1167" w:type="dxa"/>
            <w:tcBorders>
              <w:top w:val="nil"/>
              <w:bottom w:val="nil"/>
            </w:tcBorders>
            <w:shd w:val="clear" w:color="auto" w:fill="auto"/>
            <w:vAlign w:val="center"/>
            <w:hideMark/>
          </w:tcPr>
          <w:p w14:paraId="6D99DD63" w14:textId="77777777" w:rsidR="00E907D7" w:rsidRPr="00B83846" w:rsidRDefault="00E907D7" w:rsidP="00E907D7">
            <w:pPr>
              <w:widowControl/>
              <w:rPr>
                <w:rFonts w:cs="Arial"/>
                <w:b/>
                <w:bCs/>
                <w:color w:val="000000"/>
                <w:sz w:val="18"/>
                <w:szCs w:val="18"/>
                <w:lang w:eastAsia="en-GB" w:bidi="ar-SA"/>
              </w:rPr>
            </w:pPr>
          </w:p>
        </w:tc>
        <w:tc>
          <w:tcPr>
            <w:tcW w:w="236" w:type="dxa"/>
            <w:tcBorders>
              <w:top w:val="nil"/>
              <w:bottom w:val="nil"/>
              <w:right w:val="nil"/>
            </w:tcBorders>
            <w:shd w:val="clear" w:color="auto" w:fill="auto"/>
            <w:vAlign w:val="center"/>
            <w:hideMark/>
          </w:tcPr>
          <w:p w14:paraId="42CF216A" w14:textId="77777777" w:rsidR="00E907D7" w:rsidRPr="00B83846" w:rsidRDefault="00E907D7" w:rsidP="00E907D7">
            <w:pPr>
              <w:widowControl/>
              <w:rPr>
                <w:rFonts w:cs="Arial"/>
                <w:b/>
                <w:bCs/>
                <w:color w:val="000000"/>
                <w:sz w:val="18"/>
                <w:szCs w:val="18"/>
                <w:lang w:eastAsia="en-GB" w:bidi="ar-SA"/>
              </w:rPr>
            </w:pPr>
          </w:p>
        </w:tc>
        <w:tc>
          <w:tcPr>
            <w:tcW w:w="236" w:type="dxa"/>
            <w:tcBorders>
              <w:top w:val="nil"/>
              <w:left w:val="nil"/>
              <w:bottom w:val="nil"/>
              <w:right w:val="nil"/>
            </w:tcBorders>
            <w:shd w:val="clear" w:color="auto" w:fill="auto"/>
            <w:vAlign w:val="center"/>
            <w:hideMark/>
          </w:tcPr>
          <w:p w14:paraId="1F41C27E" w14:textId="77777777" w:rsidR="00E907D7" w:rsidRPr="00B83846" w:rsidRDefault="00E907D7" w:rsidP="00E907D7">
            <w:pPr>
              <w:widowControl/>
              <w:rPr>
                <w:rFonts w:cs="Arial"/>
                <w:b/>
                <w:bCs/>
                <w:color w:val="000000"/>
                <w:sz w:val="18"/>
                <w:szCs w:val="18"/>
                <w:lang w:eastAsia="en-GB" w:bidi="ar-SA"/>
              </w:rPr>
            </w:pPr>
          </w:p>
        </w:tc>
        <w:tc>
          <w:tcPr>
            <w:tcW w:w="3479" w:type="dxa"/>
            <w:tcBorders>
              <w:top w:val="nil"/>
              <w:left w:val="nil"/>
              <w:bottom w:val="nil"/>
            </w:tcBorders>
          </w:tcPr>
          <w:p w14:paraId="38CF0D3A" w14:textId="77777777" w:rsidR="00E907D7" w:rsidRPr="00B83846" w:rsidRDefault="00E907D7" w:rsidP="00E907D7">
            <w:pPr>
              <w:widowControl/>
              <w:jc w:val="center"/>
              <w:rPr>
                <w:rFonts w:cs="Arial"/>
                <w:b/>
                <w:bCs/>
                <w:color w:val="000000"/>
                <w:sz w:val="18"/>
                <w:szCs w:val="18"/>
                <w:lang w:eastAsia="en-GB" w:bidi="ar-SA"/>
              </w:rPr>
            </w:pPr>
          </w:p>
        </w:tc>
        <w:tc>
          <w:tcPr>
            <w:tcW w:w="2256" w:type="dxa"/>
            <w:gridSpan w:val="3"/>
            <w:shd w:val="clear" w:color="auto" w:fill="auto"/>
            <w:vAlign w:val="center"/>
            <w:hideMark/>
          </w:tcPr>
          <w:p w14:paraId="7A3B3F69"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71 years and above</w:t>
            </w:r>
          </w:p>
        </w:tc>
        <w:tc>
          <w:tcPr>
            <w:tcW w:w="2256" w:type="dxa"/>
            <w:gridSpan w:val="3"/>
            <w:shd w:val="clear" w:color="auto" w:fill="auto"/>
            <w:vAlign w:val="center"/>
            <w:hideMark/>
          </w:tcPr>
          <w:p w14:paraId="4DFC9B13"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2 years and above</w:t>
            </w:r>
          </w:p>
        </w:tc>
        <w:tc>
          <w:tcPr>
            <w:tcW w:w="2256" w:type="dxa"/>
            <w:gridSpan w:val="3"/>
            <w:shd w:val="clear" w:color="auto" w:fill="auto"/>
            <w:vAlign w:val="center"/>
            <w:hideMark/>
          </w:tcPr>
          <w:p w14:paraId="6ED61286"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2 years and above</w:t>
            </w:r>
          </w:p>
        </w:tc>
        <w:tc>
          <w:tcPr>
            <w:tcW w:w="2257" w:type="dxa"/>
            <w:gridSpan w:val="3"/>
            <w:shd w:val="clear" w:color="auto" w:fill="auto"/>
            <w:vAlign w:val="center"/>
            <w:hideMark/>
          </w:tcPr>
          <w:p w14:paraId="25918ABA"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2 years and above</w:t>
            </w:r>
          </w:p>
        </w:tc>
      </w:tr>
      <w:tr w:rsidR="00E907D7" w:rsidRPr="00B83846" w14:paraId="35BA3E76" w14:textId="77777777" w:rsidTr="00E907D7">
        <w:trPr>
          <w:cantSplit/>
          <w:trHeight w:val="1134"/>
          <w:tblHeader/>
        </w:trPr>
        <w:tc>
          <w:tcPr>
            <w:tcW w:w="1167" w:type="dxa"/>
            <w:tcBorders>
              <w:top w:val="nil"/>
            </w:tcBorders>
            <w:shd w:val="clear" w:color="auto" w:fill="auto"/>
            <w:vAlign w:val="center"/>
          </w:tcPr>
          <w:p w14:paraId="6C1DA178" w14:textId="77777777" w:rsidR="00E907D7" w:rsidRPr="00B83846" w:rsidRDefault="00E907D7" w:rsidP="00E907D7">
            <w:pPr>
              <w:widowControl/>
              <w:rPr>
                <w:rFonts w:cs="Arial"/>
                <w:b/>
                <w:bCs/>
                <w:color w:val="000000"/>
                <w:sz w:val="18"/>
                <w:szCs w:val="18"/>
                <w:lang w:eastAsia="en-GB" w:bidi="ar-SA"/>
              </w:rPr>
            </w:pPr>
          </w:p>
        </w:tc>
        <w:tc>
          <w:tcPr>
            <w:tcW w:w="3951" w:type="dxa"/>
            <w:gridSpan w:val="3"/>
            <w:tcBorders>
              <w:top w:val="nil"/>
            </w:tcBorders>
            <w:shd w:val="clear" w:color="auto" w:fill="auto"/>
            <w:vAlign w:val="center"/>
          </w:tcPr>
          <w:p w14:paraId="47C87340" w14:textId="77777777" w:rsidR="00E907D7" w:rsidRPr="00B83846" w:rsidRDefault="00E907D7" w:rsidP="00E907D7">
            <w:pPr>
              <w:widowControl/>
              <w:rPr>
                <w:rFonts w:cs="Arial"/>
                <w:b/>
                <w:bCs/>
                <w:color w:val="000000"/>
                <w:sz w:val="18"/>
                <w:szCs w:val="18"/>
                <w:lang w:eastAsia="en-GB" w:bidi="ar-SA"/>
              </w:rPr>
            </w:pPr>
          </w:p>
        </w:tc>
        <w:tc>
          <w:tcPr>
            <w:tcW w:w="752" w:type="dxa"/>
            <w:shd w:val="clear" w:color="auto" w:fill="auto"/>
            <w:textDirection w:val="btLr"/>
            <w:vAlign w:val="center"/>
            <w:hideMark/>
          </w:tcPr>
          <w:p w14:paraId="6FFA456C"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752" w:type="dxa"/>
            <w:textDirection w:val="btLr"/>
          </w:tcPr>
          <w:p w14:paraId="6F464501"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752" w:type="dxa"/>
            <w:shd w:val="clear" w:color="auto" w:fill="auto"/>
            <w:textDirection w:val="btLr"/>
            <w:vAlign w:val="center"/>
            <w:hideMark/>
          </w:tcPr>
          <w:p w14:paraId="75D23278"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752" w:type="dxa"/>
            <w:shd w:val="clear" w:color="auto" w:fill="auto"/>
            <w:textDirection w:val="btLr"/>
            <w:vAlign w:val="center"/>
            <w:hideMark/>
          </w:tcPr>
          <w:p w14:paraId="1BE71038"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752" w:type="dxa"/>
            <w:tcBorders>
              <w:bottom w:val="single" w:sz="4" w:space="0" w:color="auto"/>
            </w:tcBorders>
            <w:textDirection w:val="btLr"/>
          </w:tcPr>
          <w:p w14:paraId="0A65FA1B"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752" w:type="dxa"/>
            <w:shd w:val="clear" w:color="auto" w:fill="auto"/>
            <w:textDirection w:val="btLr"/>
            <w:vAlign w:val="center"/>
            <w:hideMark/>
          </w:tcPr>
          <w:p w14:paraId="05389569"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752" w:type="dxa"/>
            <w:shd w:val="clear" w:color="auto" w:fill="auto"/>
            <w:textDirection w:val="btLr"/>
            <w:vAlign w:val="center"/>
            <w:hideMark/>
          </w:tcPr>
          <w:p w14:paraId="66C88814"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752" w:type="dxa"/>
            <w:tcBorders>
              <w:bottom w:val="single" w:sz="4" w:space="0" w:color="auto"/>
            </w:tcBorders>
            <w:textDirection w:val="btLr"/>
          </w:tcPr>
          <w:p w14:paraId="3619442D"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752" w:type="dxa"/>
            <w:shd w:val="clear" w:color="auto" w:fill="auto"/>
            <w:textDirection w:val="btLr"/>
            <w:vAlign w:val="center"/>
            <w:hideMark/>
          </w:tcPr>
          <w:p w14:paraId="0259552F"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752" w:type="dxa"/>
            <w:shd w:val="clear" w:color="auto" w:fill="auto"/>
            <w:textDirection w:val="btLr"/>
            <w:vAlign w:val="center"/>
            <w:hideMark/>
          </w:tcPr>
          <w:p w14:paraId="38258F97"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752" w:type="dxa"/>
            <w:textDirection w:val="btLr"/>
          </w:tcPr>
          <w:p w14:paraId="14027172"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753" w:type="dxa"/>
            <w:shd w:val="clear" w:color="auto" w:fill="auto"/>
            <w:textDirection w:val="btLr"/>
            <w:vAlign w:val="center"/>
            <w:hideMark/>
          </w:tcPr>
          <w:p w14:paraId="3CC6E7E0"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r>
      <w:tr w:rsidR="00E907D7" w:rsidRPr="007B7018" w14:paraId="225B521D" w14:textId="77777777" w:rsidTr="00E907D7">
        <w:trPr>
          <w:cantSplit/>
        </w:trPr>
        <w:tc>
          <w:tcPr>
            <w:tcW w:w="1167" w:type="dxa"/>
            <w:shd w:val="clear" w:color="auto" w:fill="D9D9D9" w:themeFill="background1" w:themeFillShade="D9"/>
            <w:vAlign w:val="center"/>
            <w:hideMark/>
          </w:tcPr>
          <w:p w14:paraId="44FB16A6"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1</w:t>
            </w:r>
          </w:p>
        </w:tc>
        <w:tc>
          <w:tcPr>
            <w:tcW w:w="3951" w:type="dxa"/>
            <w:gridSpan w:val="3"/>
            <w:tcBorders>
              <w:bottom w:val="single" w:sz="4" w:space="0" w:color="auto"/>
            </w:tcBorders>
            <w:shd w:val="clear" w:color="auto" w:fill="D9D9D9" w:themeFill="background1" w:themeFillShade="D9"/>
            <w:vAlign w:val="center"/>
            <w:hideMark/>
          </w:tcPr>
          <w:p w14:paraId="6FA0B9B7"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Dairy products (excluding butter &amp; butter fats)</w:t>
            </w:r>
          </w:p>
        </w:tc>
        <w:tc>
          <w:tcPr>
            <w:tcW w:w="752" w:type="dxa"/>
            <w:shd w:val="clear" w:color="auto" w:fill="D9D9D9" w:themeFill="background1" w:themeFillShade="D9"/>
            <w:vAlign w:val="center"/>
          </w:tcPr>
          <w:p w14:paraId="04019267"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17</w:t>
            </w:r>
          </w:p>
        </w:tc>
        <w:tc>
          <w:tcPr>
            <w:tcW w:w="752" w:type="dxa"/>
            <w:tcBorders>
              <w:bottom w:val="single" w:sz="4" w:space="0" w:color="auto"/>
            </w:tcBorders>
            <w:shd w:val="clear" w:color="auto" w:fill="D9D9D9" w:themeFill="background1" w:themeFillShade="D9"/>
            <w:vAlign w:val="center"/>
          </w:tcPr>
          <w:p w14:paraId="4B5A22B4"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17</w:t>
            </w:r>
          </w:p>
        </w:tc>
        <w:tc>
          <w:tcPr>
            <w:tcW w:w="752" w:type="dxa"/>
            <w:shd w:val="clear" w:color="auto" w:fill="D9D9D9" w:themeFill="background1" w:themeFillShade="D9"/>
            <w:vAlign w:val="center"/>
          </w:tcPr>
          <w:p w14:paraId="5BF23073"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15</w:t>
            </w:r>
          </w:p>
        </w:tc>
        <w:tc>
          <w:tcPr>
            <w:tcW w:w="752" w:type="dxa"/>
            <w:tcBorders>
              <w:bottom w:val="single" w:sz="4" w:space="0" w:color="auto"/>
            </w:tcBorders>
            <w:shd w:val="clear" w:color="auto" w:fill="D9D9D9" w:themeFill="background1" w:themeFillShade="D9"/>
            <w:vAlign w:val="center"/>
          </w:tcPr>
          <w:p w14:paraId="75399C8B"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7</w:t>
            </w:r>
          </w:p>
        </w:tc>
        <w:tc>
          <w:tcPr>
            <w:tcW w:w="752" w:type="dxa"/>
            <w:shd w:val="clear" w:color="auto" w:fill="auto"/>
            <w:vAlign w:val="center"/>
          </w:tcPr>
          <w:p w14:paraId="3E37687F"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2</w:t>
            </w:r>
          </w:p>
        </w:tc>
        <w:tc>
          <w:tcPr>
            <w:tcW w:w="752" w:type="dxa"/>
            <w:shd w:val="clear" w:color="auto" w:fill="D9D9D9" w:themeFill="background1" w:themeFillShade="D9"/>
            <w:vAlign w:val="center"/>
          </w:tcPr>
          <w:p w14:paraId="6EB0AE78"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7</w:t>
            </w:r>
          </w:p>
        </w:tc>
        <w:tc>
          <w:tcPr>
            <w:tcW w:w="752" w:type="dxa"/>
            <w:shd w:val="clear" w:color="auto" w:fill="D9D9D9" w:themeFill="background1" w:themeFillShade="D9"/>
            <w:vAlign w:val="center"/>
          </w:tcPr>
          <w:p w14:paraId="0B2225BC"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8</w:t>
            </w:r>
          </w:p>
        </w:tc>
        <w:tc>
          <w:tcPr>
            <w:tcW w:w="752" w:type="dxa"/>
            <w:shd w:val="clear" w:color="auto" w:fill="auto"/>
            <w:vAlign w:val="center"/>
          </w:tcPr>
          <w:p w14:paraId="380E65C1"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3</w:t>
            </w:r>
          </w:p>
        </w:tc>
        <w:tc>
          <w:tcPr>
            <w:tcW w:w="752" w:type="dxa"/>
            <w:shd w:val="clear" w:color="auto" w:fill="D9D9D9" w:themeFill="background1" w:themeFillShade="D9"/>
            <w:vAlign w:val="center"/>
          </w:tcPr>
          <w:p w14:paraId="1B626965"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8</w:t>
            </w:r>
          </w:p>
        </w:tc>
        <w:tc>
          <w:tcPr>
            <w:tcW w:w="752" w:type="dxa"/>
            <w:shd w:val="clear" w:color="auto" w:fill="D9D9D9" w:themeFill="background1" w:themeFillShade="D9"/>
            <w:vAlign w:val="center"/>
          </w:tcPr>
          <w:p w14:paraId="2971F7B9"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59</w:t>
            </w:r>
          </w:p>
        </w:tc>
        <w:tc>
          <w:tcPr>
            <w:tcW w:w="752" w:type="dxa"/>
            <w:tcBorders>
              <w:bottom w:val="single" w:sz="4" w:space="0" w:color="auto"/>
            </w:tcBorders>
            <w:shd w:val="clear" w:color="auto" w:fill="D9D9D9" w:themeFill="background1" w:themeFillShade="D9"/>
            <w:vAlign w:val="center"/>
          </w:tcPr>
          <w:p w14:paraId="1439383F"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38</w:t>
            </w:r>
          </w:p>
        </w:tc>
        <w:tc>
          <w:tcPr>
            <w:tcW w:w="753" w:type="dxa"/>
            <w:shd w:val="clear" w:color="auto" w:fill="D9D9D9" w:themeFill="background1" w:themeFillShade="D9"/>
            <w:vAlign w:val="center"/>
          </w:tcPr>
          <w:p w14:paraId="722F79AA"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15</w:t>
            </w:r>
          </w:p>
        </w:tc>
      </w:tr>
      <w:tr w:rsidR="00C51F8F" w:rsidRPr="00B83846" w14:paraId="44BA7BE2" w14:textId="77777777" w:rsidTr="00DF510F">
        <w:trPr>
          <w:cantSplit/>
        </w:trPr>
        <w:tc>
          <w:tcPr>
            <w:tcW w:w="1167" w:type="dxa"/>
            <w:tcBorders>
              <w:bottom w:val="single" w:sz="4" w:space="0" w:color="auto"/>
            </w:tcBorders>
            <w:shd w:val="clear" w:color="auto" w:fill="D9D9D9" w:themeFill="background1" w:themeFillShade="D9"/>
            <w:vAlign w:val="center"/>
            <w:hideMark/>
          </w:tcPr>
          <w:p w14:paraId="475A965B"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1</w:t>
            </w:r>
          </w:p>
        </w:tc>
        <w:tc>
          <w:tcPr>
            <w:tcW w:w="236" w:type="dxa"/>
            <w:tcBorders>
              <w:bottom w:val="single" w:sz="4" w:space="0" w:color="auto"/>
              <w:right w:val="nil"/>
            </w:tcBorders>
            <w:shd w:val="clear" w:color="auto" w:fill="D9D9D9" w:themeFill="background1" w:themeFillShade="D9"/>
            <w:vAlign w:val="center"/>
            <w:hideMark/>
          </w:tcPr>
          <w:p w14:paraId="7946EEE8" w14:textId="77777777" w:rsidR="00C51F8F" w:rsidRPr="00B83846" w:rsidRDefault="00C51F8F" w:rsidP="00DF510F">
            <w:pPr>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D9D9D9" w:themeFill="background1" w:themeFillShade="D9"/>
            <w:vAlign w:val="center"/>
            <w:hideMark/>
          </w:tcPr>
          <w:p w14:paraId="31482FEB"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Plain milk</w:t>
            </w:r>
          </w:p>
        </w:tc>
        <w:tc>
          <w:tcPr>
            <w:tcW w:w="752" w:type="dxa"/>
            <w:shd w:val="clear" w:color="auto" w:fill="D9D9D9" w:themeFill="background1" w:themeFillShade="D9"/>
            <w:vAlign w:val="center"/>
          </w:tcPr>
          <w:p w14:paraId="39632B1B"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14</w:t>
            </w:r>
          </w:p>
        </w:tc>
        <w:tc>
          <w:tcPr>
            <w:tcW w:w="752" w:type="dxa"/>
            <w:shd w:val="clear" w:color="auto" w:fill="D9D9D9" w:themeFill="background1" w:themeFillShade="D9"/>
            <w:vAlign w:val="center"/>
          </w:tcPr>
          <w:p w14:paraId="2C797164"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13</w:t>
            </w:r>
          </w:p>
        </w:tc>
        <w:tc>
          <w:tcPr>
            <w:tcW w:w="752" w:type="dxa"/>
            <w:shd w:val="clear" w:color="auto" w:fill="auto"/>
            <w:vAlign w:val="center"/>
          </w:tcPr>
          <w:p w14:paraId="49FFE737"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3</w:t>
            </w:r>
          </w:p>
        </w:tc>
        <w:tc>
          <w:tcPr>
            <w:tcW w:w="752" w:type="dxa"/>
            <w:shd w:val="clear" w:color="auto" w:fill="D9D9D9" w:themeFill="background1" w:themeFillShade="D9"/>
            <w:vAlign w:val="center"/>
          </w:tcPr>
          <w:p w14:paraId="7955F34E"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5</w:t>
            </w:r>
          </w:p>
        </w:tc>
        <w:tc>
          <w:tcPr>
            <w:tcW w:w="752" w:type="dxa"/>
            <w:vAlign w:val="center"/>
          </w:tcPr>
          <w:p w14:paraId="7163FEBB" w14:textId="77777777" w:rsidR="00C51F8F" w:rsidRPr="00B83846" w:rsidRDefault="00C51F8F" w:rsidP="00DF510F">
            <w:pPr>
              <w:widowControl/>
              <w:tabs>
                <w:tab w:val="decimal" w:pos="397"/>
              </w:tabs>
              <w:rPr>
                <w:rFonts w:cs="Arial"/>
                <w:sz w:val="18"/>
                <w:szCs w:val="18"/>
              </w:rPr>
            </w:pPr>
            <w:r w:rsidRPr="005056E3">
              <w:rPr>
                <w:rFonts w:cs="Arial"/>
                <w:sz w:val="18"/>
                <w:szCs w:val="18"/>
              </w:rPr>
              <w:t>2</w:t>
            </w:r>
          </w:p>
        </w:tc>
        <w:tc>
          <w:tcPr>
            <w:tcW w:w="752" w:type="dxa"/>
            <w:shd w:val="clear" w:color="auto" w:fill="auto"/>
            <w:vAlign w:val="center"/>
          </w:tcPr>
          <w:p w14:paraId="24302E77"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D9D9D9" w:themeFill="background1" w:themeFillShade="D9"/>
            <w:vAlign w:val="center"/>
          </w:tcPr>
          <w:p w14:paraId="67735FAC"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6</w:t>
            </w:r>
          </w:p>
        </w:tc>
        <w:tc>
          <w:tcPr>
            <w:tcW w:w="752" w:type="dxa"/>
            <w:vAlign w:val="center"/>
          </w:tcPr>
          <w:p w14:paraId="502A3E86" w14:textId="77777777" w:rsidR="00C51F8F" w:rsidRPr="00B83846" w:rsidRDefault="00C51F8F" w:rsidP="00DF510F">
            <w:pPr>
              <w:widowControl/>
              <w:tabs>
                <w:tab w:val="decimal" w:pos="397"/>
              </w:tabs>
              <w:rPr>
                <w:rFonts w:cs="Arial"/>
                <w:sz w:val="18"/>
                <w:szCs w:val="18"/>
              </w:rPr>
            </w:pPr>
            <w:r w:rsidRPr="005056E3">
              <w:rPr>
                <w:rFonts w:cs="Arial"/>
                <w:sz w:val="18"/>
                <w:szCs w:val="18"/>
              </w:rPr>
              <w:t>2</w:t>
            </w:r>
          </w:p>
        </w:tc>
        <w:tc>
          <w:tcPr>
            <w:tcW w:w="752" w:type="dxa"/>
            <w:shd w:val="clear" w:color="auto" w:fill="auto"/>
            <w:vAlign w:val="center"/>
          </w:tcPr>
          <w:p w14:paraId="7FAD69E0"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1</w:t>
            </w:r>
          </w:p>
        </w:tc>
        <w:tc>
          <w:tcPr>
            <w:tcW w:w="752" w:type="dxa"/>
            <w:shd w:val="clear" w:color="auto" w:fill="D9D9D9" w:themeFill="background1" w:themeFillShade="D9"/>
            <w:vAlign w:val="center"/>
          </w:tcPr>
          <w:p w14:paraId="3AC3B65A"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46</w:t>
            </w:r>
          </w:p>
        </w:tc>
        <w:tc>
          <w:tcPr>
            <w:tcW w:w="752" w:type="dxa"/>
            <w:shd w:val="clear" w:color="auto" w:fill="D9D9D9" w:themeFill="background1" w:themeFillShade="D9"/>
            <w:vAlign w:val="center"/>
          </w:tcPr>
          <w:p w14:paraId="01377DD4"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30</w:t>
            </w:r>
          </w:p>
        </w:tc>
        <w:tc>
          <w:tcPr>
            <w:tcW w:w="753" w:type="dxa"/>
            <w:shd w:val="clear" w:color="auto" w:fill="auto"/>
            <w:vAlign w:val="center"/>
          </w:tcPr>
          <w:p w14:paraId="48E2ED68"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2</w:t>
            </w:r>
          </w:p>
        </w:tc>
      </w:tr>
      <w:tr w:rsidR="00C51F8F" w:rsidRPr="00B83846" w14:paraId="45E37F27" w14:textId="77777777" w:rsidTr="00DF510F">
        <w:trPr>
          <w:cantSplit/>
        </w:trPr>
        <w:tc>
          <w:tcPr>
            <w:tcW w:w="1167" w:type="dxa"/>
            <w:shd w:val="clear" w:color="auto" w:fill="D9D9D9" w:themeFill="background1" w:themeFillShade="D9"/>
            <w:vAlign w:val="center"/>
            <w:hideMark/>
          </w:tcPr>
          <w:p w14:paraId="412F6EE2"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1.1.2</w:t>
            </w:r>
          </w:p>
        </w:tc>
        <w:tc>
          <w:tcPr>
            <w:tcW w:w="236" w:type="dxa"/>
            <w:tcBorders>
              <w:right w:val="nil"/>
            </w:tcBorders>
            <w:shd w:val="clear" w:color="auto" w:fill="D9D9D9" w:themeFill="background1" w:themeFillShade="D9"/>
            <w:vAlign w:val="center"/>
          </w:tcPr>
          <w:p w14:paraId="53BDAF83" w14:textId="77777777" w:rsidR="00C51F8F" w:rsidRPr="00B83846" w:rsidRDefault="00C51F8F" w:rsidP="00DF510F">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2F032582"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Liquid milk products &amp; flavoured liquid milk</w:t>
            </w:r>
          </w:p>
        </w:tc>
        <w:tc>
          <w:tcPr>
            <w:tcW w:w="752" w:type="dxa"/>
            <w:shd w:val="clear" w:color="auto" w:fill="auto"/>
            <w:vAlign w:val="center"/>
          </w:tcPr>
          <w:p w14:paraId="26C2BBCD"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17AB7D91"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28FCF234"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2</w:t>
            </w:r>
          </w:p>
        </w:tc>
        <w:tc>
          <w:tcPr>
            <w:tcW w:w="752" w:type="dxa"/>
            <w:shd w:val="clear" w:color="auto" w:fill="auto"/>
            <w:vAlign w:val="center"/>
          </w:tcPr>
          <w:p w14:paraId="0AE47628"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79959805" w14:textId="77777777" w:rsidR="00C51F8F" w:rsidRPr="00B83846" w:rsidRDefault="00C51F8F" w:rsidP="00DF510F">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7AF6008F"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2</w:t>
            </w:r>
          </w:p>
        </w:tc>
        <w:tc>
          <w:tcPr>
            <w:tcW w:w="752" w:type="dxa"/>
            <w:shd w:val="clear" w:color="auto" w:fill="auto"/>
            <w:vAlign w:val="center"/>
          </w:tcPr>
          <w:p w14:paraId="4A805AD2"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39290148" w14:textId="77777777" w:rsidR="00C51F8F" w:rsidRPr="00B83846" w:rsidRDefault="00C51F8F" w:rsidP="00DF510F">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7522FC92"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1</w:t>
            </w:r>
          </w:p>
        </w:tc>
        <w:tc>
          <w:tcPr>
            <w:tcW w:w="752" w:type="dxa"/>
            <w:shd w:val="clear" w:color="auto" w:fill="auto"/>
            <w:vAlign w:val="center"/>
          </w:tcPr>
          <w:p w14:paraId="5A406FF0"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2</w:t>
            </w:r>
          </w:p>
        </w:tc>
        <w:tc>
          <w:tcPr>
            <w:tcW w:w="752" w:type="dxa"/>
            <w:vAlign w:val="center"/>
          </w:tcPr>
          <w:p w14:paraId="7513309D"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1</w:t>
            </w:r>
          </w:p>
        </w:tc>
        <w:tc>
          <w:tcPr>
            <w:tcW w:w="753" w:type="dxa"/>
            <w:shd w:val="clear" w:color="auto" w:fill="auto"/>
            <w:vAlign w:val="center"/>
          </w:tcPr>
          <w:p w14:paraId="7C3CDC7C"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2</w:t>
            </w:r>
          </w:p>
        </w:tc>
      </w:tr>
      <w:tr w:rsidR="00C51F8F" w:rsidRPr="00B83846" w14:paraId="3B0524B8" w14:textId="77777777" w:rsidTr="00DF510F">
        <w:trPr>
          <w:cantSplit/>
        </w:trPr>
        <w:tc>
          <w:tcPr>
            <w:tcW w:w="1167" w:type="dxa"/>
            <w:shd w:val="clear" w:color="auto" w:fill="D9D9D9" w:themeFill="background1" w:themeFillShade="D9"/>
            <w:vAlign w:val="center"/>
            <w:hideMark/>
          </w:tcPr>
          <w:p w14:paraId="5B2C6F39"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1.2.2</w:t>
            </w:r>
          </w:p>
        </w:tc>
        <w:tc>
          <w:tcPr>
            <w:tcW w:w="236" w:type="dxa"/>
            <w:tcBorders>
              <w:right w:val="nil"/>
            </w:tcBorders>
            <w:shd w:val="clear" w:color="auto" w:fill="D9D9D9" w:themeFill="background1" w:themeFillShade="D9"/>
            <w:vAlign w:val="center"/>
          </w:tcPr>
          <w:p w14:paraId="52B3BCB7" w14:textId="77777777" w:rsidR="00C51F8F" w:rsidRPr="00B83846" w:rsidRDefault="00C51F8F" w:rsidP="00DF510F">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545B9E9B"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Fermented &amp; rennetted milk products, flavoured</w:t>
            </w:r>
          </w:p>
        </w:tc>
        <w:tc>
          <w:tcPr>
            <w:tcW w:w="752" w:type="dxa"/>
            <w:shd w:val="clear" w:color="auto" w:fill="auto"/>
            <w:vAlign w:val="center"/>
          </w:tcPr>
          <w:p w14:paraId="59E09040"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170ACF54"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D9D9D9" w:themeFill="background1" w:themeFillShade="D9"/>
            <w:vAlign w:val="center"/>
          </w:tcPr>
          <w:p w14:paraId="14C08875"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8</w:t>
            </w:r>
          </w:p>
        </w:tc>
        <w:tc>
          <w:tcPr>
            <w:tcW w:w="752" w:type="dxa"/>
            <w:shd w:val="clear" w:color="auto" w:fill="auto"/>
            <w:vAlign w:val="center"/>
          </w:tcPr>
          <w:p w14:paraId="393FBA29"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5CD57F93" w14:textId="77777777" w:rsidR="00C51F8F" w:rsidRPr="00B83846" w:rsidRDefault="00C51F8F" w:rsidP="00DF510F">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058C0B97"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4</w:t>
            </w:r>
          </w:p>
        </w:tc>
        <w:tc>
          <w:tcPr>
            <w:tcW w:w="752" w:type="dxa"/>
            <w:shd w:val="clear" w:color="auto" w:fill="auto"/>
            <w:vAlign w:val="center"/>
          </w:tcPr>
          <w:p w14:paraId="68A54385"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271C30D7" w14:textId="77777777" w:rsidR="00C51F8F" w:rsidRPr="00B83846" w:rsidRDefault="00C51F8F" w:rsidP="00DF510F">
            <w:pPr>
              <w:widowControl/>
              <w:tabs>
                <w:tab w:val="decimal" w:pos="397"/>
              </w:tabs>
              <w:rPr>
                <w:rFonts w:cs="Arial"/>
                <w:sz w:val="18"/>
                <w:szCs w:val="18"/>
              </w:rPr>
            </w:pPr>
            <w:r w:rsidRPr="005056E3">
              <w:rPr>
                <w:rFonts w:cs="Arial"/>
                <w:sz w:val="18"/>
                <w:szCs w:val="18"/>
              </w:rPr>
              <w:t>&lt;1</w:t>
            </w:r>
          </w:p>
        </w:tc>
        <w:tc>
          <w:tcPr>
            <w:tcW w:w="752" w:type="dxa"/>
            <w:shd w:val="clear" w:color="auto" w:fill="D9D9D9" w:themeFill="background1" w:themeFillShade="D9"/>
            <w:vAlign w:val="center"/>
          </w:tcPr>
          <w:p w14:paraId="7F8A74AE"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5</w:t>
            </w:r>
          </w:p>
        </w:tc>
        <w:tc>
          <w:tcPr>
            <w:tcW w:w="752" w:type="dxa"/>
            <w:shd w:val="clear" w:color="auto" w:fill="auto"/>
            <w:vAlign w:val="center"/>
          </w:tcPr>
          <w:p w14:paraId="7DAB2979"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4</w:t>
            </w:r>
          </w:p>
        </w:tc>
        <w:tc>
          <w:tcPr>
            <w:tcW w:w="752" w:type="dxa"/>
            <w:vAlign w:val="center"/>
          </w:tcPr>
          <w:p w14:paraId="2A630750"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3</w:t>
            </w:r>
          </w:p>
        </w:tc>
        <w:tc>
          <w:tcPr>
            <w:tcW w:w="753" w:type="dxa"/>
            <w:shd w:val="clear" w:color="auto" w:fill="D9D9D9" w:themeFill="background1" w:themeFillShade="D9"/>
            <w:vAlign w:val="center"/>
          </w:tcPr>
          <w:p w14:paraId="341C4162"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8</w:t>
            </w:r>
          </w:p>
        </w:tc>
      </w:tr>
      <w:tr w:rsidR="00E907D7" w:rsidRPr="007B7018" w14:paraId="2BD26C91" w14:textId="77777777" w:rsidTr="00E907D7">
        <w:trPr>
          <w:cantSplit/>
        </w:trPr>
        <w:tc>
          <w:tcPr>
            <w:tcW w:w="1167" w:type="dxa"/>
            <w:shd w:val="clear" w:color="auto" w:fill="auto"/>
            <w:vAlign w:val="center"/>
            <w:hideMark/>
          </w:tcPr>
          <w:p w14:paraId="6F9C881D"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2</w:t>
            </w:r>
          </w:p>
        </w:tc>
        <w:tc>
          <w:tcPr>
            <w:tcW w:w="3951" w:type="dxa"/>
            <w:gridSpan w:val="3"/>
            <w:tcBorders>
              <w:bottom w:val="single" w:sz="4" w:space="0" w:color="auto"/>
            </w:tcBorders>
            <w:shd w:val="clear" w:color="auto" w:fill="auto"/>
            <w:vAlign w:val="center"/>
          </w:tcPr>
          <w:p w14:paraId="631EB5DF"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All Edible oils &amp; oil emulsions</w:t>
            </w:r>
          </w:p>
        </w:tc>
        <w:tc>
          <w:tcPr>
            <w:tcW w:w="752" w:type="dxa"/>
            <w:shd w:val="clear" w:color="auto" w:fill="auto"/>
            <w:vAlign w:val="center"/>
          </w:tcPr>
          <w:p w14:paraId="2C34173C" w14:textId="77777777" w:rsidR="00E907D7" w:rsidRPr="007B7018" w:rsidRDefault="00E907D7" w:rsidP="00E907D7">
            <w:pPr>
              <w:widowControl/>
              <w:tabs>
                <w:tab w:val="decimal" w:pos="397"/>
              </w:tabs>
              <w:rPr>
                <w:rFonts w:cs="Arial"/>
                <w:bCs/>
                <w:sz w:val="18"/>
                <w:szCs w:val="18"/>
                <w:highlight w:val="magenta"/>
                <w:lang w:eastAsia="en-GB" w:bidi="ar-SA"/>
              </w:rPr>
            </w:pPr>
            <w:r w:rsidRPr="007B7018">
              <w:rPr>
                <w:rFonts w:cs="Arial"/>
                <w:bCs/>
                <w:sz w:val="18"/>
                <w:szCs w:val="18"/>
              </w:rPr>
              <w:t>&lt;1</w:t>
            </w:r>
          </w:p>
        </w:tc>
        <w:tc>
          <w:tcPr>
            <w:tcW w:w="752" w:type="dxa"/>
            <w:vAlign w:val="center"/>
          </w:tcPr>
          <w:p w14:paraId="656C2FDD" w14:textId="77777777" w:rsidR="00E907D7" w:rsidRPr="007B7018" w:rsidRDefault="00E907D7" w:rsidP="00E907D7">
            <w:pPr>
              <w:widowControl/>
              <w:tabs>
                <w:tab w:val="decimal" w:pos="397"/>
              </w:tabs>
              <w:rPr>
                <w:rFonts w:cs="Arial"/>
                <w:bCs/>
                <w:sz w:val="18"/>
                <w:szCs w:val="18"/>
              </w:rPr>
            </w:pPr>
            <w:r w:rsidRPr="007B7018">
              <w:rPr>
                <w:rFonts w:cs="Arial"/>
                <w:bCs/>
                <w:sz w:val="18"/>
                <w:szCs w:val="18"/>
              </w:rPr>
              <w:t>&lt;1</w:t>
            </w:r>
          </w:p>
        </w:tc>
        <w:tc>
          <w:tcPr>
            <w:tcW w:w="752" w:type="dxa"/>
            <w:shd w:val="clear" w:color="auto" w:fill="auto"/>
            <w:vAlign w:val="center"/>
          </w:tcPr>
          <w:p w14:paraId="02750DAD" w14:textId="77777777" w:rsidR="00E907D7" w:rsidRPr="007B7018" w:rsidRDefault="00E907D7" w:rsidP="00E907D7">
            <w:pPr>
              <w:widowControl/>
              <w:tabs>
                <w:tab w:val="decimal" w:pos="397"/>
              </w:tabs>
              <w:rPr>
                <w:rFonts w:cs="Arial"/>
                <w:bCs/>
                <w:sz w:val="18"/>
                <w:szCs w:val="18"/>
                <w:highlight w:val="magenta"/>
                <w:lang w:eastAsia="en-GB" w:bidi="ar-SA"/>
              </w:rPr>
            </w:pPr>
            <w:r w:rsidRPr="007B7018">
              <w:rPr>
                <w:rFonts w:cs="Arial"/>
                <w:bCs/>
                <w:sz w:val="18"/>
                <w:szCs w:val="18"/>
              </w:rPr>
              <w:t>&lt;1</w:t>
            </w:r>
          </w:p>
        </w:tc>
        <w:tc>
          <w:tcPr>
            <w:tcW w:w="752" w:type="dxa"/>
            <w:shd w:val="clear" w:color="auto" w:fill="auto"/>
            <w:vAlign w:val="center"/>
          </w:tcPr>
          <w:p w14:paraId="5F9A57E6" w14:textId="77777777" w:rsidR="00E907D7" w:rsidRPr="007B7018" w:rsidRDefault="00E907D7" w:rsidP="00E907D7">
            <w:pPr>
              <w:widowControl/>
              <w:tabs>
                <w:tab w:val="decimal" w:pos="397"/>
              </w:tabs>
              <w:rPr>
                <w:rFonts w:cs="Arial"/>
                <w:bCs/>
                <w:color w:val="000000"/>
                <w:sz w:val="18"/>
                <w:szCs w:val="18"/>
                <w:highlight w:val="magenta"/>
                <w:lang w:eastAsia="en-GB" w:bidi="ar-SA"/>
              </w:rPr>
            </w:pPr>
            <w:r w:rsidRPr="007B7018">
              <w:rPr>
                <w:rFonts w:cs="Arial"/>
                <w:bCs/>
                <w:color w:val="000000"/>
                <w:sz w:val="18"/>
                <w:szCs w:val="18"/>
              </w:rPr>
              <w:t>&lt;1</w:t>
            </w:r>
          </w:p>
        </w:tc>
        <w:tc>
          <w:tcPr>
            <w:tcW w:w="752" w:type="dxa"/>
            <w:vAlign w:val="center"/>
          </w:tcPr>
          <w:p w14:paraId="3F2AF949"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6EAA311F" w14:textId="77777777" w:rsidR="00E907D7" w:rsidRPr="007B7018" w:rsidRDefault="00E907D7" w:rsidP="00E907D7">
            <w:pPr>
              <w:widowControl/>
              <w:tabs>
                <w:tab w:val="decimal" w:pos="397"/>
              </w:tabs>
              <w:rPr>
                <w:rFonts w:cs="Arial"/>
                <w:bCs/>
                <w:color w:val="000000"/>
                <w:sz w:val="18"/>
                <w:szCs w:val="18"/>
                <w:highlight w:val="magenta"/>
                <w:lang w:eastAsia="en-GB" w:bidi="ar-SA"/>
              </w:rPr>
            </w:pPr>
            <w:r w:rsidRPr="007B7018">
              <w:rPr>
                <w:rFonts w:cs="Arial"/>
                <w:bCs/>
                <w:color w:val="000000"/>
                <w:sz w:val="18"/>
                <w:szCs w:val="18"/>
              </w:rPr>
              <w:t>&lt;1</w:t>
            </w:r>
          </w:p>
        </w:tc>
        <w:tc>
          <w:tcPr>
            <w:tcW w:w="752" w:type="dxa"/>
            <w:shd w:val="clear" w:color="auto" w:fill="auto"/>
            <w:vAlign w:val="center"/>
          </w:tcPr>
          <w:p w14:paraId="122B56AB" w14:textId="77777777" w:rsidR="00E907D7" w:rsidRPr="007B7018" w:rsidRDefault="00E907D7" w:rsidP="00E907D7">
            <w:pPr>
              <w:widowControl/>
              <w:tabs>
                <w:tab w:val="decimal" w:pos="397"/>
              </w:tabs>
              <w:rPr>
                <w:rFonts w:cs="Arial"/>
                <w:bCs/>
                <w:color w:val="000000"/>
                <w:sz w:val="18"/>
                <w:szCs w:val="18"/>
                <w:highlight w:val="magenta"/>
                <w:lang w:eastAsia="en-GB" w:bidi="ar-SA"/>
              </w:rPr>
            </w:pPr>
            <w:r w:rsidRPr="007B7018">
              <w:rPr>
                <w:rFonts w:cs="Arial"/>
                <w:bCs/>
                <w:color w:val="000000"/>
                <w:sz w:val="18"/>
                <w:szCs w:val="18"/>
              </w:rPr>
              <w:t>&lt;1</w:t>
            </w:r>
          </w:p>
        </w:tc>
        <w:tc>
          <w:tcPr>
            <w:tcW w:w="752" w:type="dxa"/>
            <w:vAlign w:val="center"/>
          </w:tcPr>
          <w:p w14:paraId="23A8A0E2"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1730D1E0" w14:textId="77777777" w:rsidR="00E907D7" w:rsidRPr="007B7018" w:rsidRDefault="00E907D7" w:rsidP="00E907D7">
            <w:pPr>
              <w:widowControl/>
              <w:tabs>
                <w:tab w:val="decimal" w:pos="397"/>
              </w:tabs>
              <w:rPr>
                <w:rFonts w:cs="Arial"/>
                <w:bCs/>
                <w:color w:val="000000"/>
                <w:sz w:val="18"/>
                <w:szCs w:val="18"/>
                <w:highlight w:val="magenta"/>
                <w:lang w:eastAsia="en-GB" w:bidi="ar-SA"/>
              </w:rPr>
            </w:pPr>
            <w:r w:rsidRPr="007B7018">
              <w:rPr>
                <w:rFonts w:cs="Arial"/>
                <w:bCs/>
                <w:color w:val="000000"/>
                <w:sz w:val="18"/>
                <w:szCs w:val="18"/>
              </w:rPr>
              <w:t>&lt;1</w:t>
            </w:r>
          </w:p>
        </w:tc>
        <w:tc>
          <w:tcPr>
            <w:tcW w:w="752" w:type="dxa"/>
            <w:shd w:val="clear" w:color="auto" w:fill="auto"/>
            <w:vAlign w:val="center"/>
          </w:tcPr>
          <w:p w14:paraId="46F034B3" w14:textId="77777777" w:rsidR="00E907D7" w:rsidRPr="007B7018" w:rsidRDefault="00E907D7" w:rsidP="00E907D7">
            <w:pPr>
              <w:widowControl/>
              <w:tabs>
                <w:tab w:val="decimal" w:pos="397"/>
              </w:tabs>
              <w:rPr>
                <w:rFonts w:cs="Arial"/>
                <w:bCs/>
                <w:color w:val="000000"/>
                <w:sz w:val="18"/>
                <w:szCs w:val="18"/>
                <w:highlight w:val="magenta"/>
                <w:lang w:eastAsia="en-GB" w:bidi="ar-SA"/>
              </w:rPr>
            </w:pPr>
            <w:r w:rsidRPr="007B7018">
              <w:rPr>
                <w:rFonts w:cs="Arial"/>
                <w:bCs/>
                <w:color w:val="000000"/>
                <w:sz w:val="18"/>
                <w:szCs w:val="18"/>
              </w:rPr>
              <w:t>&lt;1</w:t>
            </w:r>
          </w:p>
        </w:tc>
        <w:tc>
          <w:tcPr>
            <w:tcW w:w="752" w:type="dxa"/>
            <w:vAlign w:val="center"/>
          </w:tcPr>
          <w:p w14:paraId="082284F5"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3" w:type="dxa"/>
            <w:shd w:val="clear" w:color="auto" w:fill="auto"/>
            <w:vAlign w:val="center"/>
          </w:tcPr>
          <w:p w14:paraId="2F535AE2" w14:textId="77777777" w:rsidR="00E907D7" w:rsidRPr="007B7018" w:rsidRDefault="00E907D7" w:rsidP="00E907D7">
            <w:pPr>
              <w:widowControl/>
              <w:tabs>
                <w:tab w:val="decimal" w:pos="397"/>
              </w:tabs>
              <w:rPr>
                <w:rFonts w:cs="Arial"/>
                <w:bCs/>
                <w:color w:val="000000"/>
                <w:sz w:val="18"/>
                <w:szCs w:val="18"/>
                <w:highlight w:val="magenta"/>
                <w:lang w:eastAsia="en-GB" w:bidi="ar-SA"/>
              </w:rPr>
            </w:pPr>
            <w:r w:rsidRPr="007B7018">
              <w:rPr>
                <w:rFonts w:cs="Arial"/>
                <w:bCs/>
                <w:color w:val="000000"/>
                <w:sz w:val="18"/>
                <w:szCs w:val="18"/>
              </w:rPr>
              <w:t>&lt;1</w:t>
            </w:r>
          </w:p>
        </w:tc>
      </w:tr>
      <w:tr w:rsidR="00E907D7" w:rsidRPr="007B7018" w14:paraId="2B59DD63" w14:textId="77777777" w:rsidTr="00E907D7">
        <w:trPr>
          <w:cantSplit/>
        </w:trPr>
        <w:tc>
          <w:tcPr>
            <w:tcW w:w="1167" w:type="dxa"/>
            <w:shd w:val="clear" w:color="auto" w:fill="auto"/>
            <w:vAlign w:val="center"/>
            <w:hideMark/>
          </w:tcPr>
          <w:p w14:paraId="625452C7"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3</w:t>
            </w:r>
          </w:p>
        </w:tc>
        <w:tc>
          <w:tcPr>
            <w:tcW w:w="3951" w:type="dxa"/>
            <w:gridSpan w:val="3"/>
            <w:shd w:val="clear" w:color="auto" w:fill="auto"/>
            <w:vAlign w:val="center"/>
          </w:tcPr>
          <w:p w14:paraId="57F88318"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All Ice cream &amp; edible ices</w:t>
            </w:r>
          </w:p>
        </w:tc>
        <w:tc>
          <w:tcPr>
            <w:tcW w:w="752" w:type="dxa"/>
            <w:shd w:val="clear" w:color="auto" w:fill="auto"/>
            <w:vAlign w:val="center"/>
          </w:tcPr>
          <w:p w14:paraId="73CA11A6"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1</w:t>
            </w:r>
          </w:p>
        </w:tc>
        <w:tc>
          <w:tcPr>
            <w:tcW w:w="752" w:type="dxa"/>
            <w:vAlign w:val="center"/>
          </w:tcPr>
          <w:p w14:paraId="2A13F6A8"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1</w:t>
            </w:r>
          </w:p>
        </w:tc>
        <w:tc>
          <w:tcPr>
            <w:tcW w:w="752" w:type="dxa"/>
            <w:shd w:val="clear" w:color="auto" w:fill="auto"/>
            <w:vAlign w:val="center"/>
          </w:tcPr>
          <w:p w14:paraId="5AEA4D7E"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auto"/>
            <w:vAlign w:val="center"/>
          </w:tcPr>
          <w:p w14:paraId="69ABB908"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7BE65513"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4E5AACB1"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auto"/>
            <w:vAlign w:val="center"/>
          </w:tcPr>
          <w:p w14:paraId="079FE6A2"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1C5F90A6"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193CE1D6"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auto"/>
            <w:vAlign w:val="center"/>
          </w:tcPr>
          <w:p w14:paraId="4FB084B1"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2</w:t>
            </w:r>
          </w:p>
        </w:tc>
        <w:tc>
          <w:tcPr>
            <w:tcW w:w="752" w:type="dxa"/>
            <w:vAlign w:val="center"/>
          </w:tcPr>
          <w:p w14:paraId="41DF4BC0"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2</w:t>
            </w:r>
          </w:p>
        </w:tc>
        <w:tc>
          <w:tcPr>
            <w:tcW w:w="753" w:type="dxa"/>
            <w:shd w:val="clear" w:color="auto" w:fill="auto"/>
            <w:vAlign w:val="center"/>
          </w:tcPr>
          <w:p w14:paraId="2E69C93C"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r>
      <w:tr w:rsidR="00E907D7" w:rsidRPr="007B7018" w14:paraId="3973039C" w14:textId="77777777" w:rsidTr="00E907D7">
        <w:trPr>
          <w:cantSplit/>
        </w:trPr>
        <w:tc>
          <w:tcPr>
            <w:tcW w:w="1167" w:type="dxa"/>
            <w:shd w:val="clear" w:color="auto" w:fill="D9D9D9" w:themeFill="background1" w:themeFillShade="D9"/>
            <w:vAlign w:val="center"/>
            <w:hideMark/>
          </w:tcPr>
          <w:p w14:paraId="098522D5" w14:textId="77777777" w:rsidR="00E907D7" w:rsidRPr="007B7018" w:rsidRDefault="00E907D7" w:rsidP="007B7018">
            <w:pPr>
              <w:rPr>
                <w:rFonts w:cs="Arial"/>
                <w:bCs/>
                <w:color w:val="000000"/>
                <w:sz w:val="18"/>
                <w:szCs w:val="18"/>
                <w:lang w:eastAsia="en-GB" w:bidi="ar-SA"/>
              </w:rPr>
            </w:pPr>
            <w:r w:rsidRPr="007B7018">
              <w:rPr>
                <w:rFonts w:cs="Arial"/>
                <w:bCs/>
                <w:color w:val="000000"/>
                <w:sz w:val="18"/>
                <w:szCs w:val="18"/>
                <w:lang w:eastAsia="en-GB" w:bidi="ar-SA"/>
              </w:rPr>
              <w:t>4</w:t>
            </w:r>
          </w:p>
        </w:tc>
        <w:tc>
          <w:tcPr>
            <w:tcW w:w="3951" w:type="dxa"/>
            <w:gridSpan w:val="3"/>
            <w:tcBorders>
              <w:bottom w:val="single" w:sz="4" w:space="0" w:color="auto"/>
            </w:tcBorders>
            <w:shd w:val="clear" w:color="auto" w:fill="D9D9D9" w:themeFill="background1" w:themeFillShade="D9"/>
            <w:vAlign w:val="center"/>
          </w:tcPr>
          <w:p w14:paraId="5395F867" w14:textId="77777777" w:rsidR="00E907D7" w:rsidRPr="007B7018" w:rsidRDefault="00E907D7" w:rsidP="00E907D7">
            <w:pPr>
              <w:keepNext/>
              <w:keepLines/>
              <w:widowControl/>
              <w:rPr>
                <w:rFonts w:cs="Arial"/>
                <w:bCs/>
                <w:color w:val="000000"/>
                <w:sz w:val="18"/>
                <w:szCs w:val="18"/>
                <w:lang w:eastAsia="en-GB" w:bidi="ar-SA"/>
              </w:rPr>
            </w:pPr>
            <w:r w:rsidRPr="007B7018">
              <w:rPr>
                <w:rFonts w:cs="Arial"/>
                <w:bCs/>
                <w:color w:val="000000"/>
                <w:sz w:val="18"/>
                <w:szCs w:val="18"/>
                <w:lang w:eastAsia="en-GB" w:bidi="ar-SA"/>
              </w:rPr>
              <w:t>All Fruit &amp; vegetables (including fungi/ nuts/ seeds/ herbs/ spices)</w:t>
            </w:r>
          </w:p>
        </w:tc>
        <w:tc>
          <w:tcPr>
            <w:tcW w:w="752" w:type="dxa"/>
            <w:shd w:val="clear" w:color="auto" w:fill="auto"/>
            <w:vAlign w:val="center"/>
          </w:tcPr>
          <w:p w14:paraId="3B677C02"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3</w:t>
            </w:r>
          </w:p>
        </w:tc>
        <w:tc>
          <w:tcPr>
            <w:tcW w:w="752" w:type="dxa"/>
            <w:vAlign w:val="center"/>
          </w:tcPr>
          <w:p w14:paraId="0C0D247C" w14:textId="77777777" w:rsidR="00E907D7" w:rsidRPr="007B7018" w:rsidRDefault="00E907D7" w:rsidP="00E907D7">
            <w:pPr>
              <w:keepNext/>
              <w:keepLines/>
              <w:widowControl/>
              <w:tabs>
                <w:tab w:val="decimal" w:pos="397"/>
              </w:tabs>
              <w:rPr>
                <w:rFonts w:cs="Arial"/>
                <w:bCs/>
                <w:color w:val="000000"/>
                <w:sz w:val="18"/>
                <w:szCs w:val="18"/>
              </w:rPr>
            </w:pPr>
            <w:r w:rsidRPr="007B7018">
              <w:rPr>
                <w:rFonts w:cs="Arial"/>
                <w:bCs/>
                <w:color w:val="000000"/>
                <w:sz w:val="18"/>
                <w:szCs w:val="18"/>
              </w:rPr>
              <w:t>3</w:t>
            </w:r>
          </w:p>
        </w:tc>
        <w:tc>
          <w:tcPr>
            <w:tcW w:w="752" w:type="dxa"/>
            <w:shd w:val="clear" w:color="auto" w:fill="auto"/>
            <w:vAlign w:val="center"/>
          </w:tcPr>
          <w:p w14:paraId="6F3D4EA9"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auto"/>
            <w:vAlign w:val="center"/>
          </w:tcPr>
          <w:p w14:paraId="1DFF8A47"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6F689A62" w14:textId="77777777" w:rsidR="00E907D7" w:rsidRPr="007B7018" w:rsidRDefault="00E907D7" w:rsidP="00E907D7">
            <w:pPr>
              <w:keepNext/>
              <w:keepLines/>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1AF7A494"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auto"/>
            <w:vAlign w:val="center"/>
          </w:tcPr>
          <w:p w14:paraId="297188B9"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1</w:t>
            </w:r>
          </w:p>
        </w:tc>
        <w:tc>
          <w:tcPr>
            <w:tcW w:w="752" w:type="dxa"/>
            <w:vAlign w:val="center"/>
          </w:tcPr>
          <w:p w14:paraId="0396FB93" w14:textId="77777777" w:rsidR="00E907D7" w:rsidRPr="007B7018" w:rsidRDefault="00E907D7" w:rsidP="00E907D7">
            <w:pPr>
              <w:keepNext/>
              <w:keepLines/>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523DEC20"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D9D9D9" w:themeFill="background1" w:themeFillShade="D9"/>
            <w:vAlign w:val="center"/>
          </w:tcPr>
          <w:p w14:paraId="2C986A88"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9</w:t>
            </w:r>
          </w:p>
        </w:tc>
        <w:tc>
          <w:tcPr>
            <w:tcW w:w="752" w:type="dxa"/>
            <w:shd w:val="clear" w:color="auto" w:fill="D9D9D9" w:themeFill="background1" w:themeFillShade="D9"/>
            <w:vAlign w:val="center"/>
          </w:tcPr>
          <w:p w14:paraId="6E3BB440" w14:textId="77777777" w:rsidR="00E907D7" w:rsidRPr="007B7018" w:rsidRDefault="00E907D7" w:rsidP="00E907D7">
            <w:pPr>
              <w:keepNext/>
              <w:keepLines/>
              <w:widowControl/>
              <w:tabs>
                <w:tab w:val="decimal" w:pos="397"/>
              </w:tabs>
              <w:rPr>
                <w:rFonts w:cs="Arial"/>
                <w:bCs/>
                <w:color w:val="000000"/>
                <w:sz w:val="18"/>
                <w:szCs w:val="18"/>
              </w:rPr>
            </w:pPr>
            <w:r w:rsidRPr="007B7018">
              <w:rPr>
                <w:rFonts w:cs="Arial"/>
                <w:bCs/>
                <w:color w:val="000000"/>
                <w:sz w:val="18"/>
                <w:szCs w:val="18"/>
              </w:rPr>
              <w:t>6</w:t>
            </w:r>
          </w:p>
        </w:tc>
        <w:tc>
          <w:tcPr>
            <w:tcW w:w="753" w:type="dxa"/>
            <w:shd w:val="clear" w:color="auto" w:fill="auto"/>
            <w:vAlign w:val="center"/>
          </w:tcPr>
          <w:p w14:paraId="037EFB15"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&lt;1</w:t>
            </w:r>
          </w:p>
        </w:tc>
      </w:tr>
      <w:tr w:rsidR="00E907D7" w:rsidRPr="007B7018" w14:paraId="02B68DCE" w14:textId="77777777" w:rsidTr="00E907D7">
        <w:trPr>
          <w:cantSplit/>
        </w:trPr>
        <w:tc>
          <w:tcPr>
            <w:tcW w:w="1167" w:type="dxa"/>
            <w:shd w:val="clear" w:color="auto" w:fill="D9D9D9" w:themeFill="background1" w:themeFillShade="D9"/>
            <w:vAlign w:val="center"/>
            <w:hideMark/>
          </w:tcPr>
          <w:p w14:paraId="4D8683E0"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5</w:t>
            </w:r>
          </w:p>
        </w:tc>
        <w:tc>
          <w:tcPr>
            <w:tcW w:w="3951" w:type="dxa"/>
            <w:gridSpan w:val="3"/>
            <w:tcBorders>
              <w:bottom w:val="single" w:sz="4" w:space="0" w:color="auto"/>
            </w:tcBorders>
            <w:shd w:val="clear" w:color="auto" w:fill="D9D9D9" w:themeFill="background1" w:themeFillShade="D9"/>
            <w:vAlign w:val="center"/>
          </w:tcPr>
          <w:p w14:paraId="3C7E12C6"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All Confectionery</w:t>
            </w:r>
          </w:p>
        </w:tc>
        <w:tc>
          <w:tcPr>
            <w:tcW w:w="752" w:type="dxa"/>
            <w:shd w:val="clear" w:color="auto" w:fill="auto"/>
            <w:vAlign w:val="center"/>
          </w:tcPr>
          <w:p w14:paraId="4BA30D12"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49394EE5"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D9D9D9" w:themeFill="background1" w:themeFillShade="D9"/>
            <w:vAlign w:val="center"/>
          </w:tcPr>
          <w:p w14:paraId="36947B7D"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5</w:t>
            </w:r>
          </w:p>
        </w:tc>
        <w:tc>
          <w:tcPr>
            <w:tcW w:w="752" w:type="dxa"/>
            <w:shd w:val="clear" w:color="auto" w:fill="auto"/>
            <w:vAlign w:val="center"/>
          </w:tcPr>
          <w:p w14:paraId="79522B25"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auto"/>
            <w:vAlign w:val="center"/>
          </w:tcPr>
          <w:p w14:paraId="604E283F"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316AD1D4"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2</w:t>
            </w:r>
          </w:p>
        </w:tc>
        <w:tc>
          <w:tcPr>
            <w:tcW w:w="752" w:type="dxa"/>
            <w:shd w:val="clear" w:color="auto" w:fill="auto"/>
            <w:vAlign w:val="center"/>
          </w:tcPr>
          <w:p w14:paraId="6A007CCB"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auto"/>
            <w:vAlign w:val="center"/>
          </w:tcPr>
          <w:p w14:paraId="2FC05C3A"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019EE6CE"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2</w:t>
            </w:r>
          </w:p>
        </w:tc>
        <w:tc>
          <w:tcPr>
            <w:tcW w:w="752" w:type="dxa"/>
            <w:shd w:val="clear" w:color="auto" w:fill="auto"/>
            <w:vAlign w:val="center"/>
          </w:tcPr>
          <w:p w14:paraId="4809161F"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3</w:t>
            </w:r>
          </w:p>
        </w:tc>
        <w:tc>
          <w:tcPr>
            <w:tcW w:w="752" w:type="dxa"/>
            <w:shd w:val="clear" w:color="auto" w:fill="auto"/>
            <w:vAlign w:val="center"/>
          </w:tcPr>
          <w:p w14:paraId="1FA28053"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2</w:t>
            </w:r>
          </w:p>
        </w:tc>
        <w:tc>
          <w:tcPr>
            <w:tcW w:w="753" w:type="dxa"/>
            <w:shd w:val="clear" w:color="auto" w:fill="auto"/>
            <w:vAlign w:val="center"/>
          </w:tcPr>
          <w:p w14:paraId="3821C605"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3</w:t>
            </w:r>
          </w:p>
        </w:tc>
      </w:tr>
      <w:tr w:rsidR="00E907D7" w:rsidRPr="007B7018" w14:paraId="4BF2FBAB" w14:textId="77777777" w:rsidTr="00E907D7">
        <w:trPr>
          <w:cantSplit/>
        </w:trPr>
        <w:tc>
          <w:tcPr>
            <w:tcW w:w="1167" w:type="dxa"/>
            <w:shd w:val="clear" w:color="auto" w:fill="D9D9D9" w:themeFill="background1" w:themeFillShade="D9"/>
            <w:vAlign w:val="center"/>
            <w:hideMark/>
          </w:tcPr>
          <w:p w14:paraId="338ADECD"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6</w:t>
            </w:r>
          </w:p>
        </w:tc>
        <w:tc>
          <w:tcPr>
            <w:tcW w:w="3951" w:type="dxa"/>
            <w:gridSpan w:val="3"/>
            <w:tcBorders>
              <w:bottom w:val="single" w:sz="4" w:space="0" w:color="auto"/>
            </w:tcBorders>
            <w:shd w:val="clear" w:color="auto" w:fill="D9D9D9" w:themeFill="background1" w:themeFillShade="D9"/>
            <w:vAlign w:val="center"/>
          </w:tcPr>
          <w:p w14:paraId="71922727"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All Cereals &amp; cereal products</w:t>
            </w:r>
          </w:p>
        </w:tc>
        <w:tc>
          <w:tcPr>
            <w:tcW w:w="752" w:type="dxa"/>
            <w:shd w:val="clear" w:color="auto" w:fill="auto"/>
            <w:vAlign w:val="center"/>
          </w:tcPr>
          <w:p w14:paraId="0EF4E45A"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63E91ACC"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D9D9D9" w:themeFill="background1" w:themeFillShade="D9"/>
            <w:vAlign w:val="center"/>
          </w:tcPr>
          <w:p w14:paraId="00B5F69B"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13</w:t>
            </w:r>
          </w:p>
        </w:tc>
        <w:tc>
          <w:tcPr>
            <w:tcW w:w="752" w:type="dxa"/>
            <w:shd w:val="clear" w:color="auto" w:fill="auto"/>
            <w:vAlign w:val="center"/>
          </w:tcPr>
          <w:p w14:paraId="5FC23A66"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39474DB2"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7F7C8784"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3</w:t>
            </w:r>
          </w:p>
        </w:tc>
        <w:tc>
          <w:tcPr>
            <w:tcW w:w="752" w:type="dxa"/>
            <w:shd w:val="clear" w:color="auto" w:fill="auto"/>
            <w:vAlign w:val="center"/>
          </w:tcPr>
          <w:p w14:paraId="6767DBB2"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1664288A"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1B73E6B0"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4</w:t>
            </w:r>
          </w:p>
        </w:tc>
        <w:tc>
          <w:tcPr>
            <w:tcW w:w="752" w:type="dxa"/>
            <w:shd w:val="clear" w:color="auto" w:fill="auto"/>
            <w:vAlign w:val="center"/>
          </w:tcPr>
          <w:p w14:paraId="4865BC63"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2</w:t>
            </w:r>
          </w:p>
        </w:tc>
        <w:tc>
          <w:tcPr>
            <w:tcW w:w="752" w:type="dxa"/>
            <w:vAlign w:val="center"/>
          </w:tcPr>
          <w:p w14:paraId="01F902A0"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2</w:t>
            </w:r>
          </w:p>
        </w:tc>
        <w:tc>
          <w:tcPr>
            <w:tcW w:w="753" w:type="dxa"/>
            <w:shd w:val="clear" w:color="auto" w:fill="D9D9D9" w:themeFill="background1" w:themeFillShade="D9"/>
            <w:vAlign w:val="center"/>
          </w:tcPr>
          <w:p w14:paraId="48E673BD"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7</w:t>
            </w:r>
          </w:p>
        </w:tc>
      </w:tr>
      <w:tr w:rsidR="00C51F8F" w:rsidRPr="00B83846" w14:paraId="44EF21FB" w14:textId="77777777" w:rsidTr="00DF510F">
        <w:trPr>
          <w:cantSplit/>
        </w:trPr>
        <w:tc>
          <w:tcPr>
            <w:tcW w:w="1167" w:type="dxa"/>
            <w:shd w:val="clear" w:color="auto" w:fill="D9D9D9" w:themeFill="background1" w:themeFillShade="D9"/>
            <w:vAlign w:val="center"/>
            <w:hideMark/>
          </w:tcPr>
          <w:p w14:paraId="529AFEFA"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6.1.1</w:t>
            </w:r>
          </w:p>
        </w:tc>
        <w:tc>
          <w:tcPr>
            <w:tcW w:w="236" w:type="dxa"/>
            <w:tcBorders>
              <w:right w:val="nil"/>
            </w:tcBorders>
            <w:shd w:val="clear" w:color="auto" w:fill="D9D9D9" w:themeFill="background1" w:themeFillShade="D9"/>
            <w:vAlign w:val="center"/>
          </w:tcPr>
          <w:p w14:paraId="1F34AF50" w14:textId="77777777" w:rsidR="00C51F8F" w:rsidRPr="00B83846" w:rsidRDefault="00C51F8F" w:rsidP="00DF510F">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43365885" w14:textId="77777777" w:rsidR="00C51F8F" w:rsidRPr="00B83846" w:rsidRDefault="00C51F8F" w:rsidP="00DF510F">
            <w:pPr>
              <w:widowControl/>
              <w:rPr>
                <w:rFonts w:cs="Arial"/>
                <w:color w:val="000000"/>
                <w:sz w:val="18"/>
                <w:szCs w:val="18"/>
                <w:lang w:val="en-AU" w:eastAsia="en-GB" w:bidi="ar-SA"/>
              </w:rPr>
            </w:pPr>
            <w:r w:rsidRPr="00B83846">
              <w:rPr>
                <w:rFonts w:cs="Arial"/>
                <w:color w:val="000000"/>
                <w:sz w:val="18"/>
                <w:szCs w:val="18"/>
                <w:lang w:eastAsia="en-GB" w:bidi="ar-SA"/>
              </w:rPr>
              <w:t>Plain oats, dry</w:t>
            </w:r>
          </w:p>
        </w:tc>
        <w:tc>
          <w:tcPr>
            <w:tcW w:w="752" w:type="dxa"/>
            <w:shd w:val="clear" w:color="auto" w:fill="auto"/>
            <w:vAlign w:val="center"/>
          </w:tcPr>
          <w:p w14:paraId="16EEB299"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5E46479C"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D9D9D9" w:themeFill="background1" w:themeFillShade="D9"/>
            <w:vAlign w:val="center"/>
          </w:tcPr>
          <w:p w14:paraId="49361612"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13</w:t>
            </w:r>
          </w:p>
        </w:tc>
        <w:tc>
          <w:tcPr>
            <w:tcW w:w="752" w:type="dxa"/>
            <w:shd w:val="clear" w:color="auto" w:fill="auto"/>
            <w:vAlign w:val="center"/>
          </w:tcPr>
          <w:p w14:paraId="3AF987AE"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11D70192" w14:textId="77777777" w:rsidR="00C51F8F" w:rsidRPr="00B83846" w:rsidRDefault="00C51F8F" w:rsidP="00DF510F">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0063EBF9"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3</w:t>
            </w:r>
          </w:p>
        </w:tc>
        <w:tc>
          <w:tcPr>
            <w:tcW w:w="752" w:type="dxa"/>
            <w:shd w:val="clear" w:color="auto" w:fill="auto"/>
            <w:vAlign w:val="center"/>
          </w:tcPr>
          <w:p w14:paraId="14607033"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52BD059B" w14:textId="77777777" w:rsidR="00C51F8F" w:rsidRPr="00B83846" w:rsidRDefault="00C51F8F" w:rsidP="00DF510F">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388CF28B"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4</w:t>
            </w:r>
          </w:p>
        </w:tc>
        <w:tc>
          <w:tcPr>
            <w:tcW w:w="752" w:type="dxa"/>
            <w:shd w:val="clear" w:color="auto" w:fill="auto"/>
            <w:vAlign w:val="center"/>
          </w:tcPr>
          <w:p w14:paraId="12418562"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76A6ADA1"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&lt;1</w:t>
            </w:r>
          </w:p>
        </w:tc>
        <w:tc>
          <w:tcPr>
            <w:tcW w:w="753" w:type="dxa"/>
            <w:shd w:val="clear" w:color="auto" w:fill="D9D9D9" w:themeFill="background1" w:themeFillShade="D9"/>
            <w:vAlign w:val="center"/>
          </w:tcPr>
          <w:p w14:paraId="7360000F"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7</w:t>
            </w:r>
          </w:p>
        </w:tc>
      </w:tr>
      <w:tr w:rsidR="00E907D7" w:rsidRPr="007B7018" w14:paraId="571E0D7A" w14:textId="77777777" w:rsidTr="00E907D7">
        <w:trPr>
          <w:cantSplit/>
        </w:trPr>
        <w:tc>
          <w:tcPr>
            <w:tcW w:w="1167" w:type="dxa"/>
            <w:shd w:val="clear" w:color="auto" w:fill="auto"/>
            <w:vAlign w:val="center"/>
            <w:hideMark/>
          </w:tcPr>
          <w:p w14:paraId="526FE9CC" w14:textId="77777777" w:rsidR="00E907D7" w:rsidRPr="007B7018" w:rsidRDefault="00E907D7" w:rsidP="007B7018">
            <w:pPr>
              <w:rPr>
                <w:rFonts w:cs="Arial"/>
                <w:bCs/>
                <w:color w:val="000000"/>
                <w:sz w:val="18"/>
                <w:szCs w:val="18"/>
                <w:lang w:eastAsia="en-GB" w:bidi="ar-SA"/>
              </w:rPr>
            </w:pPr>
            <w:r w:rsidRPr="007B7018">
              <w:rPr>
                <w:rFonts w:cs="Arial"/>
                <w:bCs/>
                <w:color w:val="000000"/>
                <w:sz w:val="18"/>
                <w:szCs w:val="18"/>
                <w:lang w:eastAsia="en-GB" w:bidi="ar-SA"/>
              </w:rPr>
              <w:t>7</w:t>
            </w:r>
          </w:p>
        </w:tc>
        <w:tc>
          <w:tcPr>
            <w:tcW w:w="3951" w:type="dxa"/>
            <w:gridSpan w:val="3"/>
            <w:tcBorders>
              <w:bottom w:val="single" w:sz="4" w:space="0" w:color="auto"/>
            </w:tcBorders>
            <w:shd w:val="clear" w:color="auto" w:fill="auto"/>
            <w:vAlign w:val="center"/>
          </w:tcPr>
          <w:p w14:paraId="2A691260" w14:textId="77777777" w:rsidR="00E907D7" w:rsidRPr="007B7018" w:rsidRDefault="00E907D7" w:rsidP="00E907D7">
            <w:pPr>
              <w:keepNext/>
              <w:keepLines/>
              <w:widowControl/>
              <w:rPr>
                <w:rFonts w:cs="Arial"/>
                <w:bCs/>
                <w:color w:val="000000"/>
                <w:sz w:val="18"/>
                <w:szCs w:val="18"/>
                <w:lang w:eastAsia="en-GB" w:bidi="ar-SA"/>
              </w:rPr>
            </w:pPr>
            <w:r w:rsidRPr="007B7018">
              <w:rPr>
                <w:rFonts w:cs="Arial"/>
                <w:bCs/>
                <w:color w:val="000000"/>
                <w:sz w:val="18"/>
                <w:szCs w:val="18"/>
                <w:lang w:eastAsia="en-GB" w:bidi="ar-SA"/>
              </w:rPr>
              <w:t>All Breads &amp; bakery products</w:t>
            </w:r>
          </w:p>
        </w:tc>
        <w:tc>
          <w:tcPr>
            <w:tcW w:w="752" w:type="dxa"/>
            <w:shd w:val="clear" w:color="auto" w:fill="auto"/>
            <w:vAlign w:val="center"/>
          </w:tcPr>
          <w:p w14:paraId="1BF2A97F"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475D1E97" w14:textId="77777777" w:rsidR="00E907D7" w:rsidRPr="007B7018" w:rsidRDefault="00E907D7" w:rsidP="00E907D7">
            <w:pPr>
              <w:keepNext/>
              <w:keepLines/>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5A6B5C33"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auto"/>
            <w:vAlign w:val="center"/>
          </w:tcPr>
          <w:p w14:paraId="63BCE618"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60D41131" w14:textId="77777777" w:rsidR="00E907D7" w:rsidRPr="007B7018" w:rsidRDefault="00E907D7" w:rsidP="00E907D7">
            <w:pPr>
              <w:keepNext/>
              <w:keepLines/>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42A462E9"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auto"/>
            <w:vAlign w:val="center"/>
          </w:tcPr>
          <w:p w14:paraId="377363E1"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60CB8368" w14:textId="77777777" w:rsidR="00E907D7" w:rsidRPr="007B7018" w:rsidRDefault="00E907D7" w:rsidP="00E907D7">
            <w:pPr>
              <w:keepNext/>
              <w:keepLines/>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7A7D105C"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auto"/>
            <w:vAlign w:val="center"/>
          </w:tcPr>
          <w:p w14:paraId="2AE9829F"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2</w:t>
            </w:r>
          </w:p>
        </w:tc>
        <w:tc>
          <w:tcPr>
            <w:tcW w:w="752" w:type="dxa"/>
            <w:vAlign w:val="center"/>
          </w:tcPr>
          <w:p w14:paraId="5B44E880" w14:textId="77777777" w:rsidR="00E907D7" w:rsidRPr="007B7018" w:rsidRDefault="00E907D7" w:rsidP="00E907D7">
            <w:pPr>
              <w:keepNext/>
              <w:keepLines/>
              <w:widowControl/>
              <w:tabs>
                <w:tab w:val="decimal" w:pos="397"/>
              </w:tabs>
              <w:rPr>
                <w:rFonts w:cs="Arial"/>
                <w:bCs/>
                <w:color w:val="000000"/>
                <w:sz w:val="18"/>
                <w:szCs w:val="18"/>
              </w:rPr>
            </w:pPr>
            <w:r w:rsidRPr="007B7018">
              <w:rPr>
                <w:rFonts w:cs="Arial"/>
                <w:bCs/>
                <w:color w:val="000000"/>
                <w:sz w:val="18"/>
                <w:szCs w:val="18"/>
              </w:rPr>
              <w:t>&lt;1</w:t>
            </w:r>
          </w:p>
        </w:tc>
        <w:tc>
          <w:tcPr>
            <w:tcW w:w="753" w:type="dxa"/>
            <w:shd w:val="clear" w:color="auto" w:fill="auto"/>
            <w:vAlign w:val="center"/>
          </w:tcPr>
          <w:p w14:paraId="7D984F10"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&lt;1</w:t>
            </w:r>
          </w:p>
        </w:tc>
      </w:tr>
      <w:tr w:rsidR="00E907D7" w:rsidRPr="007B7018" w14:paraId="62055AF0" w14:textId="77777777" w:rsidTr="00E907D7">
        <w:trPr>
          <w:cantSplit/>
        </w:trPr>
        <w:tc>
          <w:tcPr>
            <w:tcW w:w="1167" w:type="dxa"/>
            <w:shd w:val="clear" w:color="auto" w:fill="D9D9D9" w:themeFill="background1" w:themeFillShade="D9"/>
            <w:vAlign w:val="center"/>
            <w:hideMark/>
          </w:tcPr>
          <w:p w14:paraId="6AD8EAB4"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8</w:t>
            </w:r>
          </w:p>
        </w:tc>
        <w:tc>
          <w:tcPr>
            <w:tcW w:w="3951" w:type="dxa"/>
            <w:gridSpan w:val="3"/>
            <w:tcBorders>
              <w:bottom w:val="single" w:sz="4" w:space="0" w:color="auto"/>
            </w:tcBorders>
            <w:shd w:val="clear" w:color="auto" w:fill="D9D9D9" w:themeFill="background1" w:themeFillShade="D9"/>
            <w:vAlign w:val="center"/>
          </w:tcPr>
          <w:p w14:paraId="1EB0E604"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All Meat &amp; meat products (including poultry &amp; game)</w:t>
            </w:r>
          </w:p>
        </w:tc>
        <w:tc>
          <w:tcPr>
            <w:tcW w:w="752" w:type="dxa"/>
            <w:tcBorders>
              <w:bottom w:val="single" w:sz="4" w:space="0" w:color="auto"/>
            </w:tcBorders>
            <w:shd w:val="clear" w:color="auto" w:fill="D9D9D9" w:themeFill="background1" w:themeFillShade="D9"/>
            <w:vAlign w:val="center"/>
          </w:tcPr>
          <w:p w14:paraId="0374ED37"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74</w:t>
            </w:r>
          </w:p>
        </w:tc>
        <w:tc>
          <w:tcPr>
            <w:tcW w:w="752" w:type="dxa"/>
            <w:shd w:val="clear" w:color="auto" w:fill="D9D9D9" w:themeFill="background1" w:themeFillShade="D9"/>
            <w:vAlign w:val="center"/>
          </w:tcPr>
          <w:p w14:paraId="37BD0E94"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71</w:t>
            </w:r>
          </w:p>
        </w:tc>
        <w:tc>
          <w:tcPr>
            <w:tcW w:w="752" w:type="dxa"/>
            <w:shd w:val="clear" w:color="auto" w:fill="D9D9D9" w:themeFill="background1" w:themeFillShade="D9"/>
            <w:vAlign w:val="center"/>
          </w:tcPr>
          <w:p w14:paraId="6AE5150F"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15</w:t>
            </w:r>
          </w:p>
        </w:tc>
        <w:tc>
          <w:tcPr>
            <w:tcW w:w="752" w:type="dxa"/>
            <w:shd w:val="clear" w:color="auto" w:fill="D9D9D9" w:themeFill="background1" w:themeFillShade="D9"/>
            <w:vAlign w:val="center"/>
          </w:tcPr>
          <w:p w14:paraId="7165E3B9"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33</w:t>
            </w:r>
          </w:p>
        </w:tc>
        <w:tc>
          <w:tcPr>
            <w:tcW w:w="752" w:type="dxa"/>
            <w:shd w:val="clear" w:color="auto" w:fill="D9D9D9" w:themeFill="background1" w:themeFillShade="D9"/>
            <w:vAlign w:val="center"/>
          </w:tcPr>
          <w:p w14:paraId="6CDE1309"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10</w:t>
            </w:r>
          </w:p>
        </w:tc>
        <w:tc>
          <w:tcPr>
            <w:tcW w:w="752" w:type="dxa"/>
            <w:shd w:val="clear" w:color="auto" w:fill="D9D9D9" w:themeFill="background1" w:themeFillShade="D9"/>
            <w:vAlign w:val="center"/>
          </w:tcPr>
          <w:p w14:paraId="1E8D3097"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6</w:t>
            </w:r>
          </w:p>
        </w:tc>
        <w:tc>
          <w:tcPr>
            <w:tcW w:w="752" w:type="dxa"/>
            <w:tcBorders>
              <w:bottom w:val="single" w:sz="4" w:space="0" w:color="auto"/>
            </w:tcBorders>
            <w:shd w:val="clear" w:color="auto" w:fill="D9D9D9" w:themeFill="background1" w:themeFillShade="D9"/>
            <w:vAlign w:val="center"/>
          </w:tcPr>
          <w:p w14:paraId="298DCF1F"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40</w:t>
            </w:r>
          </w:p>
        </w:tc>
        <w:tc>
          <w:tcPr>
            <w:tcW w:w="752" w:type="dxa"/>
            <w:tcBorders>
              <w:bottom w:val="single" w:sz="4" w:space="0" w:color="auto"/>
            </w:tcBorders>
            <w:shd w:val="clear" w:color="auto" w:fill="D9D9D9" w:themeFill="background1" w:themeFillShade="D9"/>
            <w:vAlign w:val="center"/>
          </w:tcPr>
          <w:p w14:paraId="404FAFEE"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14</w:t>
            </w:r>
          </w:p>
        </w:tc>
        <w:tc>
          <w:tcPr>
            <w:tcW w:w="752" w:type="dxa"/>
            <w:shd w:val="clear" w:color="auto" w:fill="D9D9D9" w:themeFill="background1" w:themeFillShade="D9"/>
            <w:vAlign w:val="center"/>
          </w:tcPr>
          <w:p w14:paraId="4C1D04DE"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7</w:t>
            </w:r>
          </w:p>
        </w:tc>
        <w:tc>
          <w:tcPr>
            <w:tcW w:w="752" w:type="dxa"/>
            <w:shd w:val="clear" w:color="auto" w:fill="auto"/>
            <w:vAlign w:val="center"/>
          </w:tcPr>
          <w:p w14:paraId="10509676"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0</w:t>
            </w:r>
          </w:p>
        </w:tc>
        <w:tc>
          <w:tcPr>
            <w:tcW w:w="752" w:type="dxa"/>
            <w:vAlign w:val="center"/>
          </w:tcPr>
          <w:p w14:paraId="7EA8F039"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0</w:t>
            </w:r>
          </w:p>
        </w:tc>
        <w:tc>
          <w:tcPr>
            <w:tcW w:w="753" w:type="dxa"/>
            <w:shd w:val="clear" w:color="auto" w:fill="auto"/>
            <w:vAlign w:val="center"/>
          </w:tcPr>
          <w:p w14:paraId="3214C63A"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0</w:t>
            </w:r>
          </w:p>
        </w:tc>
      </w:tr>
      <w:tr w:rsidR="00C51F8F" w:rsidRPr="00B83846" w14:paraId="3BD2A774" w14:textId="77777777" w:rsidTr="00DF510F">
        <w:trPr>
          <w:cantSplit/>
        </w:trPr>
        <w:tc>
          <w:tcPr>
            <w:tcW w:w="1167" w:type="dxa"/>
            <w:shd w:val="clear" w:color="auto" w:fill="D9D9D9" w:themeFill="background1" w:themeFillShade="D9"/>
            <w:vAlign w:val="center"/>
            <w:hideMark/>
          </w:tcPr>
          <w:p w14:paraId="5A0AB9DD"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8.1.1</w:t>
            </w:r>
          </w:p>
        </w:tc>
        <w:tc>
          <w:tcPr>
            <w:tcW w:w="236" w:type="dxa"/>
            <w:tcBorders>
              <w:right w:val="nil"/>
            </w:tcBorders>
            <w:shd w:val="clear" w:color="auto" w:fill="D9D9D9" w:themeFill="background1" w:themeFillShade="D9"/>
            <w:vAlign w:val="center"/>
          </w:tcPr>
          <w:p w14:paraId="68893391" w14:textId="77777777" w:rsidR="00C51F8F" w:rsidRPr="00B83846" w:rsidRDefault="00C51F8F" w:rsidP="00DF510F">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728C2B2C"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Poultry (excluding duck)</w:t>
            </w:r>
          </w:p>
        </w:tc>
        <w:tc>
          <w:tcPr>
            <w:tcW w:w="752" w:type="dxa"/>
            <w:shd w:val="clear" w:color="auto" w:fill="D9D9D9" w:themeFill="background1" w:themeFillShade="D9"/>
            <w:vAlign w:val="center"/>
          </w:tcPr>
          <w:p w14:paraId="06612D9A"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6</w:t>
            </w:r>
          </w:p>
        </w:tc>
        <w:tc>
          <w:tcPr>
            <w:tcW w:w="752" w:type="dxa"/>
            <w:shd w:val="clear" w:color="auto" w:fill="D9D9D9" w:themeFill="background1" w:themeFillShade="D9"/>
            <w:vAlign w:val="center"/>
          </w:tcPr>
          <w:p w14:paraId="591F0EBD"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5</w:t>
            </w:r>
          </w:p>
        </w:tc>
        <w:tc>
          <w:tcPr>
            <w:tcW w:w="752" w:type="dxa"/>
            <w:shd w:val="clear" w:color="auto" w:fill="auto"/>
            <w:vAlign w:val="center"/>
          </w:tcPr>
          <w:p w14:paraId="17853F6E"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1</w:t>
            </w:r>
          </w:p>
        </w:tc>
        <w:tc>
          <w:tcPr>
            <w:tcW w:w="752" w:type="dxa"/>
            <w:shd w:val="clear" w:color="auto" w:fill="auto"/>
            <w:vAlign w:val="center"/>
          </w:tcPr>
          <w:p w14:paraId="6DDF1F79"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3</w:t>
            </w:r>
          </w:p>
        </w:tc>
        <w:tc>
          <w:tcPr>
            <w:tcW w:w="752" w:type="dxa"/>
            <w:vAlign w:val="center"/>
          </w:tcPr>
          <w:p w14:paraId="23C74DDC" w14:textId="77777777" w:rsidR="00C51F8F" w:rsidRPr="00B83846" w:rsidRDefault="00C51F8F" w:rsidP="00DF510F">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3002AFCA"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D9D9D9" w:themeFill="background1" w:themeFillShade="D9"/>
            <w:vAlign w:val="center"/>
          </w:tcPr>
          <w:p w14:paraId="721E9B11"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5</w:t>
            </w:r>
          </w:p>
        </w:tc>
        <w:tc>
          <w:tcPr>
            <w:tcW w:w="752" w:type="dxa"/>
            <w:shd w:val="clear" w:color="auto" w:fill="auto"/>
            <w:vAlign w:val="center"/>
          </w:tcPr>
          <w:p w14:paraId="1B2FCE58" w14:textId="77777777" w:rsidR="00C51F8F" w:rsidRPr="00B83846" w:rsidRDefault="00C51F8F" w:rsidP="00DF510F">
            <w:pPr>
              <w:widowControl/>
              <w:tabs>
                <w:tab w:val="decimal" w:pos="397"/>
              </w:tabs>
              <w:rPr>
                <w:rFonts w:cs="Arial"/>
                <w:sz w:val="18"/>
                <w:szCs w:val="18"/>
              </w:rPr>
            </w:pPr>
            <w:r w:rsidRPr="005056E3">
              <w:rPr>
                <w:rFonts w:cs="Arial"/>
                <w:sz w:val="18"/>
                <w:szCs w:val="18"/>
              </w:rPr>
              <w:t>2</w:t>
            </w:r>
          </w:p>
        </w:tc>
        <w:tc>
          <w:tcPr>
            <w:tcW w:w="752" w:type="dxa"/>
            <w:shd w:val="clear" w:color="auto" w:fill="auto"/>
            <w:vAlign w:val="center"/>
          </w:tcPr>
          <w:p w14:paraId="140BC07E"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21E44FEE"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4EDB331A"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auto"/>
            <w:vAlign w:val="center"/>
          </w:tcPr>
          <w:p w14:paraId="4A445DE3"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0</w:t>
            </w:r>
          </w:p>
        </w:tc>
      </w:tr>
      <w:tr w:rsidR="00C51F8F" w:rsidRPr="00B83846" w14:paraId="51515928" w14:textId="77777777" w:rsidTr="00DF510F">
        <w:trPr>
          <w:cantSplit/>
        </w:trPr>
        <w:tc>
          <w:tcPr>
            <w:tcW w:w="1167" w:type="dxa"/>
            <w:shd w:val="clear" w:color="auto" w:fill="D9D9D9" w:themeFill="background1" w:themeFillShade="D9"/>
            <w:vAlign w:val="center"/>
            <w:hideMark/>
          </w:tcPr>
          <w:p w14:paraId="51151EFC"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8.1.3.2</w:t>
            </w:r>
          </w:p>
        </w:tc>
        <w:tc>
          <w:tcPr>
            <w:tcW w:w="236" w:type="dxa"/>
            <w:tcBorders>
              <w:bottom w:val="single" w:sz="4" w:space="0" w:color="auto"/>
              <w:right w:val="nil"/>
            </w:tcBorders>
            <w:shd w:val="clear" w:color="auto" w:fill="D9D9D9" w:themeFill="background1" w:themeFillShade="D9"/>
            <w:vAlign w:val="center"/>
            <w:hideMark/>
          </w:tcPr>
          <w:p w14:paraId="32529765" w14:textId="77777777" w:rsidR="00C51F8F" w:rsidRPr="00B83846" w:rsidRDefault="00C51F8F" w:rsidP="00DF510F">
            <w:pPr>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D9D9D9" w:themeFill="background1" w:themeFillShade="D9"/>
            <w:vAlign w:val="center"/>
            <w:hideMark/>
          </w:tcPr>
          <w:p w14:paraId="2586BC1C"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Red meat, excluding game</w:t>
            </w:r>
          </w:p>
        </w:tc>
        <w:tc>
          <w:tcPr>
            <w:tcW w:w="752" w:type="dxa"/>
            <w:tcBorders>
              <w:left w:val="single" w:sz="4" w:space="0" w:color="auto"/>
              <w:right w:val="single" w:sz="4" w:space="0" w:color="auto"/>
            </w:tcBorders>
            <w:shd w:val="clear" w:color="auto" w:fill="D9D9D9" w:themeFill="background1" w:themeFillShade="D9"/>
            <w:vAlign w:val="center"/>
          </w:tcPr>
          <w:p w14:paraId="3CEB3D69"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57</w:t>
            </w:r>
          </w:p>
        </w:tc>
        <w:tc>
          <w:tcPr>
            <w:tcW w:w="752" w:type="dxa"/>
            <w:tcBorders>
              <w:left w:val="single" w:sz="4" w:space="0" w:color="auto"/>
              <w:right w:val="single" w:sz="4" w:space="0" w:color="auto"/>
            </w:tcBorders>
            <w:shd w:val="clear" w:color="auto" w:fill="D9D9D9" w:themeFill="background1" w:themeFillShade="D9"/>
            <w:vAlign w:val="center"/>
          </w:tcPr>
          <w:p w14:paraId="279FCAAD"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55</w:t>
            </w:r>
          </w:p>
        </w:tc>
        <w:tc>
          <w:tcPr>
            <w:tcW w:w="752" w:type="dxa"/>
            <w:tcBorders>
              <w:left w:val="single" w:sz="4" w:space="0" w:color="auto"/>
              <w:right w:val="single" w:sz="4" w:space="0" w:color="auto"/>
            </w:tcBorders>
            <w:shd w:val="clear" w:color="auto" w:fill="D9D9D9" w:themeFill="background1" w:themeFillShade="D9"/>
            <w:vAlign w:val="center"/>
          </w:tcPr>
          <w:p w14:paraId="382F070B"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11</w:t>
            </w:r>
          </w:p>
        </w:tc>
        <w:tc>
          <w:tcPr>
            <w:tcW w:w="752" w:type="dxa"/>
            <w:tcBorders>
              <w:left w:val="single" w:sz="4" w:space="0" w:color="auto"/>
            </w:tcBorders>
            <w:shd w:val="clear" w:color="auto" w:fill="D9D9D9" w:themeFill="background1" w:themeFillShade="D9"/>
            <w:vAlign w:val="center"/>
          </w:tcPr>
          <w:p w14:paraId="7F2E13AC"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25</w:t>
            </w:r>
          </w:p>
        </w:tc>
        <w:tc>
          <w:tcPr>
            <w:tcW w:w="752" w:type="dxa"/>
            <w:shd w:val="clear" w:color="auto" w:fill="D9D9D9" w:themeFill="background1" w:themeFillShade="D9"/>
            <w:vAlign w:val="center"/>
          </w:tcPr>
          <w:p w14:paraId="25B5B628" w14:textId="77777777" w:rsidR="00C51F8F" w:rsidRPr="00B83846" w:rsidRDefault="00C51F8F" w:rsidP="00DF510F">
            <w:pPr>
              <w:widowControl/>
              <w:tabs>
                <w:tab w:val="decimal" w:pos="397"/>
              </w:tabs>
              <w:rPr>
                <w:rFonts w:cs="Arial"/>
                <w:sz w:val="18"/>
                <w:szCs w:val="18"/>
              </w:rPr>
            </w:pPr>
            <w:r w:rsidRPr="005056E3">
              <w:rPr>
                <w:rFonts w:cs="Arial"/>
                <w:sz w:val="18"/>
                <w:szCs w:val="18"/>
              </w:rPr>
              <w:t>8</w:t>
            </w:r>
          </w:p>
        </w:tc>
        <w:tc>
          <w:tcPr>
            <w:tcW w:w="752" w:type="dxa"/>
            <w:shd w:val="clear" w:color="auto" w:fill="D9D9D9" w:themeFill="background1" w:themeFillShade="D9"/>
            <w:vAlign w:val="center"/>
          </w:tcPr>
          <w:p w14:paraId="4719DBFF"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5</w:t>
            </w:r>
          </w:p>
        </w:tc>
        <w:tc>
          <w:tcPr>
            <w:tcW w:w="752" w:type="dxa"/>
            <w:shd w:val="clear" w:color="auto" w:fill="D9D9D9" w:themeFill="background1" w:themeFillShade="D9"/>
            <w:vAlign w:val="center"/>
          </w:tcPr>
          <w:p w14:paraId="461999B5"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32</w:t>
            </w:r>
          </w:p>
        </w:tc>
        <w:tc>
          <w:tcPr>
            <w:tcW w:w="752" w:type="dxa"/>
            <w:shd w:val="clear" w:color="auto" w:fill="D9D9D9" w:themeFill="background1" w:themeFillShade="D9"/>
            <w:vAlign w:val="center"/>
          </w:tcPr>
          <w:p w14:paraId="5F2A86F3" w14:textId="77777777" w:rsidR="00C51F8F" w:rsidRPr="00B83846" w:rsidRDefault="00C51F8F" w:rsidP="00DF510F">
            <w:pPr>
              <w:widowControl/>
              <w:tabs>
                <w:tab w:val="decimal" w:pos="397"/>
              </w:tabs>
              <w:rPr>
                <w:rFonts w:cs="Arial"/>
                <w:sz w:val="18"/>
                <w:szCs w:val="18"/>
              </w:rPr>
            </w:pPr>
            <w:r w:rsidRPr="005056E3">
              <w:rPr>
                <w:rFonts w:cs="Arial"/>
                <w:sz w:val="18"/>
                <w:szCs w:val="18"/>
              </w:rPr>
              <w:t>11</w:t>
            </w:r>
          </w:p>
        </w:tc>
        <w:tc>
          <w:tcPr>
            <w:tcW w:w="752" w:type="dxa"/>
            <w:shd w:val="clear" w:color="auto" w:fill="D9D9D9" w:themeFill="background1" w:themeFillShade="D9"/>
            <w:vAlign w:val="center"/>
          </w:tcPr>
          <w:p w14:paraId="7D87FC14"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5</w:t>
            </w:r>
          </w:p>
        </w:tc>
        <w:tc>
          <w:tcPr>
            <w:tcW w:w="752" w:type="dxa"/>
            <w:shd w:val="clear" w:color="auto" w:fill="auto"/>
            <w:vAlign w:val="center"/>
          </w:tcPr>
          <w:p w14:paraId="64DE895E"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4848CFF6"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auto"/>
            <w:vAlign w:val="center"/>
          </w:tcPr>
          <w:p w14:paraId="2C5EF107"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0</w:t>
            </w:r>
          </w:p>
        </w:tc>
      </w:tr>
      <w:tr w:rsidR="00C51F8F" w:rsidRPr="00B83846" w14:paraId="32F3495C" w14:textId="77777777" w:rsidTr="00DF510F">
        <w:trPr>
          <w:cantSplit/>
        </w:trPr>
        <w:tc>
          <w:tcPr>
            <w:tcW w:w="1167" w:type="dxa"/>
            <w:shd w:val="clear" w:color="auto" w:fill="D9D9D9" w:themeFill="background1" w:themeFillShade="D9"/>
            <w:vAlign w:val="center"/>
            <w:hideMark/>
          </w:tcPr>
          <w:p w14:paraId="1B33B53B"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8.2</w:t>
            </w:r>
          </w:p>
        </w:tc>
        <w:tc>
          <w:tcPr>
            <w:tcW w:w="236" w:type="dxa"/>
            <w:tcBorders>
              <w:right w:val="nil"/>
            </w:tcBorders>
            <w:shd w:val="clear" w:color="auto" w:fill="D9D9D9" w:themeFill="background1" w:themeFillShade="D9"/>
            <w:vAlign w:val="center"/>
          </w:tcPr>
          <w:p w14:paraId="29BC6516" w14:textId="77777777" w:rsidR="00C51F8F" w:rsidRPr="00B83846" w:rsidRDefault="00C51F8F" w:rsidP="00DF510F">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3B7ECFDD"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Processed meat/ poultry/ game products in whole/ cut pieces (e.g. ham, bacon, smoked chicken)</w:t>
            </w:r>
          </w:p>
        </w:tc>
        <w:tc>
          <w:tcPr>
            <w:tcW w:w="752" w:type="dxa"/>
            <w:shd w:val="clear" w:color="auto" w:fill="D9D9D9" w:themeFill="background1" w:themeFillShade="D9"/>
            <w:vAlign w:val="center"/>
          </w:tcPr>
          <w:p w14:paraId="0AF92715"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5</w:t>
            </w:r>
          </w:p>
        </w:tc>
        <w:tc>
          <w:tcPr>
            <w:tcW w:w="752" w:type="dxa"/>
            <w:shd w:val="clear" w:color="auto" w:fill="D9D9D9" w:themeFill="background1" w:themeFillShade="D9"/>
            <w:vAlign w:val="center"/>
          </w:tcPr>
          <w:p w14:paraId="135D0349"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5</w:t>
            </w:r>
          </w:p>
        </w:tc>
        <w:tc>
          <w:tcPr>
            <w:tcW w:w="752" w:type="dxa"/>
            <w:shd w:val="clear" w:color="auto" w:fill="auto"/>
            <w:vAlign w:val="center"/>
          </w:tcPr>
          <w:p w14:paraId="7253B2E6"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10032847"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2</w:t>
            </w:r>
          </w:p>
        </w:tc>
        <w:tc>
          <w:tcPr>
            <w:tcW w:w="752" w:type="dxa"/>
            <w:vAlign w:val="center"/>
          </w:tcPr>
          <w:p w14:paraId="642CF60C" w14:textId="77777777" w:rsidR="00C51F8F" w:rsidRPr="00B83846" w:rsidRDefault="00C51F8F" w:rsidP="00DF510F">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2BE8046D"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7EFE89CF"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1</w:t>
            </w:r>
          </w:p>
        </w:tc>
        <w:tc>
          <w:tcPr>
            <w:tcW w:w="752" w:type="dxa"/>
            <w:vAlign w:val="center"/>
          </w:tcPr>
          <w:p w14:paraId="05F9BD98" w14:textId="77777777" w:rsidR="00C51F8F" w:rsidRPr="00B83846" w:rsidRDefault="00C51F8F" w:rsidP="00DF510F">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58EB1934"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4E32C771"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0D1A14F1"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auto"/>
            <w:vAlign w:val="center"/>
          </w:tcPr>
          <w:p w14:paraId="3CA221B1"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0</w:t>
            </w:r>
          </w:p>
        </w:tc>
      </w:tr>
      <w:tr w:rsidR="00E907D7" w:rsidRPr="007B7018" w14:paraId="7F8AFA9C" w14:textId="77777777" w:rsidTr="00E907D7">
        <w:trPr>
          <w:cantSplit/>
        </w:trPr>
        <w:tc>
          <w:tcPr>
            <w:tcW w:w="1167" w:type="dxa"/>
            <w:shd w:val="clear" w:color="auto" w:fill="auto"/>
            <w:vAlign w:val="center"/>
            <w:hideMark/>
          </w:tcPr>
          <w:p w14:paraId="647794E2"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9</w:t>
            </w:r>
          </w:p>
        </w:tc>
        <w:tc>
          <w:tcPr>
            <w:tcW w:w="3951" w:type="dxa"/>
            <w:gridSpan w:val="3"/>
            <w:tcBorders>
              <w:bottom w:val="single" w:sz="4" w:space="0" w:color="auto"/>
            </w:tcBorders>
            <w:shd w:val="clear" w:color="auto" w:fill="auto"/>
            <w:vAlign w:val="center"/>
          </w:tcPr>
          <w:p w14:paraId="5A9792B8"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All Fish &amp; fish products</w:t>
            </w:r>
          </w:p>
        </w:tc>
        <w:tc>
          <w:tcPr>
            <w:tcW w:w="752" w:type="dxa"/>
            <w:shd w:val="clear" w:color="auto" w:fill="auto"/>
            <w:vAlign w:val="center"/>
          </w:tcPr>
          <w:p w14:paraId="03E476E9"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2</w:t>
            </w:r>
          </w:p>
        </w:tc>
        <w:tc>
          <w:tcPr>
            <w:tcW w:w="752" w:type="dxa"/>
            <w:vAlign w:val="center"/>
          </w:tcPr>
          <w:p w14:paraId="6EB288DB"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1</w:t>
            </w:r>
          </w:p>
        </w:tc>
        <w:tc>
          <w:tcPr>
            <w:tcW w:w="752" w:type="dxa"/>
            <w:shd w:val="clear" w:color="auto" w:fill="auto"/>
            <w:vAlign w:val="center"/>
          </w:tcPr>
          <w:p w14:paraId="52392CF3"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auto"/>
            <w:vAlign w:val="center"/>
          </w:tcPr>
          <w:p w14:paraId="767E35A0"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62DC22AD"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322B21E3"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auto"/>
            <w:vAlign w:val="center"/>
          </w:tcPr>
          <w:p w14:paraId="3BBFCF8A"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4889C550"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68636248"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auto"/>
            <w:vAlign w:val="center"/>
          </w:tcPr>
          <w:p w14:paraId="47BE444A"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0</w:t>
            </w:r>
          </w:p>
        </w:tc>
        <w:tc>
          <w:tcPr>
            <w:tcW w:w="752" w:type="dxa"/>
            <w:vAlign w:val="center"/>
          </w:tcPr>
          <w:p w14:paraId="694EA671"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0</w:t>
            </w:r>
          </w:p>
        </w:tc>
        <w:tc>
          <w:tcPr>
            <w:tcW w:w="753" w:type="dxa"/>
            <w:shd w:val="clear" w:color="auto" w:fill="auto"/>
            <w:vAlign w:val="center"/>
          </w:tcPr>
          <w:p w14:paraId="09543BE8"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0</w:t>
            </w:r>
          </w:p>
        </w:tc>
      </w:tr>
      <w:tr w:rsidR="00E907D7" w:rsidRPr="007B7018" w14:paraId="40BC6712" w14:textId="77777777" w:rsidTr="00E907D7">
        <w:trPr>
          <w:cantSplit/>
        </w:trPr>
        <w:tc>
          <w:tcPr>
            <w:tcW w:w="1167" w:type="dxa"/>
            <w:shd w:val="clear" w:color="auto" w:fill="auto"/>
            <w:vAlign w:val="center"/>
            <w:hideMark/>
          </w:tcPr>
          <w:p w14:paraId="6BEB7B5F"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10</w:t>
            </w:r>
          </w:p>
        </w:tc>
        <w:tc>
          <w:tcPr>
            <w:tcW w:w="3951" w:type="dxa"/>
            <w:gridSpan w:val="3"/>
            <w:tcBorders>
              <w:bottom w:val="single" w:sz="4" w:space="0" w:color="auto"/>
            </w:tcBorders>
            <w:shd w:val="clear" w:color="auto" w:fill="auto"/>
            <w:vAlign w:val="center"/>
          </w:tcPr>
          <w:p w14:paraId="43E8E917"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All Egg &amp; egg products</w:t>
            </w:r>
          </w:p>
        </w:tc>
        <w:tc>
          <w:tcPr>
            <w:tcW w:w="752" w:type="dxa"/>
            <w:shd w:val="clear" w:color="auto" w:fill="auto"/>
            <w:vAlign w:val="center"/>
          </w:tcPr>
          <w:p w14:paraId="594301AD" w14:textId="77777777" w:rsidR="00E907D7" w:rsidRPr="007B7018" w:rsidRDefault="00E907D7" w:rsidP="00E907D7">
            <w:pPr>
              <w:widowControl/>
              <w:tabs>
                <w:tab w:val="decimal" w:pos="397"/>
              </w:tabs>
              <w:rPr>
                <w:rFonts w:cs="Arial"/>
                <w:bCs/>
                <w:color w:val="000000"/>
                <w:sz w:val="18"/>
                <w:szCs w:val="18"/>
                <w:highlight w:val="magenta"/>
                <w:lang w:eastAsia="en-GB" w:bidi="ar-SA"/>
              </w:rPr>
            </w:pPr>
            <w:r w:rsidRPr="007B7018">
              <w:rPr>
                <w:rFonts w:cs="Arial"/>
                <w:bCs/>
                <w:color w:val="000000"/>
                <w:sz w:val="18"/>
                <w:szCs w:val="18"/>
              </w:rPr>
              <w:t>&lt;1</w:t>
            </w:r>
          </w:p>
        </w:tc>
        <w:tc>
          <w:tcPr>
            <w:tcW w:w="752" w:type="dxa"/>
            <w:vAlign w:val="center"/>
          </w:tcPr>
          <w:p w14:paraId="7AA44062"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0A46D715" w14:textId="77777777" w:rsidR="00E907D7" w:rsidRPr="007B7018" w:rsidRDefault="00E907D7" w:rsidP="00E907D7">
            <w:pPr>
              <w:widowControl/>
              <w:tabs>
                <w:tab w:val="decimal" w:pos="397"/>
              </w:tabs>
              <w:rPr>
                <w:rFonts w:cs="Arial"/>
                <w:bCs/>
                <w:color w:val="000000"/>
                <w:sz w:val="18"/>
                <w:szCs w:val="18"/>
                <w:highlight w:val="magenta"/>
                <w:lang w:eastAsia="en-GB" w:bidi="ar-SA"/>
              </w:rPr>
            </w:pPr>
            <w:r w:rsidRPr="007B7018">
              <w:rPr>
                <w:rFonts w:cs="Arial"/>
                <w:bCs/>
                <w:color w:val="000000"/>
                <w:sz w:val="18"/>
                <w:szCs w:val="18"/>
              </w:rPr>
              <w:t>&lt;1</w:t>
            </w:r>
          </w:p>
        </w:tc>
        <w:tc>
          <w:tcPr>
            <w:tcW w:w="752" w:type="dxa"/>
            <w:shd w:val="clear" w:color="auto" w:fill="auto"/>
            <w:vAlign w:val="center"/>
          </w:tcPr>
          <w:p w14:paraId="5AB5EE42" w14:textId="77777777" w:rsidR="00E907D7" w:rsidRPr="007B7018" w:rsidRDefault="00E907D7" w:rsidP="00E907D7">
            <w:pPr>
              <w:widowControl/>
              <w:tabs>
                <w:tab w:val="decimal" w:pos="397"/>
              </w:tabs>
              <w:rPr>
                <w:rFonts w:cs="Arial"/>
                <w:bCs/>
                <w:color w:val="000000"/>
                <w:sz w:val="18"/>
                <w:szCs w:val="18"/>
                <w:highlight w:val="magenta"/>
                <w:lang w:eastAsia="en-GB" w:bidi="ar-SA"/>
              </w:rPr>
            </w:pPr>
            <w:r w:rsidRPr="007B7018">
              <w:rPr>
                <w:rFonts w:cs="Arial"/>
                <w:bCs/>
                <w:color w:val="000000"/>
                <w:sz w:val="18"/>
                <w:szCs w:val="18"/>
              </w:rPr>
              <w:t>&lt;1</w:t>
            </w:r>
          </w:p>
        </w:tc>
        <w:tc>
          <w:tcPr>
            <w:tcW w:w="752" w:type="dxa"/>
            <w:vAlign w:val="center"/>
          </w:tcPr>
          <w:p w14:paraId="10824B92"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7199E199" w14:textId="77777777" w:rsidR="00E907D7" w:rsidRPr="007B7018" w:rsidRDefault="00E907D7" w:rsidP="00E907D7">
            <w:pPr>
              <w:widowControl/>
              <w:tabs>
                <w:tab w:val="decimal" w:pos="397"/>
              </w:tabs>
              <w:rPr>
                <w:rFonts w:cs="Arial"/>
                <w:bCs/>
                <w:color w:val="000000"/>
                <w:sz w:val="18"/>
                <w:szCs w:val="18"/>
                <w:highlight w:val="magenta"/>
                <w:lang w:eastAsia="en-GB" w:bidi="ar-SA"/>
              </w:rPr>
            </w:pPr>
            <w:r w:rsidRPr="007B7018">
              <w:rPr>
                <w:rFonts w:cs="Arial"/>
                <w:bCs/>
                <w:color w:val="000000"/>
                <w:sz w:val="18"/>
                <w:szCs w:val="18"/>
              </w:rPr>
              <w:t>&lt;1</w:t>
            </w:r>
          </w:p>
        </w:tc>
        <w:tc>
          <w:tcPr>
            <w:tcW w:w="752" w:type="dxa"/>
            <w:shd w:val="clear" w:color="auto" w:fill="auto"/>
            <w:vAlign w:val="center"/>
          </w:tcPr>
          <w:p w14:paraId="3770A850" w14:textId="77777777" w:rsidR="00E907D7" w:rsidRPr="007B7018" w:rsidRDefault="00E907D7" w:rsidP="00E907D7">
            <w:pPr>
              <w:widowControl/>
              <w:tabs>
                <w:tab w:val="decimal" w:pos="397"/>
              </w:tabs>
              <w:rPr>
                <w:rFonts w:cs="Arial"/>
                <w:bCs/>
                <w:color w:val="000000"/>
                <w:sz w:val="18"/>
                <w:szCs w:val="18"/>
                <w:highlight w:val="magenta"/>
                <w:lang w:eastAsia="en-GB" w:bidi="ar-SA"/>
              </w:rPr>
            </w:pPr>
            <w:r w:rsidRPr="007B7018">
              <w:rPr>
                <w:rFonts w:cs="Arial"/>
                <w:bCs/>
                <w:color w:val="000000"/>
                <w:sz w:val="18"/>
                <w:szCs w:val="18"/>
              </w:rPr>
              <w:t>&lt;1</w:t>
            </w:r>
          </w:p>
        </w:tc>
        <w:tc>
          <w:tcPr>
            <w:tcW w:w="752" w:type="dxa"/>
            <w:vAlign w:val="center"/>
          </w:tcPr>
          <w:p w14:paraId="77F5D71B"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2D4A230B" w14:textId="77777777" w:rsidR="00E907D7" w:rsidRPr="007B7018" w:rsidRDefault="00E907D7" w:rsidP="00E907D7">
            <w:pPr>
              <w:widowControl/>
              <w:tabs>
                <w:tab w:val="decimal" w:pos="397"/>
              </w:tabs>
              <w:rPr>
                <w:rFonts w:cs="Arial"/>
                <w:bCs/>
                <w:color w:val="000000"/>
                <w:sz w:val="18"/>
                <w:szCs w:val="18"/>
                <w:highlight w:val="magenta"/>
                <w:lang w:eastAsia="en-GB" w:bidi="ar-SA"/>
              </w:rPr>
            </w:pPr>
            <w:r w:rsidRPr="007B7018">
              <w:rPr>
                <w:rFonts w:cs="Arial"/>
                <w:bCs/>
                <w:color w:val="000000"/>
                <w:sz w:val="18"/>
                <w:szCs w:val="18"/>
              </w:rPr>
              <w:t>&lt;1</w:t>
            </w:r>
          </w:p>
        </w:tc>
        <w:tc>
          <w:tcPr>
            <w:tcW w:w="752" w:type="dxa"/>
            <w:shd w:val="clear" w:color="auto" w:fill="auto"/>
            <w:vAlign w:val="center"/>
          </w:tcPr>
          <w:p w14:paraId="102F16C5" w14:textId="77777777" w:rsidR="00E907D7" w:rsidRPr="007B7018" w:rsidRDefault="00E907D7" w:rsidP="00E907D7">
            <w:pPr>
              <w:widowControl/>
              <w:tabs>
                <w:tab w:val="decimal" w:pos="397"/>
              </w:tabs>
              <w:rPr>
                <w:rFonts w:cs="Arial"/>
                <w:bCs/>
                <w:color w:val="000000"/>
                <w:sz w:val="18"/>
                <w:szCs w:val="18"/>
                <w:highlight w:val="magenta"/>
                <w:lang w:eastAsia="en-GB" w:bidi="ar-SA"/>
              </w:rPr>
            </w:pPr>
            <w:r w:rsidRPr="007B7018">
              <w:rPr>
                <w:rFonts w:cs="Arial"/>
                <w:bCs/>
                <w:color w:val="000000"/>
                <w:sz w:val="18"/>
                <w:szCs w:val="18"/>
              </w:rPr>
              <w:t>&lt;1</w:t>
            </w:r>
          </w:p>
        </w:tc>
        <w:tc>
          <w:tcPr>
            <w:tcW w:w="752" w:type="dxa"/>
            <w:vAlign w:val="center"/>
          </w:tcPr>
          <w:p w14:paraId="798938C3"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3" w:type="dxa"/>
            <w:shd w:val="clear" w:color="auto" w:fill="auto"/>
            <w:vAlign w:val="center"/>
          </w:tcPr>
          <w:p w14:paraId="20538FB2" w14:textId="77777777" w:rsidR="00E907D7" w:rsidRPr="007B7018" w:rsidRDefault="00E907D7" w:rsidP="00E907D7">
            <w:pPr>
              <w:widowControl/>
              <w:tabs>
                <w:tab w:val="decimal" w:pos="397"/>
              </w:tabs>
              <w:rPr>
                <w:rFonts w:cs="Arial"/>
                <w:bCs/>
                <w:color w:val="000000"/>
                <w:sz w:val="18"/>
                <w:szCs w:val="18"/>
                <w:highlight w:val="magenta"/>
                <w:lang w:eastAsia="en-GB" w:bidi="ar-SA"/>
              </w:rPr>
            </w:pPr>
            <w:r w:rsidRPr="007B7018">
              <w:rPr>
                <w:rFonts w:cs="Arial"/>
                <w:bCs/>
                <w:color w:val="000000"/>
                <w:sz w:val="18"/>
                <w:szCs w:val="18"/>
              </w:rPr>
              <w:t>&lt;1</w:t>
            </w:r>
          </w:p>
        </w:tc>
      </w:tr>
      <w:tr w:rsidR="00E907D7" w:rsidRPr="007B7018" w14:paraId="08F5857E" w14:textId="77777777" w:rsidTr="00E907D7">
        <w:trPr>
          <w:cantSplit/>
        </w:trPr>
        <w:tc>
          <w:tcPr>
            <w:tcW w:w="1167" w:type="dxa"/>
            <w:shd w:val="clear" w:color="auto" w:fill="auto"/>
            <w:vAlign w:val="center"/>
            <w:hideMark/>
          </w:tcPr>
          <w:p w14:paraId="444F39AC"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12</w:t>
            </w:r>
          </w:p>
        </w:tc>
        <w:tc>
          <w:tcPr>
            <w:tcW w:w="3951" w:type="dxa"/>
            <w:gridSpan w:val="3"/>
            <w:tcBorders>
              <w:bottom w:val="single" w:sz="4" w:space="0" w:color="auto"/>
            </w:tcBorders>
            <w:shd w:val="clear" w:color="auto" w:fill="auto"/>
            <w:vAlign w:val="center"/>
          </w:tcPr>
          <w:p w14:paraId="2E644C69" w14:textId="77777777" w:rsidR="00E907D7" w:rsidRPr="007B7018" w:rsidRDefault="00E907D7" w:rsidP="00E907D7">
            <w:pPr>
              <w:widowControl/>
              <w:rPr>
                <w:rFonts w:cs="Arial"/>
                <w:bCs/>
                <w:color w:val="000000"/>
                <w:sz w:val="18"/>
                <w:szCs w:val="18"/>
                <w:lang w:eastAsia="en-GB" w:bidi="ar-SA"/>
              </w:rPr>
            </w:pPr>
            <w:r w:rsidRPr="007B7018">
              <w:rPr>
                <w:rFonts w:cs="Arial"/>
                <w:bCs/>
                <w:color w:val="000000"/>
                <w:sz w:val="18"/>
                <w:szCs w:val="18"/>
                <w:lang w:eastAsia="en-GB" w:bidi="ar-SA"/>
              </w:rPr>
              <w:t>All Salts &amp; condiments</w:t>
            </w:r>
          </w:p>
        </w:tc>
        <w:tc>
          <w:tcPr>
            <w:tcW w:w="752" w:type="dxa"/>
            <w:shd w:val="clear" w:color="auto" w:fill="auto"/>
            <w:vAlign w:val="center"/>
          </w:tcPr>
          <w:p w14:paraId="58D41236"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5ACB990D"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4FBB7617"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auto"/>
            <w:vAlign w:val="center"/>
          </w:tcPr>
          <w:p w14:paraId="65AE3F8C"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68C8CCFA"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7A6C7AF8"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auto"/>
            <w:vAlign w:val="center"/>
          </w:tcPr>
          <w:p w14:paraId="2EB6685E"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26CEA3C2"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auto"/>
            <w:vAlign w:val="center"/>
          </w:tcPr>
          <w:p w14:paraId="606D1980"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shd w:val="clear" w:color="auto" w:fill="auto"/>
            <w:vAlign w:val="center"/>
          </w:tcPr>
          <w:p w14:paraId="54781D0A"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1EFEE4CC" w14:textId="77777777" w:rsidR="00E907D7" w:rsidRPr="007B7018" w:rsidRDefault="00E907D7" w:rsidP="00E907D7">
            <w:pPr>
              <w:widowControl/>
              <w:tabs>
                <w:tab w:val="decimal" w:pos="397"/>
              </w:tabs>
              <w:rPr>
                <w:rFonts w:cs="Arial"/>
                <w:bCs/>
                <w:color w:val="000000"/>
                <w:sz w:val="18"/>
                <w:szCs w:val="18"/>
              </w:rPr>
            </w:pPr>
            <w:r w:rsidRPr="007B7018">
              <w:rPr>
                <w:rFonts w:cs="Arial"/>
                <w:bCs/>
                <w:color w:val="000000"/>
                <w:sz w:val="18"/>
                <w:szCs w:val="18"/>
              </w:rPr>
              <w:t>&lt;1</w:t>
            </w:r>
          </w:p>
        </w:tc>
        <w:tc>
          <w:tcPr>
            <w:tcW w:w="753" w:type="dxa"/>
            <w:shd w:val="clear" w:color="auto" w:fill="auto"/>
            <w:vAlign w:val="center"/>
          </w:tcPr>
          <w:p w14:paraId="339C299F" w14:textId="77777777" w:rsidR="00E907D7" w:rsidRPr="007B7018" w:rsidRDefault="00E907D7" w:rsidP="00E907D7">
            <w:pPr>
              <w:widowControl/>
              <w:tabs>
                <w:tab w:val="decimal" w:pos="397"/>
              </w:tabs>
              <w:rPr>
                <w:rFonts w:cs="Arial"/>
                <w:bCs/>
                <w:color w:val="000000"/>
                <w:sz w:val="18"/>
                <w:szCs w:val="18"/>
                <w:lang w:eastAsia="en-GB" w:bidi="ar-SA"/>
              </w:rPr>
            </w:pPr>
            <w:r w:rsidRPr="007B7018">
              <w:rPr>
                <w:rFonts w:cs="Arial"/>
                <w:bCs/>
                <w:color w:val="000000"/>
                <w:sz w:val="18"/>
                <w:szCs w:val="18"/>
              </w:rPr>
              <w:t>&lt;1</w:t>
            </w:r>
          </w:p>
        </w:tc>
      </w:tr>
      <w:tr w:rsidR="00E907D7" w:rsidRPr="007B7018" w14:paraId="6BC55700" w14:textId="77777777" w:rsidTr="00E907D7">
        <w:trPr>
          <w:cantSplit/>
        </w:trPr>
        <w:tc>
          <w:tcPr>
            <w:tcW w:w="1167" w:type="dxa"/>
            <w:shd w:val="clear" w:color="auto" w:fill="D9D9D9" w:themeFill="background1" w:themeFillShade="D9"/>
            <w:vAlign w:val="center"/>
            <w:hideMark/>
          </w:tcPr>
          <w:p w14:paraId="5E40A444" w14:textId="77777777" w:rsidR="00E907D7" w:rsidRPr="007B7018" w:rsidRDefault="00E907D7" w:rsidP="00221A11">
            <w:pPr>
              <w:keepNext/>
              <w:keepLines/>
              <w:widowControl/>
              <w:rPr>
                <w:rFonts w:cs="Arial"/>
                <w:bCs/>
                <w:color w:val="000000"/>
                <w:sz w:val="18"/>
                <w:szCs w:val="18"/>
                <w:lang w:eastAsia="en-GB" w:bidi="ar-SA"/>
              </w:rPr>
            </w:pPr>
            <w:r w:rsidRPr="007B7018">
              <w:rPr>
                <w:rFonts w:cs="Arial"/>
                <w:bCs/>
                <w:color w:val="000000"/>
                <w:sz w:val="18"/>
                <w:szCs w:val="18"/>
                <w:lang w:eastAsia="en-GB" w:bidi="ar-SA"/>
              </w:rPr>
              <w:t>13</w:t>
            </w:r>
          </w:p>
        </w:tc>
        <w:tc>
          <w:tcPr>
            <w:tcW w:w="3951" w:type="dxa"/>
            <w:gridSpan w:val="3"/>
            <w:tcBorders>
              <w:bottom w:val="single" w:sz="4" w:space="0" w:color="auto"/>
            </w:tcBorders>
            <w:shd w:val="clear" w:color="auto" w:fill="D9D9D9" w:themeFill="background1" w:themeFillShade="D9"/>
            <w:vAlign w:val="center"/>
          </w:tcPr>
          <w:p w14:paraId="70EAAFFF" w14:textId="77777777" w:rsidR="00E907D7" w:rsidRPr="007B7018" w:rsidRDefault="00E907D7" w:rsidP="00221A11">
            <w:pPr>
              <w:keepNext/>
              <w:keepLines/>
              <w:widowControl/>
              <w:rPr>
                <w:rFonts w:cs="Arial"/>
                <w:bCs/>
                <w:color w:val="000000"/>
                <w:sz w:val="18"/>
                <w:szCs w:val="18"/>
                <w:lang w:eastAsia="en-GB" w:bidi="ar-SA"/>
              </w:rPr>
            </w:pPr>
            <w:r w:rsidRPr="007B7018">
              <w:rPr>
                <w:rFonts w:cs="Arial"/>
                <w:bCs/>
                <w:color w:val="000000"/>
                <w:sz w:val="18"/>
                <w:szCs w:val="18"/>
                <w:lang w:eastAsia="en-GB" w:bidi="ar-SA"/>
              </w:rPr>
              <w:t>All Foods intended for particular dietary uses</w:t>
            </w:r>
          </w:p>
        </w:tc>
        <w:tc>
          <w:tcPr>
            <w:tcW w:w="752" w:type="dxa"/>
            <w:shd w:val="clear" w:color="auto" w:fill="auto"/>
            <w:vAlign w:val="center"/>
          </w:tcPr>
          <w:p w14:paraId="766ECE08" w14:textId="77777777" w:rsidR="00E907D7" w:rsidRPr="007B7018" w:rsidRDefault="00E907D7" w:rsidP="00221A11">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2</w:t>
            </w:r>
          </w:p>
        </w:tc>
        <w:tc>
          <w:tcPr>
            <w:tcW w:w="752" w:type="dxa"/>
            <w:shd w:val="clear" w:color="auto" w:fill="D9D9D9" w:themeFill="background1" w:themeFillShade="D9"/>
            <w:vAlign w:val="center"/>
          </w:tcPr>
          <w:p w14:paraId="13E3079D" w14:textId="77777777" w:rsidR="00E907D7" w:rsidRPr="007B7018" w:rsidRDefault="00E907D7" w:rsidP="00221A11">
            <w:pPr>
              <w:keepNext/>
              <w:keepLines/>
              <w:widowControl/>
              <w:tabs>
                <w:tab w:val="decimal" w:pos="397"/>
              </w:tabs>
              <w:rPr>
                <w:rFonts w:cs="Arial"/>
                <w:bCs/>
                <w:color w:val="000000"/>
                <w:sz w:val="18"/>
                <w:szCs w:val="18"/>
              </w:rPr>
            </w:pPr>
            <w:r w:rsidRPr="007B7018">
              <w:rPr>
                <w:rFonts w:cs="Arial"/>
                <w:bCs/>
                <w:color w:val="000000"/>
                <w:sz w:val="18"/>
                <w:szCs w:val="18"/>
              </w:rPr>
              <w:t>5</w:t>
            </w:r>
          </w:p>
        </w:tc>
        <w:tc>
          <w:tcPr>
            <w:tcW w:w="752" w:type="dxa"/>
            <w:shd w:val="clear" w:color="auto" w:fill="auto"/>
            <w:vAlign w:val="center"/>
          </w:tcPr>
          <w:p w14:paraId="07A7CB82" w14:textId="77777777" w:rsidR="00E907D7" w:rsidRPr="007B7018" w:rsidRDefault="00E907D7" w:rsidP="00221A11">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4</w:t>
            </w:r>
          </w:p>
        </w:tc>
        <w:tc>
          <w:tcPr>
            <w:tcW w:w="752" w:type="dxa"/>
            <w:shd w:val="clear" w:color="auto" w:fill="D9D9D9" w:themeFill="background1" w:themeFillShade="D9"/>
            <w:vAlign w:val="center"/>
          </w:tcPr>
          <w:p w14:paraId="4B36F9EA" w14:textId="77777777" w:rsidR="00E907D7" w:rsidRPr="007B7018" w:rsidRDefault="00E907D7" w:rsidP="00221A11">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57</w:t>
            </w:r>
          </w:p>
        </w:tc>
        <w:tc>
          <w:tcPr>
            <w:tcW w:w="752" w:type="dxa"/>
            <w:shd w:val="clear" w:color="auto" w:fill="D9D9D9" w:themeFill="background1" w:themeFillShade="D9"/>
            <w:vAlign w:val="center"/>
          </w:tcPr>
          <w:p w14:paraId="171E6EFC" w14:textId="77777777" w:rsidR="00E907D7" w:rsidRPr="007B7018" w:rsidRDefault="00E907D7" w:rsidP="00221A11">
            <w:pPr>
              <w:keepNext/>
              <w:keepLines/>
              <w:widowControl/>
              <w:tabs>
                <w:tab w:val="decimal" w:pos="397"/>
              </w:tabs>
              <w:rPr>
                <w:rFonts w:cs="Arial"/>
                <w:bCs/>
                <w:color w:val="000000"/>
                <w:sz w:val="18"/>
                <w:szCs w:val="18"/>
              </w:rPr>
            </w:pPr>
            <w:r w:rsidRPr="007B7018">
              <w:rPr>
                <w:rFonts w:cs="Arial"/>
                <w:bCs/>
                <w:color w:val="000000"/>
                <w:sz w:val="18"/>
                <w:szCs w:val="18"/>
              </w:rPr>
              <w:t>87</w:t>
            </w:r>
          </w:p>
        </w:tc>
        <w:tc>
          <w:tcPr>
            <w:tcW w:w="752" w:type="dxa"/>
            <w:shd w:val="clear" w:color="auto" w:fill="D9D9D9" w:themeFill="background1" w:themeFillShade="D9"/>
            <w:vAlign w:val="center"/>
          </w:tcPr>
          <w:p w14:paraId="05947F62" w14:textId="77777777" w:rsidR="00E907D7" w:rsidRPr="007B7018" w:rsidRDefault="00E907D7" w:rsidP="00221A11">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53</w:t>
            </w:r>
          </w:p>
        </w:tc>
        <w:tc>
          <w:tcPr>
            <w:tcW w:w="752" w:type="dxa"/>
            <w:shd w:val="clear" w:color="auto" w:fill="D9D9D9" w:themeFill="background1" w:themeFillShade="D9"/>
            <w:vAlign w:val="center"/>
          </w:tcPr>
          <w:p w14:paraId="2CE7912B" w14:textId="77777777" w:rsidR="00E907D7" w:rsidRPr="007B7018" w:rsidRDefault="00E907D7" w:rsidP="00221A11">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49</w:t>
            </w:r>
          </w:p>
        </w:tc>
        <w:tc>
          <w:tcPr>
            <w:tcW w:w="752" w:type="dxa"/>
            <w:shd w:val="clear" w:color="auto" w:fill="D9D9D9" w:themeFill="background1" w:themeFillShade="D9"/>
            <w:vAlign w:val="center"/>
          </w:tcPr>
          <w:p w14:paraId="4AB8EBCC" w14:textId="77777777" w:rsidR="00E907D7" w:rsidRPr="007B7018" w:rsidRDefault="00E907D7" w:rsidP="00221A11">
            <w:pPr>
              <w:keepNext/>
              <w:keepLines/>
              <w:widowControl/>
              <w:tabs>
                <w:tab w:val="decimal" w:pos="397"/>
              </w:tabs>
              <w:rPr>
                <w:rFonts w:cs="Arial"/>
                <w:bCs/>
                <w:color w:val="000000"/>
                <w:sz w:val="18"/>
                <w:szCs w:val="18"/>
              </w:rPr>
            </w:pPr>
            <w:r w:rsidRPr="007B7018">
              <w:rPr>
                <w:rFonts w:cs="Arial"/>
                <w:bCs/>
                <w:color w:val="000000"/>
                <w:sz w:val="18"/>
                <w:szCs w:val="18"/>
              </w:rPr>
              <w:t>81</w:t>
            </w:r>
          </w:p>
        </w:tc>
        <w:tc>
          <w:tcPr>
            <w:tcW w:w="752" w:type="dxa"/>
            <w:shd w:val="clear" w:color="auto" w:fill="D9D9D9" w:themeFill="background1" w:themeFillShade="D9"/>
            <w:vAlign w:val="center"/>
          </w:tcPr>
          <w:p w14:paraId="333ACE65" w14:textId="77777777" w:rsidR="00E907D7" w:rsidRPr="007B7018" w:rsidRDefault="00E907D7" w:rsidP="00221A11">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53</w:t>
            </w:r>
          </w:p>
        </w:tc>
        <w:tc>
          <w:tcPr>
            <w:tcW w:w="752" w:type="dxa"/>
            <w:shd w:val="clear" w:color="auto" w:fill="D9D9D9" w:themeFill="background1" w:themeFillShade="D9"/>
            <w:vAlign w:val="center"/>
          </w:tcPr>
          <w:p w14:paraId="720CD7FF" w14:textId="77777777" w:rsidR="00E907D7" w:rsidRPr="007B7018" w:rsidRDefault="00E907D7" w:rsidP="00221A11">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21</w:t>
            </w:r>
          </w:p>
        </w:tc>
        <w:tc>
          <w:tcPr>
            <w:tcW w:w="752" w:type="dxa"/>
            <w:shd w:val="clear" w:color="auto" w:fill="D9D9D9" w:themeFill="background1" w:themeFillShade="D9"/>
            <w:vAlign w:val="center"/>
          </w:tcPr>
          <w:p w14:paraId="71C753A2" w14:textId="77777777" w:rsidR="00E907D7" w:rsidRPr="007B7018" w:rsidRDefault="00E907D7" w:rsidP="00221A11">
            <w:pPr>
              <w:keepNext/>
              <w:keepLines/>
              <w:widowControl/>
              <w:tabs>
                <w:tab w:val="decimal" w:pos="397"/>
              </w:tabs>
              <w:rPr>
                <w:rFonts w:cs="Arial"/>
                <w:bCs/>
                <w:color w:val="000000"/>
                <w:sz w:val="18"/>
                <w:szCs w:val="18"/>
              </w:rPr>
            </w:pPr>
            <w:r w:rsidRPr="007B7018">
              <w:rPr>
                <w:rFonts w:cs="Arial"/>
                <w:bCs/>
                <w:color w:val="000000"/>
                <w:sz w:val="18"/>
                <w:szCs w:val="18"/>
              </w:rPr>
              <w:t>49</w:t>
            </w:r>
          </w:p>
        </w:tc>
        <w:tc>
          <w:tcPr>
            <w:tcW w:w="753" w:type="dxa"/>
            <w:shd w:val="clear" w:color="auto" w:fill="D9D9D9" w:themeFill="background1" w:themeFillShade="D9"/>
            <w:vAlign w:val="center"/>
          </w:tcPr>
          <w:p w14:paraId="06E073C1" w14:textId="77777777" w:rsidR="00E907D7" w:rsidRPr="007B7018" w:rsidRDefault="00E907D7" w:rsidP="00221A11">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10</w:t>
            </w:r>
          </w:p>
        </w:tc>
      </w:tr>
      <w:tr w:rsidR="00E907D7" w:rsidRPr="007B7018" w14:paraId="28E0462C" w14:textId="77777777" w:rsidTr="00E907D7">
        <w:trPr>
          <w:cantSplit/>
        </w:trPr>
        <w:tc>
          <w:tcPr>
            <w:tcW w:w="1167" w:type="dxa"/>
            <w:tcBorders>
              <w:bottom w:val="single" w:sz="4" w:space="0" w:color="auto"/>
            </w:tcBorders>
            <w:shd w:val="clear" w:color="auto" w:fill="auto"/>
            <w:vAlign w:val="center"/>
            <w:hideMark/>
          </w:tcPr>
          <w:p w14:paraId="560CE374" w14:textId="77777777" w:rsidR="00E907D7" w:rsidRPr="007B7018" w:rsidRDefault="00E907D7" w:rsidP="00221A11">
            <w:pPr>
              <w:keepNext/>
              <w:keepLines/>
              <w:widowControl/>
              <w:rPr>
                <w:rFonts w:cs="Arial"/>
                <w:color w:val="000000"/>
                <w:sz w:val="18"/>
                <w:szCs w:val="18"/>
                <w:lang w:eastAsia="en-GB" w:bidi="ar-SA"/>
              </w:rPr>
            </w:pPr>
            <w:r w:rsidRPr="007B7018">
              <w:rPr>
                <w:rFonts w:cs="Arial"/>
                <w:color w:val="000000"/>
                <w:sz w:val="18"/>
                <w:szCs w:val="18"/>
              </w:rPr>
              <w:t>13.3.1</w:t>
            </w:r>
          </w:p>
        </w:tc>
        <w:tc>
          <w:tcPr>
            <w:tcW w:w="236" w:type="dxa"/>
            <w:tcBorders>
              <w:bottom w:val="single" w:sz="4" w:space="0" w:color="auto"/>
              <w:right w:val="nil"/>
            </w:tcBorders>
            <w:shd w:val="clear" w:color="auto" w:fill="auto"/>
            <w:vAlign w:val="center"/>
          </w:tcPr>
          <w:p w14:paraId="477ECEEE" w14:textId="77777777" w:rsidR="00E907D7" w:rsidRPr="007B7018" w:rsidRDefault="00E907D7" w:rsidP="00221A11">
            <w:pPr>
              <w:keepNext/>
              <w:keepLines/>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auto"/>
            <w:vAlign w:val="center"/>
            <w:hideMark/>
          </w:tcPr>
          <w:p w14:paraId="66D5489D" w14:textId="77777777" w:rsidR="00E907D7" w:rsidRPr="007B7018" w:rsidRDefault="00E907D7" w:rsidP="00221A11">
            <w:pPr>
              <w:keepNext/>
              <w:keepLines/>
              <w:widowControl/>
              <w:rPr>
                <w:rFonts w:cs="Arial"/>
                <w:color w:val="000000" w:themeColor="text1"/>
                <w:sz w:val="18"/>
                <w:szCs w:val="18"/>
                <w:lang w:eastAsia="en-GB" w:bidi="ar-SA"/>
              </w:rPr>
            </w:pPr>
            <w:r w:rsidRPr="007B7018">
              <w:rPr>
                <w:rFonts w:cs="Arial"/>
                <w:color w:val="000000"/>
                <w:sz w:val="18"/>
                <w:szCs w:val="18"/>
              </w:rPr>
              <w:t>Solid formula meal replacement &amp; formulated supplementary foods</w:t>
            </w:r>
          </w:p>
        </w:tc>
        <w:tc>
          <w:tcPr>
            <w:tcW w:w="752" w:type="dxa"/>
            <w:shd w:val="clear" w:color="auto" w:fill="auto"/>
            <w:vAlign w:val="center"/>
          </w:tcPr>
          <w:p w14:paraId="1F4FAC2B" w14:textId="77777777" w:rsidR="00E907D7" w:rsidRPr="007B7018" w:rsidRDefault="00E907D7" w:rsidP="00221A11">
            <w:pPr>
              <w:keepNext/>
              <w:keepLines/>
              <w:widowControl/>
              <w:tabs>
                <w:tab w:val="decimal" w:pos="397"/>
              </w:tabs>
              <w:rPr>
                <w:rFonts w:cs="Arial"/>
                <w:color w:val="000000"/>
                <w:sz w:val="18"/>
                <w:szCs w:val="18"/>
                <w:lang w:eastAsia="en-GB" w:bidi="ar-SA"/>
              </w:rPr>
            </w:pPr>
            <w:r w:rsidRPr="007B7018">
              <w:rPr>
                <w:rFonts w:cs="Arial"/>
                <w:color w:val="000000"/>
                <w:sz w:val="18"/>
                <w:szCs w:val="18"/>
              </w:rPr>
              <w:t>&lt;1</w:t>
            </w:r>
          </w:p>
        </w:tc>
        <w:tc>
          <w:tcPr>
            <w:tcW w:w="752" w:type="dxa"/>
            <w:vAlign w:val="center"/>
          </w:tcPr>
          <w:p w14:paraId="4E8CAE22" w14:textId="77777777" w:rsidR="00E907D7" w:rsidRPr="007B7018" w:rsidRDefault="00E907D7" w:rsidP="00221A11">
            <w:pPr>
              <w:keepNext/>
              <w:keepLines/>
              <w:widowControl/>
              <w:tabs>
                <w:tab w:val="decimal" w:pos="397"/>
              </w:tabs>
              <w:rPr>
                <w:rFonts w:cs="Arial"/>
                <w:color w:val="000000"/>
                <w:sz w:val="18"/>
                <w:szCs w:val="18"/>
              </w:rPr>
            </w:pPr>
            <w:r w:rsidRPr="007B7018">
              <w:rPr>
                <w:rFonts w:cs="Arial"/>
                <w:color w:val="000000"/>
                <w:sz w:val="18"/>
                <w:szCs w:val="18"/>
              </w:rPr>
              <w:t>&lt;1</w:t>
            </w:r>
          </w:p>
        </w:tc>
        <w:tc>
          <w:tcPr>
            <w:tcW w:w="752" w:type="dxa"/>
            <w:shd w:val="clear" w:color="auto" w:fill="auto"/>
            <w:vAlign w:val="center"/>
          </w:tcPr>
          <w:p w14:paraId="06013741" w14:textId="77777777" w:rsidR="00E907D7" w:rsidRPr="007B7018" w:rsidRDefault="00E907D7" w:rsidP="00221A11">
            <w:pPr>
              <w:keepNext/>
              <w:keepLines/>
              <w:widowControl/>
              <w:tabs>
                <w:tab w:val="decimal" w:pos="397"/>
              </w:tabs>
              <w:rPr>
                <w:rFonts w:cs="Arial"/>
                <w:color w:val="000000"/>
                <w:sz w:val="18"/>
                <w:szCs w:val="18"/>
                <w:lang w:eastAsia="en-GB" w:bidi="ar-SA"/>
              </w:rPr>
            </w:pPr>
            <w:r w:rsidRPr="007B7018">
              <w:rPr>
                <w:rFonts w:cs="Arial"/>
                <w:color w:val="000000"/>
                <w:sz w:val="18"/>
                <w:szCs w:val="18"/>
              </w:rPr>
              <w:t>&lt;1</w:t>
            </w:r>
          </w:p>
        </w:tc>
        <w:tc>
          <w:tcPr>
            <w:tcW w:w="752" w:type="dxa"/>
            <w:shd w:val="clear" w:color="auto" w:fill="auto"/>
            <w:vAlign w:val="center"/>
          </w:tcPr>
          <w:p w14:paraId="77B1777A" w14:textId="77777777" w:rsidR="00E907D7" w:rsidRPr="007B7018" w:rsidRDefault="00E907D7" w:rsidP="00221A11">
            <w:pPr>
              <w:keepNext/>
              <w:keepLines/>
              <w:widowControl/>
              <w:tabs>
                <w:tab w:val="decimal" w:pos="397"/>
              </w:tabs>
              <w:rPr>
                <w:rFonts w:cs="Arial"/>
                <w:sz w:val="18"/>
                <w:szCs w:val="18"/>
                <w:lang w:eastAsia="en-GB" w:bidi="ar-SA"/>
              </w:rPr>
            </w:pPr>
            <w:r w:rsidRPr="007B7018">
              <w:rPr>
                <w:rFonts w:cs="Arial"/>
                <w:sz w:val="18"/>
                <w:szCs w:val="18"/>
              </w:rPr>
              <w:t>&lt;1</w:t>
            </w:r>
          </w:p>
        </w:tc>
        <w:tc>
          <w:tcPr>
            <w:tcW w:w="752" w:type="dxa"/>
            <w:vAlign w:val="center"/>
          </w:tcPr>
          <w:p w14:paraId="6E416C5E" w14:textId="77777777" w:rsidR="00E907D7" w:rsidRPr="007B7018" w:rsidRDefault="00E907D7" w:rsidP="00221A11">
            <w:pPr>
              <w:keepNext/>
              <w:keepLines/>
              <w:widowControl/>
              <w:tabs>
                <w:tab w:val="decimal" w:pos="397"/>
              </w:tabs>
              <w:rPr>
                <w:rFonts w:cs="Arial"/>
                <w:sz w:val="18"/>
                <w:szCs w:val="18"/>
              </w:rPr>
            </w:pPr>
            <w:r w:rsidRPr="007B7018">
              <w:rPr>
                <w:rFonts w:cs="Arial"/>
                <w:sz w:val="18"/>
                <w:szCs w:val="18"/>
              </w:rPr>
              <w:t>&lt;1</w:t>
            </w:r>
          </w:p>
        </w:tc>
        <w:tc>
          <w:tcPr>
            <w:tcW w:w="752" w:type="dxa"/>
            <w:shd w:val="clear" w:color="auto" w:fill="auto"/>
            <w:vAlign w:val="center"/>
          </w:tcPr>
          <w:p w14:paraId="5EE74576" w14:textId="77777777" w:rsidR="00E907D7" w:rsidRPr="007B7018" w:rsidRDefault="00E907D7" w:rsidP="00221A11">
            <w:pPr>
              <w:keepNext/>
              <w:keepLines/>
              <w:widowControl/>
              <w:tabs>
                <w:tab w:val="decimal" w:pos="397"/>
              </w:tabs>
              <w:rPr>
                <w:rFonts w:cs="Arial"/>
                <w:sz w:val="18"/>
                <w:szCs w:val="18"/>
                <w:lang w:eastAsia="en-GB" w:bidi="ar-SA"/>
              </w:rPr>
            </w:pPr>
            <w:r w:rsidRPr="007B7018">
              <w:rPr>
                <w:rFonts w:cs="Arial"/>
                <w:sz w:val="18"/>
                <w:szCs w:val="18"/>
              </w:rPr>
              <w:t>&lt;1</w:t>
            </w:r>
          </w:p>
        </w:tc>
        <w:tc>
          <w:tcPr>
            <w:tcW w:w="752" w:type="dxa"/>
            <w:tcBorders>
              <w:bottom w:val="single" w:sz="4" w:space="0" w:color="auto"/>
            </w:tcBorders>
            <w:shd w:val="clear" w:color="auto" w:fill="auto"/>
            <w:vAlign w:val="center"/>
          </w:tcPr>
          <w:p w14:paraId="6960AEAF" w14:textId="77777777" w:rsidR="00E907D7" w:rsidRPr="007B7018" w:rsidRDefault="00E907D7" w:rsidP="00221A11">
            <w:pPr>
              <w:keepNext/>
              <w:keepLines/>
              <w:widowControl/>
              <w:tabs>
                <w:tab w:val="decimal" w:pos="397"/>
              </w:tabs>
              <w:rPr>
                <w:rFonts w:cs="Arial"/>
                <w:sz w:val="18"/>
                <w:szCs w:val="18"/>
                <w:lang w:eastAsia="en-GB" w:bidi="ar-SA"/>
              </w:rPr>
            </w:pPr>
            <w:r w:rsidRPr="007B7018">
              <w:rPr>
                <w:rFonts w:cs="Arial"/>
                <w:sz w:val="18"/>
                <w:szCs w:val="18"/>
              </w:rPr>
              <w:t>&lt;1</w:t>
            </w:r>
          </w:p>
        </w:tc>
        <w:tc>
          <w:tcPr>
            <w:tcW w:w="752" w:type="dxa"/>
            <w:tcBorders>
              <w:bottom w:val="single" w:sz="4" w:space="0" w:color="auto"/>
            </w:tcBorders>
            <w:shd w:val="clear" w:color="auto" w:fill="auto"/>
            <w:vAlign w:val="center"/>
          </w:tcPr>
          <w:p w14:paraId="3D1A6237" w14:textId="77777777" w:rsidR="00E907D7" w:rsidRPr="007B7018" w:rsidRDefault="00E907D7" w:rsidP="00221A11">
            <w:pPr>
              <w:keepNext/>
              <w:keepLines/>
              <w:widowControl/>
              <w:tabs>
                <w:tab w:val="decimal" w:pos="397"/>
              </w:tabs>
              <w:rPr>
                <w:rFonts w:cs="Arial"/>
                <w:sz w:val="18"/>
                <w:szCs w:val="18"/>
              </w:rPr>
            </w:pPr>
            <w:r w:rsidRPr="007B7018">
              <w:rPr>
                <w:rFonts w:cs="Arial"/>
                <w:sz w:val="18"/>
                <w:szCs w:val="18"/>
              </w:rPr>
              <w:t>&lt;1</w:t>
            </w:r>
          </w:p>
        </w:tc>
        <w:tc>
          <w:tcPr>
            <w:tcW w:w="752" w:type="dxa"/>
            <w:tcBorders>
              <w:bottom w:val="single" w:sz="4" w:space="0" w:color="auto"/>
            </w:tcBorders>
            <w:shd w:val="clear" w:color="auto" w:fill="auto"/>
            <w:vAlign w:val="center"/>
          </w:tcPr>
          <w:p w14:paraId="3836AE60" w14:textId="77777777" w:rsidR="00E907D7" w:rsidRPr="007B7018" w:rsidRDefault="00E907D7" w:rsidP="00221A11">
            <w:pPr>
              <w:keepNext/>
              <w:keepLines/>
              <w:widowControl/>
              <w:tabs>
                <w:tab w:val="decimal" w:pos="397"/>
              </w:tabs>
              <w:rPr>
                <w:rFonts w:cs="Arial"/>
                <w:sz w:val="18"/>
                <w:szCs w:val="18"/>
                <w:lang w:eastAsia="en-GB" w:bidi="ar-SA"/>
              </w:rPr>
            </w:pPr>
            <w:r w:rsidRPr="007B7018">
              <w:rPr>
                <w:rFonts w:cs="Arial"/>
                <w:sz w:val="18"/>
                <w:szCs w:val="18"/>
              </w:rPr>
              <w:t>4</w:t>
            </w:r>
          </w:p>
        </w:tc>
        <w:tc>
          <w:tcPr>
            <w:tcW w:w="752" w:type="dxa"/>
            <w:shd w:val="clear" w:color="auto" w:fill="auto"/>
            <w:vAlign w:val="center"/>
          </w:tcPr>
          <w:p w14:paraId="24CC5CE9" w14:textId="77777777" w:rsidR="00E907D7" w:rsidRPr="007B7018" w:rsidRDefault="00E907D7" w:rsidP="00221A11">
            <w:pPr>
              <w:keepNext/>
              <w:keepLines/>
              <w:widowControl/>
              <w:tabs>
                <w:tab w:val="decimal" w:pos="397"/>
              </w:tabs>
              <w:rPr>
                <w:rFonts w:cs="Arial"/>
                <w:color w:val="000000"/>
                <w:sz w:val="18"/>
                <w:szCs w:val="18"/>
                <w:lang w:eastAsia="en-GB" w:bidi="ar-SA"/>
              </w:rPr>
            </w:pPr>
            <w:r w:rsidRPr="007B7018">
              <w:rPr>
                <w:rFonts w:cs="Arial"/>
                <w:color w:val="000000"/>
                <w:sz w:val="18"/>
                <w:szCs w:val="18"/>
              </w:rPr>
              <w:t>3</w:t>
            </w:r>
          </w:p>
        </w:tc>
        <w:tc>
          <w:tcPr>
            <w:tcW w:w="752" w:type="dxa"/>
            <w:vAlign w:val="center"/>
          </w:tcPr>
          <w:p w14:paraId="4F152DC9" w14:textId="77777777" w:rsidR="00E907D7" w:rsidRPr="007B7018" w:rsidRDefault="00E907D7" w:rsidP="00221A11">
            <w:pPr>
              <w:keepNext/>
              <w:keepLines/>
              <w:widowControl/>
              <w:tabs>
                <w:tab w:val="decimal" w:pos="397"/>
              </w:tabs>
              <w:rPr>
                <w:rFonts w:cs="Arial"/>
                <w:color w:val="000000"/>
                <w:sz w:val="18"/>
                <w:szCs w:val="18"/>
              </w:rPr>
            </w:pPr>
            <w:r w:rsidRPr="007B7018">
              <w:rPr>
                <w:rFonts w:cs="Arial"/>
                <w:color w:val="000000"/>
                <w:sz w:val="18"/>
                <w:szCs w:val="18"/>
              </w:rPr>
              <w:t>2</w:t>
            </w:r>
          </w:p>
        </w:tc>
        <w:tc>
          <w:tcPr>
            <w:tcW w:w="753" w:type="dxa"/>
            <w:tcBorders>
              <w:bottom w:val="single" w:sz="4" w:space="0" w:color="auto"/>
            </w:tcBorders>
            <w:shd w:val="clear" w:color="auto" w:fill="auto"/>
            <w:vAlign w:val="center"/>
          </w:tcPr>
          <w:p w14:paraId="7A8A5B5F" w14:textId="77777777" w:rsidR="00E907D7" w:rsidRPr="007B7018" w:rsidRDefault="00E907D7" w:rsidP="00221A11">
            <w:pPr>
              <w:keepNext/>
              <w:keepLines/>
              <w:widowControl/>
              <w:tabs>
                <w:tab w:val="decimal" w:pos="397"/>
              </w:tabs>
              <w:rPr>
                <w:rFonts w:cs="Arial"/>
                <w:color w:val="000000"/>
                <w:sz w:val="18"/>
                <w:szCs w:val="18"/>
                <w:lang w:eastAsia="en-GB" w:bidi="ar-SA"/>
              </w:rPr>
            </w:pPr>
            <w:r w:rsidRPr="007B7018">
              <w:rPr>
                <w:rFonts w:cs="Arial"/>
                <w:color w:val="000000"/>
                <w:sz w:val="18"/>
                <w:szCs w:val="18"/>
              </w:rPr>
              <w:t>3</w:t>
            </w:r>
          </w:p>
        </w:tc>
      </w:tr>
      <w:tr w:rsidR="00E907D7" w:rsidRPr="007B7018" w14:paraId="05682078" w14:textId="77777777" w:rsidTr="00E907D7">
        <w:trPr>
          <w:cantSplit/>
        </w:trPr>
        <w:tc>
          <w:tcPr>
            <w:tcW w:w="1167" w:type="dxa"/>
            <w:tcBorders>
              <w:bottom w:val="single" w:sz="4" w:space="0" w:color="auto"/>
            </w:tcBorders>
            <w:shd w:val="clear" w:color="auto" w:fill="D9D9D9" w:themeFill="background1" w:themeFillShade="D9"/>
            <w:vAlign w:val="center"/>
            <w:hideMark/>
          </w:tcPr>
          <w:p w14:paraId="3EF0C6CC" w14:textId="77777777" w:rsidR="00E907D7" w:rsidRPr="007B7018" w:rsidRDefault="00E907D7" w:rsidP="00221A11">
            <w:pPr>
              <w:keepNext/>
              <w:keepLines/>
              <w:widowControl/>
              <w:rPr>
                <w:rFonts w:cs="Arial"/>
                <w:color w:val="000000"/>
                <w:sz w:val="18"/>
                <w:szCs w:val="18"/>
                <w:lang w:eastAsia="en-GB" w:bidi="ar-SA"/>
              </w:rPr>
            </w:pPr>
            <w:r w:rsidRPr="007B7018">
              <w:rPr>
                <w:rFonts w:cs="Arial"/>
                <w:color w:val="000000"/>
                <w:sz w:val="18"/>
                <w:szCs w:val="18"/>
              </w:rPr>
              <w:t>13.3.2</w:t>
            </w:r>
          </w:p>
        </w:tc>
        <w:tc>
          <w:tcPr>
            <w:tcW w:w="236" w:type="dxa"/>
            <w:tcBorders>
              <w:bottom w:val="single" w:sz="4" w:space="0" w:color="auto"/>
              <w:right w:val="nil"/>
            </w:tcBorders>
            <w:shd w:val="clear" w:color="auto" w:fill="D9D9D9" w:themeFill="background1" w:themeFillShade="D9"/>
            <w:vAlign w:val="center"/>
          </w:tcPr>
          <w:p w14:paraId="36075E85" w14:textId="77777777" w:rsidR="00E907D7" w:rsidRPr="007B7018" w:rsidRDefault="00E907D7" w:rsidP="00221A11">
            <w:pPr>
              <w:keepNext/>
              <w:keepLines/>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D9D9D9" w:themeFill="background1" w:themeFillShade="D9"/>
            <w:vAlign w:val="center"/>
            <w:hideMark/>
          </w:tcPr>
          <w:p w14:paraId="53C1E90F" w14:textId="77777777" w:rsidR="00E907D7" w:rsidRPr="007B7018" w:rsidRDefault="00E907D7" w:rsidP="00221A11">
            <w:pPr>
              <w:keepNext/>
              <w:keepLines/>
              <w:widowControl/>
              <w:rPr>
                <w:rFonts w:cs="Arial"/>
                <w:color w:val="000000" w:themeColor="text1"/>
                <w:sz w:val="18"/>
                <w:szCs w:val="18"/>
                <w:lang w:eastAsia="en-GB" w:bidi="ar-SA"/>
              </w:rPr>
            </w:pPr>
            <w:r w:rsidRPr="007B7018">
              <w:rPr>
                <w:rFonts w:cs="Arial"/>
                <w:color w:val="000000"/>
                <w:sz w:val="18"/>
                <w:szCs w:val="18"/>
              </w:rPr>
              <w:t>Liquid formula meal replacement &amp; formulated supplementary foods</w:t>
            </w:r>
          </w:p>
        </w:tc>
        <w:tc>
          <w:tcPr>
            <w:tcW w:w="752" w:type="dxa"/>
            <w:shd w:val="clear" w:color="auto" w:fill="auto"/>
            <w:vAlign w:val="center"/>
          </w:tcPr>
          <w:p w14:paraId="5116CEFF" w14:textId="77777777" w:rsidR="00E907D7" w:rsidRPr="007B7018" w:rsidRDefault="00E907D7" w:rsidP="00221A11">
            <w:pPr>
              <w:keepNext/>
              <w:keepLines/>
              <w:widowControl/>
              <w:tabs>
                <w:tab w:val="decimal" w:pos="397"/>
              </w:tabs>
              <w:rPr>
                <w:rFonts w:cs="Arial"/>
                <w:color w:val="000000"/>
                <w:sz w:val="18"/>
                <w:szCs w:val="18"/>
                <w:lang w:eastAsia="en-GB" w:bidi="ar-SA"/>
              </w:rPr>
            </w:pPr>
            <w:r w:rsidRPr="007B7018">
              <w:rPr>
                <w:rFonts w:cs="Arial"/>
                <w:color w:val="000000"/>
                <w:sz w:val="18"/>
                <w:szCs w:val="18"/>
              </w:rPr>
              <w:t>&lt;1</w:t>
            </w:r>
          </w:p>
        </w:tc>
        <w:tc>
          <w:tcPr>
            <w:tcW w:w="752" w:type="dxa"/>
            <w:vAlign w:val="center"/>
          </w:tcPr>
          <w:p w14:paraId="730FF1B6" w14:textId="77777777" w:rsidR="00E907D7" w:rsidRPr="007B7018" w:rsidRDefault="00E907D7" w:rsidP="00221A11">
            <w:pPr>
              <w:keepNext/>
              <w:keepLines/>
              <w:widowControl/>
              <w:tabs>
                <w:tab w:val="decimal" w:pos="397"/>
              </w:tabs>
              <w:rPr>
                <w:rFonts w:cs="Arial"/>
                <w:color w:val="000000"/>
                <w:sz w:val="18"/>
                <w:szCs w:val="18"/>
              </w:rPr>
            </w:pPr>
            <w:r w:rsidRPr="007B7018">
              <w:rPr>
                <w:rFonts w:cs="Arial"/>
                <w:color w:val="000000"/>
                <w:sz w:val="18"/>
                <w:szCs w:val="18"/>
              </w:rPr>
              <w:t>&lt;1</w:t>
            </w:r>
          </w:p>
        </w:tc>
        <w:tc>
          <w:tcPr>
            <w:tcW w:w="752" w:type="dxa"/>
            <w:shd w:val="clear" w:color="auto" w:fill="auto"/>
            <w:vAlign w:val="center"/>
          </w:tcPr>
          <w:p w14:paraId="45B8D498" w14:textId="77777777" w:rsidR="00E907D7" w:rsidRPr="007B7018" w:rsidRDefault="00E907D7" w:rsidP="00221A11">
            <w:pPr>
              <w:keepNext/>
              <w:keepLines/>
              <w:widowControl/>
              <w:tabs>
                <w:tab w:val="decimal" w:pos="397"/>
              </w:tabs>
              <w:rPr>
                <w:rFonts w:cs="Arial"/>
                <w:color w:val="000000"/>
                <w:sz w:val="18"/>
                <w:szCs w:val="18"/>
                <w:lang w:eastAsia="en-GB" w:bidi="ar-SA"/>
              </w:rPr>
            </w:pPr>
            <w:r w:rsidRPr="007B7018">
              <w:rPr>
                <w:rFonts w:cs="Arial"/>
                <w:color w:val="000000"/>
                <w:sz w:val="18"/>
                <w:szCs w:val="18"/>
              </w:rPr>
              <w:t>3</w:t>
            </w:r>
          </w:p>
        </w:tc>
        <w:tc>
          <w:tcPr>
            <w:tcW w:w="752" w:type="dxa"/>
            <w:tcBorders>
              <w:bottom w:val="single" w:sz="4" w:space="0" w:color="auto"/>
            </w:tcBorders>
            <w:shd w:val="clear" w:color="auto" w:fill="auto"/>
            <w:vAlign w:val="center"/>
          </w:tcPr>
          <w:p w14:paraId="5EC0A043" w14:textId="77777777" w:rsidR="00E907D7" w:rsidRPr="007B7018" w:rsidRDefault="00E907D7" w:rsidP="00221A11">
            <w:pPr>
              <w:keepNext/>
              <w:keepLines/>
              <w:widowControl/>
              <w:tabs>
                <w:tab w:val="decimal" w:pos="397"/>
              </w:tabs>
              <w:rPr>
                <w:rFonts w:cs="Arial"/>
                <w:sz w:val="18"/>
                <w:szCs w:val="18"/>
                <w:lang w:eastAsia="en-GB" w:bidi="ar-SA"/>
              </w:rPr>
            </w:pPr>
            <w:r w:rsidRPr="007B7018">
              <w:rPr>
                <w:rFonts w:cs="Arial"/>
                <w:sz w:val="18"/>
                <w:szCs w:val="18"/>
              </w:rPr>
              <w:t>&lt;1</w:t>
            </w:r>
          </w:p>
        </w:tc>
        <w:tc>
          <w:tcPr>
            <w:tcW w:w="752" w:type="dxa"/>
            <w:tcBorders>
              <w:bottom w:val="single" w:sz="4" w:space="0" w:color="auto"/>
            </w:tcBorders>
            <w:vAlign w:val="center"/>
          </w:tcPr>
          <w:p w14:paraId="1ED10A66" w14:textId="77777777" w:rsidR="00E907D7" w:rsidRPr="007B7018" w:rsidRDefault="00E907D7" w:rsidP="00221A11">
            <w:pPr>
              <w:keepNext/>
              <w:keepLines/>
              <w:widowControl/>
              <w:tabs>
                <w:tab w:val="decimal" w:pos="397"/>
              </w:tabs>
              <w:rPr>
                <w:rFonts w:cs="Arial"/>
                <w:sz w:val="18"/>
                <w:szCs w:val="18"/>
              </w:rPr>
            </w:pPr>
            <w:r w:rsidRPr="007B7018">
              <w:rPr>
                <w:rFonts w:cs="Arial"/>
                <w:sz w:val="18"/>
                <w:szCs w:val="18"/>
              </w:rPr>
              <w:t>&lt;1</w:t>
            </w:r>
          </w:p>
        </w:tc>
        <w:tc>
          <w:tcPr>
            <w:tcW w:w="752" w:type="dxa"/>
            <w:tcBorders>
              <w:bottom w:val="single" w:sz="4" w:space="0" w:color="auto"/>
            </w:tcBorders>
            <w:shd w:val="clear" w:color="auto" w:fill="auto"/>
            <w:vAlign w:val="center"/>
          </w:tcPr>
          <w:p w14:paraId="5488BFA6" w14:textId="77777777" w:rsidR="00E907D7" w:rsidRPr="007B7018" w:rsidRDefault="00E907D7" w:rsidP="00221A11">
            <w:pPr>
              <w:keepNext/>
              <w:keepLines/>
              <w:widowControl/>
              <w:tabs>
                <w:tab w:val="decimal" w:pos="397"/>
              </w:tabs>
              <w:rPr>
                <w:rFonts w:cs="Arial"/>
                <w:sz w:val="18"/>
                <w:szCs w:val="18"/>
                <w:lang w:eastAsia="en-GB" w:bidi="ar-SA"/>
              </w:rPr>
            </w:pPr>
            <w:r w:rsidRPr="007B7018">
              <w:rPr>
                <w:rFonts w:cs="Arial"/>
                <w:sz w:val="18"/>
                <w:szCs w:val="18"/>
              </w:rPr>
              <w:t>1</w:t>
            </w:r>
          </w:p>
        </w:tc>
        <w:tc>
          <w:tcPr>
            <w:tcW w:w="752" w:type="dxa"/>
            <w:tcBorders>
              <w:bottom w:val="single" w:sz="4" w:space="0" w:color="auto"/>
            </w:tcBorders>
            <w:shd w:val="clear" w:color="auto" w:fill="auto"/>
            <w:vAlign w:val="center"/>
          </w:tcPr>
          <w:p w14:paraId="1D2D1FEB" w14:textId="77777777" w:rsidR="00E907D7" w:rsidRPr="007B7018" w:rsidRDefault="00E907D7" w:rsidP="00221A11">
            <w:pPr>
              <w:keepNext/>
              <w:keepLines/>
              <w:widowControl/>
              <w:tabs>
                <w:tab w:val="decimal" w:pos="397"/>
              </w:tabs>
              <w:rPr>
                <w:rFonts w:cs="Arial"/>
                <w:sz w:val="18"/>
                <w:szCs w:val="18"/>
                <w:lang w:eastAsia="en-GB" w:bidi="ar-SA"/>
              </w:rPr>
            </w:pPr>
            <w:r w:rsidRPr="007B7018">
              <w:rPr>
                <w:rFonts w:cs="Arial"/>
                <w:sz w:val="18"/>
                <w:szCs w:val="18"/>
              </w:rPr>
              <w:t>3</w:t>
            </w:r>
          </w:p>
        </w:tc>
        <w:tc>
          <w:tcPr>
            <w:tcW w:w="752" w:type="dxa"/>
            <w:tcBorders>
              <w:bottom w:val="single" w:sz="4" w:space="0" w:color="auto"/>
            </w:tcBorders>
            <w:shd w:val="clear" w:color="auto" w:fill="auto"/>
            <w:vAlign w:val="center"/>
          </w:tcPr>
          <w:p w14:paraId="672E4153" w14:textId="77777777" w:rsidR="00E907D7" w:rsidRPr="007B7018" w:rsidRDefault="00E907D7" w:rsidP="00221A11">
            <w:pPr>
              <w:keepNext/>
              <w:keepLines/>
              <w:widowControl/>
              <w:tabs>
                <w:tab w:val="decimal" w:pos="397"/>
              </w:tabs>
              <w:rPr>
                <w:rFonts w:cs="Arial"/>
                <w:sz w:val="18"/>
                <w:szCs w:val="18"/>
              </w:rPr>
            </w:pPr>
            <w:r w:rsidRPr="007B7018">
              <w:rPr>
                <w:rFonts w:cs="Arial"/>
                <w:sz w:val="18"/>
                <w:szCs w:val="18"/>
              </w:rPr>
              <w:t>1</w:t>
            </w:r>
          </w:p>
        </w:tc>
        <w:tc>
          <w:tcPr>
            <w:tcW w:w="752" w:type="dxa"/>
            <w:tcBorders>
              <w:bottom w:val="single" w:sz="4" w:space="0" w:color="auto"/>
            </w:tcBorders>
            <w:shd w:val="clear" w:color="auto" w:fill="D9D9D9" w:themeFill="background1" w:themeFillShade="D9"/>
            <w:vAlign w:val="center"/>
          </w:tcPr>
          <w:p w14:paraId="748D0DE0" w14:textId="77777777" w:rsidR="00E907D7" w:rsidRPr="007B7018" w:rsidRDefault="00E907D7" w:rsidP="00221A11">
            <w:pPr>
              <w:keepNext/>
              <w:keepLines/>
              <w:widowControl/>
              <w:tabs>
                <w:tab w:val="decimal" w:pos="397"/>
              </w:tabs>
              <w:rPr>
                <w:rFonts w:cs="Arial"/>
                <w:sz w:val="18"/>
                <w:szCs w:val="18"/>
                <w:lang w:eastAsia="en-GB" w:bidi="ar-SA"/>
              </w:rPr>
            </w:pPr>
            <w:r w:rsidRPr="007B7018">
              <w:rPr>
                <w:rFonts w:cs="Arial"/>
                <w:sz w:val="18"/>
                <w:szCs w:val="18"/>
              </w:rPr>
              <w:t>13</w:t>
            </w:r>
          </w:p>
        </w:tc>
        <w:tc>
          <w:tcPr>
            <w:tcW w:w="752" w:type="dxa"/>
            <w:shd w:val="clear" w:color="auto" w:fill="auto"/>
            <w:vAlign w:val="center"/>
          </w:tcPr>
          <w:p w14:paraId="625A4CD3" w14:textId="77777777" w:rsidR="00E907D7" w:rsidRPr="007B7018" w:rsidRDefault="00E907D7" w:rsidP="00221A11">
            <w:pPr>
              <w:keepNext/>
              <w:keepLines/>
              <w:widowControl/>
              <w:tabs>
                <w:tab w:val="decimal" w:pos="397"/>
              </w:tabs>
              <w:rPr>
                <w:rFonts w:cs="Arial"/>
                <w:color w:val="000000"/>
                <w:sz w:val="18"/>
                <w:szCs w:val="18"/>
                <w:lang w:eastAsia="en-GB" w:bidi="ar-SA"/>
              </w:rPr>
            </w:pPr>
            <w:r w:rsidRPr="007B7018">
              <w:rPr>
                <w:rFonts w:cs="Arial"/>
                <w:color w:val="000000"/>
                <w:sz w:val="18"/>
                <w:szCs w:val="18"/>
              </w:rPr>
              <w:t>4</w:t>
            </w:r>
          </w:p>
        </w:tc>
        <w:tc>
          <w:tcPr>
            <w:tcW w:w="752" w:type="dxa"/>
            <w:vAlign w:val="center"/>
          </w:tcPr>
          <w:p w14:paraId="3D421DA2" w14:textId="77777777" w:rsidR="00E907D7" w:rsidRPr="007B7018" w:rsidRDefault="00E907D7" w:rsidP="00221A11">
            <w:pPr>
              <w:keepNext/>
              <w:keepLines/>
              <w:widowControl/>
              <w:tabs>
                <w:tab w:val="decimal" w:pos="397"/>
              </w:tabs>
              <w:rPr>
                <w:rFonts w:cs="Arial"/>
                <w:color w:val="000000"/>
                <w:sz w:val="18"/>
                <w:szCs w:val="18"/>
              </w:rPr>
            </w:pPr>
            <w:r w:rsidRPr="007B7018">
              <w:rPr>
                <w:rFonts w:cs="Arial"/>
                <w:color w:val="000000"/>
                <w:sz w:val="18"/>
                <w:szCs w:val="18"/>
              </w:rPr>
              <w:t>2</w:t>
            </w:r>
          </w:p>
        </w:tc>
        <w:tc>
          <w:tcPr>
            <w:tcW w:w="753" w:type="dxa"/>
            <w:shd w:val="clear" w:color="auto" w:fill="auto"/>
            <w:vAlign w:val="center"/>
          </w:tcPr>
          <w:p w14:paraId="2C77A7AB" w14:textId="77777777" w:rsidR="00E907D7" w:rsidRPr="007B7018" w:rsidRDefault="00E907D7" w:rsidP="00221A11">
            <w:pPr>
              <w:keepNext/>
              <w:keepLines/>
              <w:widowControl/>
              <w:tabs>
                <w:tab w:val="decimal" w:pos="397"/>
              </w:tabs>
              <w:rPr>
                <w:rFonts w:cs="Arial"/>
                <w:color w:val="000000"/>
                <w:sz w:val="18"/>
                <w:szCs w:val="18"/>
                <w:lang w:eastAsia="en-GB" w:bidi="ar-SA"/>
              </w:rPr>
            </w:pPr>
            <w:r w:rsidRPr="007B7018">
              <w:rPr>
                <w:rFonts w:cs="Arial"/>
                <w:color w:val="000000"/>
                <w:sz w:val="18"/>
                <w:szCs w:val="18"/>
              </w:rPr>
              <w:t>4</w:t>
            </w:r>
          </w:p>
        </w:tc>
      </w:tr>
      <w:tr w:rsidR="00E907D7" w:rsidRPr="007B7018" w14:paraId="7F22E007" w14:textId="77777777" w:rsidTr="00E907D7">
        <w:trPr>
          <w:cantSplit/>
        </w:trPr>
        <w:tc>
          <w:tcPr>
            <w:tcW w:w="1167" w:type="dxa"/>
            <w:tcBorders>
              <w:bottom w:val="single" w:sz="4" w:space="0" w:color="auto"/>
            </w:tcBorders>
            <w:shd w:val="clear" w:color="auto" w:fill="D9D9D9" w:themeFill="background1" w:themeFillShade="D9"/>
            <w:vAlign w:val="center"/>
            <w:hideMark/>
          </w:tcPr>
          <w:p w14:paraId="06B24ACD" w14:textId="77777777" w:rsidR="00E907D7" w:rsidRPr="007B7018" w:rsidRDefault="00E907D7" w:rsidP="00221A11">
            <w:pPr>
              <w:keepNext/>
              <w:keepLines/>
              <w:widowControl/>
              <w:rPr>
                <w:rFonts w:cs="Arial"/>
                <w:color w:val="000000"/>
                <w:sz w:val="18"/>
                <w:szCs w:val="18"/>
                <w:lang w:eastAsia="en-GB" w:bidi="ar-SA"/>
              </w:rPr>
            </w:pPr>
            <w:r w:rsidRPr="007B7018">
              <w:rPr>
                <w:rFonts w:cs="Arial"/>
                <w:color w:val="000000"/>
                <w:sz w:val="18"/>
                <w:szCs w:val="18"/>
                <w:lang w:eastAsia="en-GB" w:bidi="ar-SA"/>
              </w:rPr>
              <w:t>13.4.1</w:t>
            </w:r>
          </w:p>
        </w:tc>
        <w:tc>
          <w:tcPr>
            <w:tcW w:w="236" w:type="dxa"/>
            <w:tcBorders>
              <w:bottom w:val="single" w:sz="4" w:space="0" w:color="auto"/>
              <w:right w:val="nil"/>
            </w:tcBorders>
            <w:shd w:val="clear" w:color="auto" w:fill="D9D9D9" w:themeFill="background1" w:themeFillShade="D9"/>
            <w:vAlign w:val="center"/>
          </w:tcPr>
          <w:p w14:paraId="00EC5E96" w14:textId="77777777" w:rsidR="00E907D7" w:rsidRPr="007B7018" w:rsidRDefault="00E907D7" w:rsidP="00221A11">
            <w:pPr>
              <w:keepNext/>
              <w:keepLines/>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D9D9D9" w:themeFill="background1" w:themeFillShade="D9"/>
            <w:vAlign w:val="center"/>
            <w:hideMark/>
          </w:tcPr>
          <w:p w14:paraId="06F5583E" w14:textId="77777777" w:rsidR="00E907D7" w:rsidRPr="007B7018" w:rsidRDefault="00E907D7" w:rsidP="00221A11">
            <w:pPr>
              <w:keepNext/>
              <w:keepLines/>
              <w:widowControl/>
              <w:rPr>
                <w:rFonts w:cs="Arial"/>
                <w:color w:val="000000"/>
                <w:sz w:val="18"/>
                <w:szCs w:val="18"/>
                <w:lang w:eastAsia="en-GB" w:bidi="ar-SA"/>
              </w:rPr>
            </w:pPr>
            <w:r w:rsidRPr="007B7018">
              <w:rPr>
                <w:rFonts w:cs="Arial"/>
                <w:color w:val="000000"/>
                <w:sz w:val="18"/>
                <w:szCs w:val="18"/>
                <w:lang w:eastAsia="en-GB" w:bidi="ar-SA"/>
              </w:rPr>
              <w:t>Solid formulated supplementary sports foods</w:t>
            </w:r>
          </w:p>
        </w:tc>
        <w:tc>
          <w:tcPr>
            <w:tcW w:w="752" w:type="dxa"/>
            <w:shd w:val="clear" w:color="auto" w:fill="auto"/>
            <w:vAlign w:val="center"/>
          </w:tcPr>
          <w:p w14:paraId="0D46FB66" w14:textId="77777777" w:rsidR="00E907D7" w:rsidRPr="007B7018" w:rsidRDefault="00E907D7" w:rsidP="00221A11">
            <w:pPr>
              <w:keepNext/>
              <w:keepLines/>
              <w:widowControl/>
              <w:tabs>
                <w:tab w:val="decimal" w:pos="397"/>
              </w:tabs>
              <w:rPr>
                <w:rFonts w:cs="Arial"/>
                <w:color w:val="000000"/>
                <w:sz w:val="18"/>
                <w:szCs w:val="18"/>
                <w:lang w:eastAsia="en-GB" w:bidi="ar-SA"/>
              </w:rPr>
            </w:pPr>
            <w:r w:rsidRPr="007B7018">
              <w:rPr>
                <w:rFonts w:cs="Arial"/>
                <w:color w:val="000000"/>
                <w:sz w:val="18"/>
                <w:szCs w:val="18"/>
              </w:rPr>
              <w:t>&lt;1</w:t>
            </w:r>
          </w:p>
        </w:tc>
        <w:tc>
          <w:tcPr>
            <w:tcW w:w="752" w:type="dxa"/>
            <w:vAlign w:val="center"/>
          </w:tcPr>
          <w:p w14:paraId="772731DC" w14:textId="77777777" w:rsidR="00E907D7" w:rsidRPr="007B7018" w:rsidRDefault="00E907D7" w:rsidP="00221A11">
            <w:pPr>
              <w:keepNext/>
              <w:keepLines/>
              <w:widowControl/>
              <w:tabs>
                <w:tab w:val="decimal" w:pos="397"/>
              </w:tabs>
              <w:rPr>
                <w:rFonts w:cs="Arial"/>
                <w:color w:val="000000"/>
                <w:sz w:val="18"/>
                <w:szCs w:val="18"/>
              </w:rPr>
            </w:pPr>
            <w:r w:rsidRPr="007B7018">
              <w:rPr>
                <w:rFonts w:cs="Arial"/>
                <w:color w:val="000000"/>
                <w:sz w:val="18"/>
                <w:szCs w:val="18"/>
              </w:rPr>
              <w:t>3</w:t>
            </w:r>
          </w:p>
        </w:tc>
        <w:tc>
          <w:tcPr>
            <w:tcW w:w="752" w:type="dxa"/>
            <w:shd w:val="clear" w:color="auto" w:fill="auto"/>
            <w:vAlign w:val="center"/>
          </w:tcPr>
          <w:p w14:paraId="35B0B727" w14:textId="77777777" w:rsidR="00E907D7" w:rsidRPr="007B7018" w:rsidRDefault="00E907D7" w:rsidP="00221A11">
            <w:pPr>
              <w:keepNext/>
              <w:keepLines/>
              <w:widowControl/>
              <w:tabs>
                <w:tab w:val="decimal" w:pos="397"/>
              </w:tabs>
              <w:rPr>
                <w:rFonts w:cs="Arial"/>
                <w:color w:val="000000"/>
                <w:sz w:val="18"/>
                <w:szCs w:val="18"/>
                <w:lang w:eastAsia="en-GB" w:bidi="ar-SA"/>
              </w:rPr>
            </w:pPr>
            <w:r w:rsidRPr="007B7018">
              <w:rPr>
                <w:rFonts w:cs="Arial"/>
                <w:color w:val="000000"/>
                <w:sz w:val="18"/>
                <w:szCs w:val="18"/>
              </w:rPr>
              <w:t>&lt;1</w:t>
            </w:r>
          </w:p>
        </w:tc>
        <w:tc>
          <w:tcPr>
            <w:tcW w:w="752" w:type="dxa"/>
            <w:shd w:val="clear" w:color="auto" w:fill="D9D9D9" w:themeFill="background1" w:themeFillShade="D9"/>
            <w:vAlign w:val="center"/>
          </w:tcPr>
          <w:p w14:paraId="576F1687" w14:textId="77777777" w:rsidR="00E907D7" w:rsidRPr="007B7018" w:rsidRDefault="00E907D7" w:rsidP="00221A11">
            <w:pPr>
              <w:keepNext/>
              <w:keepLines/>
              <w:widowControl/>
              <w:tabs>
                <w:tab w:val="decimal" w:pos="397"/>
              </w:tabs>
              <w:rPr>
                <w:rFonts w:cs="Arial"/>
                <w:sz w:val="18"/>
                <w:szCs w:val="18"/>
                <w:lang w:eastAsia="en-GB" w:bidi="ar-SA"/>
              </w:rPr>
            </w:pPr>
            <w:r w:rsidRPr="007B7018">
              <w:rPr>
                <w:rFonts w:cs="Arial"/>
                <w:sz w:val="18"/>
                <w:szCs w:val="18"/>
              </w:rPr>
              <w:t>7</w:t>
            </w:r>
          </w:p>
        </w:tc>
        <w:tc>
          <w:tcPr>
            <w:tcW w:w="752" w:type="dxa"/>
            <w:shd w:val="clear" w:color="auto" w:fill="D9D9D9" w:themeFill="background1" w:themeFillShade="D9"/>
            <w:vAlign w:val="center"/>
          </w:tcPr>
          <w:p w14:paraId="5BC01E32" w14:textId="77777777" w:rsidR="00E907D7" w:rsidRPr="007B7018" w:rsidRDefault="00E907D7" w:rsidP="00221A11">
            <w:pPr>
              <w:keepNext/>
              <w:keepLines/>
              <w:widowControl/>
              <w:tabs>
                <w:tab w:val="decimal" w:pos="397"/>
              </w:tabs>
              <w:rPr>
                <w:rFonts w:cs="Arial"/>
                <w:sz w:val="18"/>
                <w:szCs w:val="18"/>
              </w:rPr>
            </w:pPr>
            <w:r w:rsidRPr="007B7018">
              <w:rPr>
                <w:rFonts w:cs="Arial"/>
                <w:sz w:val="18"/>
                <w:szCs w:val="18"/>
              </w:rPr>
              <w:t>10</w:t>
            </w:r>
          </w:p>
        </w:tc>
        <w:tc>
          <w:tcPr>
            <w:tcW w:w="752" w:type="dxa"/>
            <w:shd w:val="clear" w:color="auto" w:fill="D9D9D9" w:themeFill="background1" w:themeFillShade="D9"/>
            <w:vAlign w:val="center"/>
          </w:tcPr>
          <w:p w14:paraId="7453463E" w14:textId="77777777" w:rsidR="00E907D7" w:rsidRPr="007B7018" w:rsidRDefault="00E907D7" w:rsidP="00221A11">
            <w:pPr>
              <w:keepNext/>
              <w:keepLines/>
              <w:widowControl/>
              <w:tabs>
                <w:tab w:val="decimal" w:pos="397"/>
              </w:tabs>
              <w:rPr>
                <w:rFonts w:cs="Arial"/>
                <w:sz w:val="18"/>
                <w:szCs w:val="18"/>
                <w:lang w:eastAsia="en-GB" w:bidi="ar-SA"/>
              </w:rPr>
            </w:pPr>
            <w:r w:rsidRPr="007B7018">
              <w:rPr>
                <w:rFonts w:cs="Arial"/>
                <w:sz w:val="18"/>
                <w:szCs w:val="18"/>
              </w:rPr>
              <w:t>6</w:t>
            </w:r>
          </w:p>
        </w:tc>
        <w:tc>
          <w:tcPr>
            <w:tcW w:w="752" w:type="dxa"/>
            <w:tcBorders>
              <w:bottom w:val="single" w:sz="4" w:space="0" w:color="auto"/>
            </w:tcBorders>
            <w:shd w:val="clear" w:color="auto" w:fill="D9D9D9" w:themeFill="background1" w:themeFillShade="D9"/>
            <w:vAlign w:val="center"/>
          </w:tcPr>
          <w:p w14:paraId="39BAAFCF" w14:textId="77777777" w:rsidR="00E907D7" w:rsidRPr="007B7018" w:rsidRDefault="00E907D7" w:rsidP="00221A11">
            <w:pPr>
              <w:keepNext/>
              <w:keepLines/>
              <w:widowControl/>
              <w:tabs>
                <w:tab w:val="decimal" w:pos="397"/>
              </w:tabs>
              <w:rPr>
                <w:rFonts w:cs="Arial"/>
                <w:sz w:val="18"/>
                <w:szCs w:val="18"/>
                <w:lang w:eastAsia="en-GB" w:bidi="ar-SA"/>
              </w:rPr>
            </w:pPr>
            <w:r w:rsidRPr="007B7018">
              <w:rPr>
                <w:rFonts w:cs="Arial"/>
                <w:sz w:val="18"/>
                <w:szCs w:val="18"/>
              </w:rPr>
              <w:t>18</w:t>
            </w:r>
          </w:p>
        </w:tc>
        <w:tc>
          <w:tcPr>
            <w:tcW w:w="752" w:type="dxa"/>
            <w:tcBorders>
              <w:bottom w:val="single" w:sz="4" w:space="0" w:color="auto"/>
            </w:tcBorders>
            <w:shd w:val="clear" w:color="auto" w:fill="D9D9D9" w:themeFill="background1" w:themeFillShade="D9"/>
            <w:vAlign w:val="center"/>
          </w:tcPr>
          <w:p w14:paraId="49F778A2" w14:textId="77777777" w:rsidR="00E907D7" w:rsidRPr="007B7018" w:rsidRDefault="00E907D7" w:rsidP="00221A11">
            <w:pPr>
              <w:keepNext/>
              <w:keepLines/>
              <w:widowControl/>
              <w:tabs>
                <w:tab w:val="decimal" w:pos="397"/>
              </w:tabs>
              <w:rPr>
                <w:rFonts w:cs="Arial"/>
                <w:sz w:val="18"/>
                <w:szCs w:val="18"/>
              </w:rPr>
            </w:pPr>
            <w:r w:rsidRPr="007B7018">
              <w:rPr>
                <w:rFonts w:cs="Arial"/>
                <w:sz w:val="18"/>
                <w:szCs w:val="18"/>
              </w:rPr>
              <w:t>32</w:t>
            </w:r>
          </w:p>
        </w:tc>
        <w:tc>
          <w:tcPr>
            <w:tcW w:w="752" w:type="dxa"/>
            <w:tcBorders>
              <w:bottom w:val="single" w:sz="4" w:space="0" w:color="auto"/>
            </w:tcBorders>
            <w:shd w:val="clear" w:color="auto" w:fill="D9D9D9" w:themeFill="background1" w:themeFillShade="D9"/>
            <w:vAlign w:val="center"/>
          </w:tcPr>
          <w:p w14:paraId="35DBAFED" w14:textId="77777777" w:rsidR="00E907D7" w:rsidRPr="007B7018" w:rsidRDefault="00E907D7" w:rsidP="00221A11">
            <w:pPr>
              <w:keepNext/>
              <w:keepLines/>
              <w:widowControl/>
              <w:tabs>
                <w:tab w:val="decimal" w:pos="397"/>
              </w:tabs>
              <w:rPr>
                <w:rFonts w:cs="Arial"/>
                <w:sz w:val="18"/>
                <w:szCs w:val="18"/>
                <w:lang w:eastAsia="en-GB" w:bidi="ar-SA"/>
              </w:rPr>
            </w:pPr>
            <w:r w:rsidRPr="007B7018">
              <w:rPr>
                <w:rFonts w:cs="Arial"/>
                <w:sz w:val="18"/>
                <w:szCs w:val="18"/>
              </w:rPr>
              <w:t>15</w:t>
            </w:r>
          </w:p>
        </w:tc>
        <w:tc>
          <w:tcPr>
            <w:tcW w:w="752" w:type="dxa"/>
            <w:tcBorders>
              <w:bottom w:val="single" w:sz="4" w:space="0" w:color="auto"/>
            </w:tcBorders>
            <w:shd w:val="clear" w:color="auto" w:fill="auto"/>
            <w:vAlign w:val="center"/>
          </w:tcPr>
          <w:p w14:paraId="47F8DF1B" w14:textId="77777777" w:rsidR="00E907D7" w:rsidRPr="007B7018" w:rsidRDefault="00E907D7" w:rsidP="00221A11">
            <w:pPr>
              <w:keepNext/>
              <w:keepLines/>
              <w:widowControl/>
              <w:tabs>
                <w:tab w:val="decimal" w:pos="397"/>
              </w:tabs>
              <w:rPr>
                <w:rFonts w:cs="Arial"/>
                <w:color w:val="000000"/>
                <w:sz w:val="18"/>
                <w:szCs w:val="18"/>
                <w:lang w:eastAsia="en-GB" w:bidi="ar-SA"/>
              </w:rPr>
            </w:pPr>
            <w:r w:rsidRPr="007B7018">
              <w:rPr>
                <w:rFonts w:cs="Arial"/>
                <w:color w:val="000000"/>
                <w:sz w:val="18"/>
                <w:szCs w:val="18"/>
              </w:rPr>
              <w:t>&lt;1</w:t>
            </w:r>
          </w:p>
        </w:tc>
        <w:tc>
          <w:tcPr>
            <w:tcW w:w="752" w:type="dxa"/>
            <w:tcBorders>
              <w:bottom w:val="single" w:sz="4" w:space="0" w:color="auto"/>
            </w:tcBorders>
            <w:vAlign w:val="center"/>
          </w:tcPr>
          <w:p w14:paraId="3193D7A4" w14:textId="77777777" w:rsidR="00E907D7" w:rsidRPr="007B7018" w:rsidRDefault="00E907D7" w:rsidP="00221A11">
            <w:pPr>
              <w:keepNext/>
              <w:keepLines/>
              <w:widowControl/>
              <w:tabs>
                <w:tab w:val="decimal" w:pos="397"/>
              </w:tabs>
              <w:rPr>
                <w:rFonts w:cs="Arial"/>
                <w:color w:val="000000"/>
                <w:sz w:val="18"/>
                <w:szCs w:val="18"/>
              </w:rPr>
            </w:pPr>
            <w:r w:rsidRPr="007B7018">
              <w:rPr>
                <w:rFonts w:cs="Arial"/>
                <w:color w:val="000000"/>
                <w:sz w:val="18"/>
                <w:szCs w:val="18"/>
              </w:rPr>
              <w:t>&lt;1</w:t>
            </w:r>
          </w:p>
        </w:tc>
        <w:tc>
          <w:tcPr>
            <w:tcW w:w="753" w:type="dxa"/>
            <w:shd w:val="clear" w:color="auto" w:fill="auto"/>
            <w:vAlign w:val="center"/>
          </w:tcPr>
          <w:p w14:paraId="0FC47756" w14:textId="77777777" w:rsidR="00E907D7" w:rsidRPr="007B7018" w:rsidRDefault="00E907D7" w:rsidP="00221A11">
            <w:pPr>
              <w:keepNext/>
              <w:keepLines/>
              <w:widowControl/>
              <w:tabs>
                <w:tab w:val="decimal" w:pos="397"/>
              </w:tabs>
              <w:rPr>
                <w:rFonts w:cs="Arial"/>
                <w:color w:val="000000"/>
                <w:sz w:val="18"/>
                <w:szCs w:val="18"/>
                <w:lang w:eastAsia="en-GB" w:bidi="ar-SA"/>
              </w:rPr>
            </w:pPr>
            <w:r w:rsidRPr="007B7018">
              <w:rPr>
                <w:rFonts w:cs="Arial"/>
                <w:color w:val="000000"/>
                <w:sz w:val="18"/>
                <w:szCs w:val="18"/>
              </w:rPr>
              <w:t>&lt;1</w:t>
            </w:r>
          </w:p>
        </w:tc>
      </w:tr>
      <w:tr w:rsidR="00E907D7" w:rsidRPr="007B7018" w14:paraId="155B2D78" w14:textId="77777777" w:rsidTr="00E907D7">
        <w:trPr>
          <w:cantSplit/>
        </w:trPr>
        <w:tc>
          <w:tcPr>
            <w:tcW w:w="1167" w:type="dxa"/>
            <w:tcBorders>
              <w:right w:val="single" w:sz="4" w:space="0" w:color="auto"/>
            </w:tcBorders>
            <w:shd w:val="clear" w:color="auto" w:fill="D9D9D9" w:themeFill="background1" w:themeFillShade="D9"/>
            <w:vAlign w:val="center"/>
            <w:hideMark/>
          </w:tcPr>
          <w:p w14:paraId="77F958D0" w14:textId="77777777" w:rsidR="00E907D7" w:rsidRPr="007B7018" w:rsidRDefault="00E907D7" w:rsidP="00221A11">
            <w:pPr>
              <w:keepNext/>
              <w:keepLines/>
              <w:widowControl/>
              <w:rPr>
                <w:rFonts w:cs="Arial"/>
                <w:color w:val="000000"/>
                <w:sz w:val="18"/>
                <w:szCs w:val="18"/>
                <w:lang w:eastAsia="en-GB" w:bidi="ar-SA"/>
              </w:rPr>
            </w:pPr>
            <w:r w:rsidRPr="007B7018">
              <w:rPr>
                <w:rFonts w:cs="Arial"/>
                <w:color w:val="000000"/>
                <w:sz w:val="18"/>
                <w:szCs w:val="18"/>
                <w:lang w:eastAsia="en-GB" w:bidi="ar-SA"/>
              </w:rPr>
              <w:t>13.4.2</w:t>
            </w:r>
          </w:p>
        </w:tc>
        <w:tc>
          <w:tcPr>
            <w:tcW w:w="236" w:type="dxa"/>
            <w:tcBorders>
              <w:left w:val="single" w:sz="4" w:space="0" w:color="auto"/>
              <w:right w:val="nil"/>
            </w:tcBorders>
            <w:shd w:val="clear" w:color="auto" w:fill="D9D9D9" w:themeFill="background1" w:themeFillShade="D9"/>
            <w:vAlign w:val="center"/>
          </w:tcPr>
          <w:p w14:paraId="33D10F89" w14:textId="77777777" w:rsidR="00E907D7" w:rsidRPr="007B7018" w:rsidRDefault="00E907D7" w:rsidP="00221A11">
            <w:pPr>
              <w:keepNext/>
              <w:keepLines/>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764DCADD" w14:textId="77777777" w:rsidR="00E907D7" w:rsidRPr="007B7018" w:rsidRDefault="00E907D7" w:rsidP="00221A11">
            <w:pPr>
              <w:keepNext/>
              <w:keepLines/>
              <w:widowControl/>
              <w:rPr>
                <w:rFonts w:cs="Arial"/>
                <w:color w:val="000000"/>
                <w:sz w:val="18"/>
                <w:szCs w:val="18"/>
                <w:lang w:eastAsia="en-GB" w:bidi="ar-SA"/>
              </w:rPr>
            </w:pPr>
            <w:r w:rsidRPr="007B7018">
              <w:rPr>
                <w:rFonts w:cs="Arial"/>
                <w:color w:val="000000"/>
                <w:sz w:val="18"/>
                <w:szCs w:val="18"/>
                <w:lang w:eastAsia="en-GB" w:bidi="ar-SA"/>
              </w:rPr>
              <w:t>Liquid formulated supplementary sports foods</w:t>
            </w:r>
          </w:p>
        </w:tc>
        <w:tc>
          <w:tcPr>
            <w:tcW w:w="752" w:type="dxa"/>
            <w:shd w:val="clear" w:color="auto" w:fill="auto"/>
            <w:vAlign w:val="center"/>
          </w:tcPr>
          <w:p w14:paraId="216C8729" w14:textId="77777777" w:rsidR="00E907D7" w:rsidRPr="007B7018" w:rsidRDefault="00E907D7" w:rsidP="00221A11">
            <w:pPr>
              <w:keepNext/>
              <w:keepLines/>
              <w:widowControl/>
              <w:tabs>
                <w:tab w:val="decimal" w:pos="397"/>
              </w:tabs>
              <w:rPr>
                <w:rFonts w:cs="Arial"/>
                <w:color w:val="000000"/>
                <w:sz w:val="18"/>
                <w:szCs w:val="18"/>
                <w:lang w:eastAsia="en-GB" w:bidi="ar-SA"/>
              </w:rPr>
            </w:pPr>
            <w:r w:rsidRPr="007B7018">
              <w:rPr>
                <w:rFonts w:cs="Arial"/>
                <w:color w:val="000000"/>
                <w:sz w:val="18"/>
                <w:szCs w:val="18"/>
              </w:rPr>
              <w:t>&lt;1</w:t>
            </w:r>
          </w:p>
        </w:tc>
        <w:tc>
          <w:tcPr>
            <w:tcW w:w="752" w:type="dxa"/>
            <w:vAlign w:val="center"/>
          </w:tcPr>
          <w:p w14:paraId="5B89E192" w14:textId="77777777" w:rsidR="00E907D7" w:rsidRPr="007B7018" w:rsidRDefault="00E907D7" w:rsidP="00221A11">
            <w:pPr>
              <w:keepNext/>
              <w:keepLines/>
              <w:widowControl/>
              <w:tabs>
                <w:tab w:val="decimal" w:pos="397"/>
              </w:tabs>
              <w:rPr>
                <w:rFonts w:cs="Arial"/>
                <w:color w:val="000000"/>
                <w:sz w:val="18"/>
                <w:szCs w:val="18"/>
              </w:rPr>
            </w:pPr>
            <w:r w:rsidRPr="007B7018">
              <w:rPr>
                <w:rFonts w:cs="Arial"/>
                <w:color w:val="000000"/>
                <w:sz w:val="18"/>
                <w:szCs w:val="18"/>
              </w:rPr>
              <w:t>1</w:t>
            </w:r>
          </w:p>
        </w:tc>
        <w:tc>
          <w:tcPr>
            <w:tcW w:w="752" w:type="dxa"/>
            <w:shd w:val="clear" w:color="auto" w:fill="auto"/>
            <w:vAlign w:val="center"/>
          </w:tcPr>
          <w:p w14:paraId="539F8849" w14:textId="77777777" w:rsidR="00E907D7" w:rsidRPr="007B7018" w:rsidRDefault="00E907D7" w:rsidP="00221A11">
            <w:pPr>
              <w:keepNext/>
              <w:keepLines/>
              <w:widowControl/>
              <w:tabs>
                <w:tab w:val="decimal" w:pos="397"/>
              </w:tabs>
              <w:rPr>
                <w:rFonts w:cs="Arial"/>
                <w:color w:val="000000"/>
                <w:sz w:val="18"/>
                <w:szCs w:val="18"/>
                <w:lang w:eastAsia="en-GB" w:bidi="ar-SA"/>
              </w:rPr>
            </w:pPr>
            <w:r w:rsidRPr="007B7018">
              <w:rPr>
                <w:rFonts w:cs="Arial"/>
                <w:color w:val="000000"/>
                <w:sz w:val="18"/>
                <w:szCs w:val="18"/>
              </w:rPr>
              <w:t>&lt;1</w:t>
            </w:r>
          </w:p>
        </w:tc>
        <w:tc>
          <w:tcPr>
            <w:tcW w:w="752" w:type="dxa"/>
            <w:shd w:val="clear" w:color="auto" w:fill="D9D9D9" w:themeFill="background1" w:themeFillShade="D9"/>
            <w:vAlign w:val="center"/>
          </w:tcPr>
          <w:p w14:paraId="2A3C4817" w14:textId="77777777" w:rsidR="00E907D7" w:rsidRPr="007B7018" w:rsidRDefault="00E907D7" w:rsidP="00221A11">
            <w:pPr>
              <w:keepNext/>
              <w:keepLines/>
              <w:widowControl/>
              <w:tabs>
                <w:tab w:val="decimal" w:pos="397"/>
              </w:tabs>
              <w:rPr>
                <w:rFonts w:cs="Arial"/>
                <w:sz w:val="18"/>
                <w:szCs w:val="18"/>
                <w:lang w:eastAsia="en-GB" w:bidi="ar-SA"/>
              </w:rPr>
            </w:pPr>
            <w:r w:rsidRPr="007B7018">
              <w:rPr>
                <w:rFonts w:cs="Arial"/>
                <w:sz w:val="18"/>
                <w:szCs w:val="18"/>
              </w:rPr>
              <w:t>50</w:t>
            </w:r>
          </w:p>
        </w:tc>
        <w:tc>
          <w:tcPr>
            <w:tcW w:w="752" w:type="dxa"/>
            <w:shd w:val="clear" w:color="auto" w:fill="D9D9D9" w:themeFill="background1" w:themeFillShade="D9"/>
            <w:vAlign w:val="center"/>
          </w:tcPr>
          <w:p w14:paraId="65A65F96" w14:textId="77777777" w:rsidR="00E907D7" w:rsidRPr="007B7018" w:rsidRDefault="00E907D7" w:rsidP="00221A11">
            <w:pPr>
              <w:keepNext/>
              <w:keepLines/>
              <w:widowControl/>
              <w:tabs>
                <w:tab w:val="decimal" w:pos="397"/>
              </w:tabs>
              <w:rPr>
                <w:rFonts w:cs="Arial"/>
                <w:sz w:val="18"/>
                <w:szCs w:val="18"/>
              </w:rPr>
            </w:pPr>
            <w:r w:rsidRPr="007B7018">
              <w:rPr>
                <w:rFonts w:cs="Arial"/>
                <w:sz w:val="18"/>
                <w:szCs w:val="18"/>
              </w:rPr>
              <w:t>76</w:t>
            </w:r>
          </w:p>
        </w:tc>
        <w:tc>
          <w:tcPr>
            <w:tcW w:w="752" w:type="dxa"/>
            <w:shd w:val="clear" w:color="auto" w:fill="D9D9D9" w:themeFill="background1" w:themeFillShade="D9"/>
            <w:vAlign w:val="center"/>
          </w:tcPr>
          <w:p w14:paraId="3AADF767" w14:textId="77777777" w:rsidR="00E907D7" w:rsidRPr="007B7018" w:rsidRDefault="00E907D7" w:rsidP="00221A11">
            <w:pPr>
              <w:keepNext/>
              <w:keepLines/>
              <w:widowControl/>
              <w:tabs>
                <w:tab w:val="decimal" w:pos="397"/>
              </w:tabs>
              <w:rPr>
                <w:rFonts w:cs="Arial"/>
                <w:sz w:val="18"/>
                <w:szCs w:val="18"/>
                <w:lang w:eastAsia="en-GB" w:bidi="ar-SA"/>
              </w:rPr>
            </w:pPr>
            <w:r w:rsidRPr="007B7018">
              <w:rPr>
                <w:rFonts w:cs="Arial"/>
                <w:sz w:val="18"/>
                <w:szCs w:val="18"/>
              </w:rPr>
              <w:t>45</w:t>
            </w:r>
          </w:p>
        </w:tc>
        <w:tc>
          <w:tcPr>
            <w:tcW w:w="752" w:type="dxa"/>
            <w:shd w:val="clear" w:color="auto" w:fill="D9D9D9" w:themeFill="background1" w:themeFillShade="D9"/>
            <w:vAlign w:val="center"/>
          </w:tcPr>
          <w:p w14:paraId="3EF8F233" w14:textId="77777777" w:rsidR="00E907D7" w:rsidRPr="007B7018" w:rsidRDefault="00E907D7" w:rsidP="00221A11">
            <w:pPr>
              <w:keepNext/>
              <w:keepLines/>
              <w:widowControl/>
              <w:tabs>
                <w:tab w:val="decimal" w:pos="397"/>
              </w:tabs>
              <w:rPr>
                <w:rFonts w:cs="Arial"/>
                <w:sz w:val="18"/>
                <w:szCs w:val="18"/>
                <w:lang w:eastAsia="en-GB" w:bidi="ar-SA"/>
              </w:rPr>
            </w:pPr>
            <w:r w:rsidRPr="007B7018">
              <w:rPr>
                <w:rFonts w:cs="Arial"/>
                <w:sz w:val="18"/>
                <w:szCs w:val="18"/>
              </w:rPr>
              <w:t>27</w:t>
            </w:r>
          </w:p>
        </w:tc>
        <w:tc>
          <w:tcPr>
            <w:tcW w:w="752" w:type="dxa"/>
            <w:shd w:val="clear" w:color="auto" w:fill="D9D9D9" w:themeFill="background1" w:themeFillShade="D9"/>
            <w:vAlign w:val="center"/>
          </w:tcPr>
          <w:p w14:paraId="6F7068D0" w14:textId="77777777" w:rsidR="00E907D7" w:rsidRPr="007B7018" w:rsidRDefault="00E907D7" w:rsidP="00221A11">
            <w:pPr>
              <w:keepNext/>
              <w:keepLines/>
              <w:widowControl/>
              <w:tabs>
                <w:tab w:val="decimal" w:pos="397"/>
              </w:tabs>
              <w:rPr>
                <w:rFonts w:cs="Arial"/>
                <w:sz w:val="18"/>
                <w:szCs w:val="18"/>
              </w:rPr>
            </w:pPr>
            <w:r w:rsidRPr="007B7018">
              <w:rPr>
                <w:rFonts w:cs="Arial"/>
                <w:sz w:val="18"/>
                <w:szCs w:val="18"/>
              </w:rPr>
              <w:t>48</w:t>
            </w:r>
          </w:p>
        </w:tc>
        <w:tc>
          <w:tcPr>
            <w:tcW w:w="752" w:type="dxa"/>
            <w:shd w:val="clear" w:color="auto" w:fill="D9D9D9" w:themeFill="background1" w:themeFillShade="D9"/>
            <w:vAlign w:val="center"/>
          </w:tcPr>
          <w:p w14:paraId="4671EF0B" w14:textId="77777777" w:rsidR="00E907D7" w:rsidRPr="007B7018" w:rsidRDefault="00E907D7" w:rsidP="00221A11">
            <w:pPr>
              <w:keepNext/>
              <w:keepLines/>
              <w:widowControl/>
              <w:tabs>
                <w:tab w:val="decimal" w:pos="397"/>
              </w:tabs>
              <w:rPr>
                <w:rFonts w:cs="Arial"/>
                <w:sz w:val="18"/>
                <w:szCs w:val="18"/>
                <w:lang w:eastAsia="en-GB" w:bidi="ar-SA"/>
              </w:rPr>
            </w:pPr>
            <w:r w:rsidRPr="007B7018">
              <w:rPr>
                <w:rFonts w:cs="Arial"/>
                <w:sz w:val="18"/>
                <w:szCs w:val="18"/>
              </w:rPr>
              <w:t>22</w:t>
            </w:r>
          </w:p>
        </w:tc>
        <w:tc>
          <w:tcPr>
            <w:tcW w:w="752" w:type="dxa"/>
            <w:shd w:val="clear" w:color="auto" w:fill="D9D9D9" w:themeFill="background1" w:themeFillShade="D9"/>
            <w:vAlign w:val="center"/>
          </w:tcPr>
          <w:p w14:paraId="1BEC6006" w14:textId="77777777" w:rsidR="00E907D7" w:rsidRPr="007B7018" w:rsidRDefault="00E907D7" w:rsidP="00221A11">
            <w:pPr>
              <w:keepNext/>
              <w:keepLines/>
              <w:widowControl/>
              <w:tabs>
                <w:tab w:val="decimal" w:pos="397"/>
              </w:tabs>
              <w:rPr>
                <w:rFonts w:cs="Arial"/>
                <w:color w:val="000000"/>
                <w:sz w:val="18"/>
                <w:szCs w:val="18"/>
                <w:lang w:eastAsia="en-GB" w:bidi="ar-SA"/>
              </w:rPr>
            </w:pPr>
            <w:r w:rsidRPr="007B7018">
              <w:rPr>
                <w:rFonts w:cs="Arial"/>
                <w:color w:val="000000"/>
                <w:sz w:val="18"/>
                <w:szCs w:val="18"/>
              </w:rPr>
              <w:t>14</w:t>
            </w:r>
          </w:p>
        </w:tc>
        <w:tc>
          <w:tcPr>
            <w:tcW w:w="752" w:type="dxa"/>
            <w:shd w:val="clear" w:color="auto" w:fill="D9D9D9" w:themeFill="background1" w:themeFillShade="D9"/>
            <w:vAlign w:val="center"/>
          </w:tcPr>
          <w:p w14:paraId="562C96A7" w14:textId="77777777" w:rsidR="00E907D7" w:rsidRPr="007B7018" w:rsidRDefault="00E907D7" w:rsidP="00221A11">
            <w:pPr>
              <w:keepNext/>
              <w:keepLines/>
              <w:widowControl/>
              <w:tabs>
                <w:tab w:val="decimal" w:pos="397"/>
              </w:tabs>
              <w:rPr>
                <w:rFonts w:cs="Arial"/>
                <w:color w:val="000000"/>
                <w:sz w:val="18"/>
                <w:szCs w:val="18"/>
              </w:rPr>
            </w:pPr>
            <w:r w:rsidRPr="007B7018">
              <w:rPr>
                <w:rFonts w:cs="Arial"/>
                <w:color w:val="000000"/>
                <w:sz w:val="18"/>
                <w:szCs w:val="18"/>
              </w:rPr>
              <w:t>44</w:t>
            </w:r>
          </w:p>
        </w:tc>
        <w:tc>
          <w:tcPr>
            <w:tcW w:w="753" w:type="dxa"/>
            <w:shd w:val="clear" w:color="auto" w:fill="auto"/>
            <w:vAlign w:val="center"/>
          </w:tcPr>
          <w:p w14:paraId="079C61A8" w14:textId="77777777" w:rsidR="00E907D7" w:rsidRPr="007B7018" w:rsidRDefault="00E907D7" w:rsidP="00221A11">
            <w:pPr>
              <w:keepNext/>
              <w:keepLines/>
              <w:widowControl/>
              <w:tabs>
                <w:tab w:val="decimal" w:pos="397"/>
              </w:tabs>
              <w:rPr>
                <w:rFonts w:cs="Arial"/>
                <w:color w:val="000000"/>
                <w:sz w:val="18"/>
                <w:szCs w:val="18"/>
                <w:lang w:eastAsia="en-GB" w:bidi="ar-SA"/>
              </w:rPr>
            </w:pPr>
            <w:r w:rsidRPr="007B7018">
              <w:rPr>
                <w:rFonts w:cs="Arial"/>
                <w:color w:val="000000"/>
                <w:sz w:val="18"/>
                <w:szCs w:val="18"/>
              </w:rPr>
              <w:t>3</w:t>
            </w:r>
          </w:p>
        </w:tc>
      </w:tr>
      <w:tr w:rsidR="00E907D7" w:rsidRPr="007B7018" w14:paraId="6C44E0FE" w14:textId="77777777" w:rsidTr="00E907D7">
        <w:trPr>
          <w:cantSplit/>
        </w:trPr>
        <w:tc>
          <w:tcPr>
            <w:tcW w:w="1167" w:type="dxa"/>
            <w:shd w:val="clear" w:color="auto" w:fill="D9D9D9" w:themeFill="background1" w:themeFillShade="D9"/>
            <w:vAlign w:val="center"/>
            <w:hideMark/>
          </w:tcPr>
          <w:p w14:paraId="4F8F80E5" w14:textId="77777777" w:rsidR="00E907D7" w:rsidRPr="007B7018" w:rsidRDefault="00E907D7" w:rsidP="007B7018">
            <w:pPr>
              <w:rPr>
                <w:rFonts w:cs="Arial"/>
                <w:bCs/>
                <w:color w:val="000000"/>
                <w:sz w:val="18"/>
                <w:szCs w:val="18"/>
                <w:lang w:eastAsia="en-GB" w:bidi="ar-SA"/>
              </w:rPr>
            </w:pPr>
            <w:r w:rsidRPr="007B7018">
              <w:rPr>
                <w:rFonts w:cs="Arial"/>
                <w:bCs/>
                <w:color w:val="000000"/>
                <w:sz w:val="18"/>
                <w:szCs w:val="18"/>
                <w:lang w:eastAsia="en-GB" w:bidi="ar-SA"/>
              </w:rPr>
              <w:t>14</w:t>
            </w:r>
          </w:p>
        </w:tc>
        <w:tc>
          <w:tcPr>
            <w:tcW w:w="3951" w:type="dxa"/>
            <w:gridSpan w:val="3"/>
            <w:tcBorders>
              <w:bottom w:val="single" w:sz="4" w:space="0" w:color="auto"/>
            </w:tcBorders>
            <w:shd w:val="clear" w:color="auto" w:fill="D9D9D9" w:themeFill="background1" w:themeFillShade="D9"/>
            <w:vAlign w:val="center"/>
          </w:tcPr>
          <w:p w14:paraId="4F50AC87" w14:textId="77777777" w:rsidR="00E907D7" w:rsidRPr="007B7018" w:rsidRDefault="00E907D7" w:rsidP="00E907D7">
            <w:pPr>
              <w:keepNext/>
              <w:keepLines/>
              <w:widowControl/>
              <w:rPr>
                <w:rFonts w:cs="Arial"/>
                <w:bCs/>
                <w:color w:val="000000"/>
                <w:sz w:val="18"/>
                <w:szCs w:val="18"/>
                <w:lang w:eastAsia="en-GB" w:bidi="ar-SA"/>
              </w:rPr>
            </w:pPr>
            <w:r w:rsidRPr="007B7018">
              <w:rPr>
                <w:rFonts w:cs="Arial"/>
                <w:bCs/>
                <w:color w:val="000000"/>
                <w:sz w:val="18"/>
                <w:szCs w:val="18"/>
                <w:lang w:eastAsia="en-GB" w:bidi="ar-SA"/>
              </w:rPr>
              <w:t>All Non-alcoholic &amp; alcoholic beverages</w:t>
            </w:r>
          </w:p>
        </w:tc>
        <w:tc>
          <w:tcPr>
            <w:tcW w:w="752" w:type="dxa"/>
            <w:shd w:val="clear" w:color="auto" w:fill="auto"/>
            <w:vAlign w:val="center"/>
          </w:tcPr>
          <w:p w14:paraId="64F7A0FD"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0AE803F9" w14:textId="77777777" w:rsidR="00E907D7" w:rsidRPr="007B7018" w:rsidRDefault="00E907D7" w:rsidP="00E907D7">
            <w:pPr>
              <w:keepNext/>
              <w:keepLines/>
              <w:widowControl/>
              <w:tabs>
                <w:tab w:val="decimal" w:pos="397"/>
              </w:tabs>
              <w:rPr>
                <w:rFonts w:cs="Arial"/>
                <w:bCs/>
                <w:color w:val="000000"/>
                <w:sz w:val="18"/>
                <w:szCs w:val="18"/>
              </w:rPr>
            </w:pPr>
            <w:r w:rsidRPr="007B7018">
              <w:rPr>
                <w:rFonts w:cs="Arial"/>
                <w:bCs/>
                <w:color w:val="000000"/>
                <w:sz w:val="18"/>
                <w:szCs w:val="18"/>
              </w:rPr>
              <w:t>&lt;1</w:t>
            </w:r>
          </w:p>
        </w:tc>
        <w:tc>
          <w:tcPr>
            <w:tcW w:w="752" w:type="dxa"/>
            <w:tcBorders>
              <w:bottom w:val="single" w:sz="4" w:space="0" w:color="auto"/>
            </w:tcBorders>
            <w:shd w:val="clear" w:color="auto" w:fill="D9D9D9" w:themeFill="background1" w:themeFillShade="D9"/>
            <w:vAlign w:val="center"/>
          </w:tcPr>
          <w:p w14:paraId="01ED16D1"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23</w:t>
            </w:r>
          </w:p>
        </w:tc>
        <w:tc>
          <w:tcPr>
            <w:tcW w:w="752" w:type="dxa"/>
            <w:shd w:val="clear" w:color="auto" w:fill="auto"/>
            <w:vAlign w:val="center"/>
          </w:tcPr>
          <w:p w14:paraId="7F90FB9B"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7811658A" w14:textId="77777777" w:rsidR="00E907D7" w:rsidRPr="007B7018" w:rsidRDefault="00E907D7" w:rsidP="00E907D7">
            <w:pPr>
              <w:keepNext/>
              <w:keepLines/>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D9D9D9" w:themeFill="background1" w:themeFillShade="D9"/>
            <w:vAlign w:val="center"/>
          </w:tcPr>
          <w:p w14:paraId="4E715631"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18</w:t>
            </w:r>
          </w:p>
        </w:tc>
        <w:tc>
          <w:tcPr>
            <w:tcW w:w="752" w:type="dxa"/>
            <w:shd w:val="clear" w:color="auto" w:fill="auto"/>
            <w:vAlign w:val="center"/>
          </w:tcPr>
          <w:p w14:paraId="6D0487C4"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61D94E9B" w14:textId="77777777" w:rsidR="00E907D7" w:rsidRPr="007B7018" w:rsidRDefault="00E907D7" w:rsidP="00E907D7">
            <w:pPr>
              <w:keepNext/>
              <w:keepLines/>
              <w:widowControl/>
              <w:tabs>
                <w:tab w:val="decimal" w:pos="397"/>
              </w:tabs>
              <w:rPr>
                <w:rFonts w:cs="Arial"/>
                <w:bCs/>
                <w:color w:val="000000"/>
                <w:sz w:val="18"/>
                <w:szCs w:val="18"/>
              </w:rPr>
            </w:pPr>
            <w:r w:rsidRPr="007B7018">
              <w:rPr>
                <w:rFonts w:cs="Arial"/>
                <w:bCs/>
                <w:color w:val="000000"/>
                <w:sz w:val="18"/>
                <w:szCs w:val="18"/>
              </w:rPr>
              <w:t>&lt;1</w:t>
            </w:r>
          </w:p>
        </w:tc>
        <w:tc>
          <w:tcPr>
            <w:tcW w:w="752" w:type="dxa"/>
            <w:shd w:val="clear" w:color="auto" w:fill="D9D9D9" w:themeFill="background1" w:themeFillShade="D9"/>
            <w:vAlign w:val="center"/>
          </w:tcPr>
          <w:p w14:paraId="68A9796E"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18</w:t>
            </w:r>
          </w:p>
        </w:tc>
        <w:tc>
          <w:tcPr>
            <w:tcW w:w="752" w:type="dxa"/>
            <w:shd w:val="clear" w:color="auto" w:fill="auto"/>
            <w:vAlign w:val="center"/>
          </w:tcPr>
          <w:p w14:paraId="48A46B18"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&lt;1</w:t>
            </w:r>
          </w:p>
        </w:tc>
        <w:tc>
          <w:tcPr>
            <w:tcW w:w="752" w:type="dxa"/>
            <w:vAlign w:val="center"/>
          </w:tcPr>
          <w:p w14:paraId="66AD5467" w14:textId="77777777" w:rsidR="00E907D7" w:rsidRPr="007B7018" w:rsidRDefault="00E907D7" w:rsidP="00E907D7">
            <w:pPr>
              <w:keepNext/>
              <w:keepLines/>
              <w:widowControl/>
              <w:tabs>
                <w:tab w:val="decimal" w:pos="397"/>
              </w:tabs>
              <w:rPr>
                <w:rFonts w:cs="Arial"/>
                <w:bCs/>
                <w:color w:val="000000"/>
                <w:sz w:val="18"/>
                <w:szCs w:val="18"/>
              </w:rPr>
            </w:pPr>
            <w:r w:rsidRPr="007B7018">
              <w:rPr>
                <w:rFonts w:cs="Arial"/>
                <w:bCs/>
                <w:color w:val="000000"/>
                <w:sz w:val="18"/>
                <w:szCs w:val="18"/>
              </w:rPr>
              <w:t>&lt;1</w:t>
            </w:r>
          </w:p>
        </w:tc>
        <w:tc>
          <w:tcPr>
            <w:tcW w:w="753" w:type="dxa"/>
            <w:shd w:val="clear" w:color="auto" w:fill="D9D9D9" w:themeFill="background1" w:themeFillShade="D9"/>
            <w:vAlign w:val="center"/>
          </w:tcPr>
          <w:p w14:paraId="228BE7B5" w14:textId="77777777" w:rsidR="00E907D7" w:rsidRPr="007B7018" w:rsidRDefault="00E907D7" w:rsidP="00E907D7">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34</w:t>
            </w:r>
          </w:p>
        </w:tc>
      </w:tr>
      <w:tr w:rsidR="00C51F8F" w:rsidRPr="00B83846" w14:paraId="04C3CAE3" w14:textId="77777777" w:rsidTr="00DF510F">
        <w:trPr>
          <w:cantSplit/>
        </w:trPr>
        <w:tc>
          <w:tcPr>
            <w:tcW w:w="1167" w:type="dxa"/>
            <w:shd w:val="clear" w:color="auto" w:fill="D9D9D9" w:themeFill="background1" w:themeFillShade="D9"/>
            <w:vAlign w:val="center"/>
            <w:hideMark/>
          </w:tcPr>
          <w:p w14:paraId="6AFB4869" w14:textId="77777777" w:rsidR="00C51F8F" w:rsidRPr="00B83846" w:rsidRDefault="00C51F8F"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14.1.2</w:t>
            </w:r>
          </w:p>
        </w:tc>
        <w:tc>
          <w:tcPr>
            <w:tcW w:w="236" w:type="dxa"/>
            <w:tcBorders>
              <w:right w:val="nil"/>
            </w:tcBorders>
            <w:shd w:val="clear" w:color="auto" w:fill="D9D9D9" w:themeFill="background1" w:themeFillShade="D9"/>
            <w:vAlign w:val="center"/>
          </w:tcPr>
          <w:p w14:paraId="4515C540" w14:textId="77777777" w:rsidR="00C51F8F" w:rsidRPr="00B83846" w:rsidRDefault="00C51F8F" w:rsidP="00DF510F">
            <w:pPr>
              <w:keepNext/>
              <w:keepLines/>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6F3D11AC" w14:textId="77777777" w:rsidR="00C51F8F" w:rsidRPr="00B83846" w:rsidRDefault="00C51F8F"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Fruit &amp; vegetable juices &amp; fruit &amp; vegetable juice products</w:t>
            </w:r>
          </w:p>
        </w:tc>
        <w:tc>
          <w:tcPr>
            <w:tcW w:w="752" w:type="dxa"/>
            <w:shd w:val="clear" w:color="auto" w:fill="auto"/>
            <w:vAlign w:val="center"/>
          </w:tcPr>
          <w:p w14:paraId="14DBE321" w14:textId="77777777" w:rsidR="00C51F8F" w:rsidRPr="005056E3" w:rsidRDefault="00C51F8F" w:rsidP="00DF510F">
            <w:pPr>
              <w:keepNext/>
              <w:keepLines/>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52A53557" w14:textId="77777777" w:rsidR="00C51F8F" w:rsidRPr="00B83846" w:rsidRDefault="00C51F8F" w:rsidP="00DF510F">
            <w:pPr>
              <w:keepNext/>
              <w:keepLines/>
              <w:widowControl/>
              <w:tabs>
                <w:tab w:val="decimal" w:pos="397"/>
              </w:tabs>
              <w:rPr>
                <w:rFonts w:cs="Arial"/>
                <w:color w:val="000000"/>
                <w:sz w:val="18"/>
                <w:szCs w:val="18"/>
              </w:rPr>
            </w:pPr>
            <w:r w:rsidRPr="005056E3">
              <w:rPr>
                <w:rFonts w:cs="Arial"/>
                <w:color w:val="000000"/>
                <w:sz w:val="18"/>
                <w:szCs w:val="18"/>
              </w:rPr>
              <w:t>&lt;1</w:t>
            </w:r>
          </w:p>
        </w:tc>
        <w:tc>
          <w:tcPr>
            <w:tcW w:w="752" w:type="dxa"/>
            <w:tcBorders>
              <w:top w:val="single" w:sz="4" w:space="0" w:color="auto"/>
            </w:tcBorders>
            <w:shd w:val="clear" w:color="auto" w:fill="D9D9D9" w:themeFill="background1" w:themeFillShade="D9"/>
            <w:vAlign w:val="center"/>
          </w:tcPr>
          <w:p w14:paraId="26FC27F8" w14:textId="77777777" w:rsidR="00C51F8F" w:rsidRPr="005056E3" w:rsidRDefault="00C51F8F" w:rsidP="00DF510F">
            <w:pPr>
              <w:keepNext/>
              <w:keepLines/>
              <w:widowControl/>
              <w:tabs>
                <w:tab w:val="decimal" w:pos="397"/>
              </w:tabs>
              <w:rPr>
                <w:rFonts w:cs="Arial"/>
                <w:color w:val="000000"/>
                <w:sz w:val="18"/>
                <w:szCs w:val="18"/>
                <w:lang w:eastAsia="en-GB" w:bidi="ar-SA"/>
              </w:rPr>
            </w:pPr>
            <w:r w:rsidRPr="005056E3">
              <w:rPr>
                <w:rFonts w:cs="Arial"/>
                <w:color w:val="000000"/>
                <w:sz w:val="18"/>
                <w:szCs w:val="18"/>
              </w:rPr>
              <w:t>9</w:t>
            </w:r>
          </w:p>
        </w:tc>
        <w:tc>
          <w:tcPr>
            <w:tcW w:w="752" w:type="dxa"/>
            <w:shd w:val="clear" w:color="auto" w:fill="auto"/>
            <w:vAlign w:val="center"/>
          </w:tcPr>
          <w:p w14:paraId="32961502" w14:textId="77777777" w:rsidR="00C51F8F" w:rsidRPr="005056E3" w:rsidRDefault="00C51F8F" w:rsidP="00DF510F">
            <w:pPr>
              <w:keepNext/>
              <w:keepLines/>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42B0C53E" w14:textId="77777777" w:rsidR="00C51F8F" w:rsidRPr="00B83846" w:rsidRDefault="00C51F8F" w:rsidP="00DF510F">
            <w:pPr>
              <w:keepNext/>
              <w:keepLines/>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128BBB5C" w14:textId="77777777" w:rsidR="00C51F8F" w:rsidRPr="005056E3" w:rsidRDefault="00C51F8F" w:rsidP="00DF510F">
            <w:pPr>
              <w:keepNext/>
              <w:keepLines/>
              <w:widowControl/>
              <w:tabs>
                <w:tab w:val="decimal" w:pos="397"/>
              </w:tabs>
              <w:rPr>
                <w:rFonts w:cs="Arial"/>
                <w:sz w:val="18"/>
                <w:szCs w:val="18"/>
                <w:lang w:eastAsia="en-GB" w:bidi="ar-SA"/>
              </w:rPr>
            </w:pPr>
            <w:r w:rsidRPr="005056E3">
              <w:rPr>
                <w:rFonts w:cs="Arial"/>
                <w:sz w:val="18"/>
                <w:szCs w:val="18"/>
              </w:rPr>
              <w:t>3</w:t>
            </w:r>
          </w:p>
        </w:tc>
        <w:tc>
          <w:tcPr>
            <w:tcW w:w="752" w:type="dxa"/>
            <w:shd w:val="clear" w:color="auto" w:fill="auto"/>
            <w:vAlign w:val="center"/>
          </w:tcPr>
          <w:p w14:paraId="159F781D" w14:textId="77777777" w:rsidR="00C51F8F" w:rsidRPr="005056E3" w:rsidRDefault="00C51F8F" w:rsidP="00DF510F">
            <w:pPr>
              <w:keepNext/>
              <w:keepLines/>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21CFB326" w14:textId="77777777" w:rsidR="00C51F8F" w:rsidRPr="00B83846" w:rsidRDefault="00C51F8F" w:rsidP="00DF510F">
            <w:pPr>
              <w:keepNext/>
              <w:keepLines/>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38187EA3" w14:textId="77777777" w:rsidR="00C51F8F" w:rsidRPr="005056E3" w:rsidRDefault="00C51F8F" w:rsidP="00DF510F">
            <w:pPr>
              <w:keepNext/>
              <w:keepLines/>
              <w:widowControl/>
              <w:tabs>
                <w:tab w:val="decimal" w:pos="397"/>
              </w:tabs>
              <w:rPr>
                <w:rFonts w:cs="Arial"/>
                <w:sz w:val="18"/>
                <w:szCs w:val="18"/>
                <w:lang w:eastAsia="en-GB" w:bidi="ar-SA"/>
              </w:rPr>
            </w:pPr>
            <w:r w:rsidRPr="005056E3">
              <w:rPr>
                <w:rFonts w:cs="Arial"/>
                <w:sz w:val="18"/>
                <w:szCs w:val="18"/>
              </w:rPr>
              <w:t>3</w:t>
            </w:r>
          </w:p>
        </w:tc>
        <w:tc>
          <w:tcPr>
            <w:tcW w:w="752" w:type="dxa"/>
            <w:shd w:val="clear" w:color="auto" w:fill="auto"/>
            <w:vAlign w:val="center"/>
          </w:tcPr>
          <w:p w14:paraId="1EBF1825" w14:textId="77777777" w:rsidR="00C51F8F" w:rsidRPr="005056E3" w:rsidRDefault="00C51F8F" w:rsidP="00DF510F">
            <w:pPr>
              <w:keepNext/>
              <w:keepLines/>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240E109F" w14:textId="77777777" w:rsidR="00C51F8F" w:rsidRPr="00B83846" w:rsidRDefault="00C51F8F" w:rsidP="00DF510F">
            <w:pPr>
              <w:keepNext/>
              <w:keepLines/>
              <w:widowControl/>
              <w:tabs>
                <w:tab w:val="decimal" w:pos="397"/>
              </w:tabs>
              <w:rPr>
                <w:rFonts w:cs="Arial"/>
                <w:color w:val="000000"/>
                <w:sz w:val="18"/>
                <w:szCs w:val="18"/>
              </w:rPr>
            </w:pPr>
            <w:r w:rsidRPr="005056E3">
              <w:rPr>
                <w:rFonts w:cs="Arial"/>
                <w:color w:val="000000"/>
                <w:sz w:val="18"/>
                <w:szCs w:val="18"/>
              </w:rPr>
              <w:t>&lt;1</w:t>
            </w:r>
          </w:p>
        </w:tc>
        <w:tc>
          <w:tcPr>
            <w:tcW w:w="753" w:type="dxa"/>
            <w:shd w:val="clear" w:color="auto" w:fill="D9D9D9" w:themeFill="background1" w:themeFillShade="D9"/>
            <w:vAlign w:val="center"/>
          </w:tcPr>
          <w:p w14:paraId="4AA05AAF" w14:textId="77777777" w:rsidR="00C51F8F" w:rsidRPr="005056E3" w:rsidRDefault="00C51F8F" w:rsidP="00DF510F">
            <w:pPr>
              <w:keepNext/>
              <w:keepLines/>
              <w:widowControl/>
              <w:tabs>
                <w:tab w:val="decimal" w:pos="397"/>
              </w:tabs>
              <w:rPr>
                <w:rFonts w:cs="Arial"/>
                <w:color w:val="000000"/>
                <w:sz w:val="18"/>
                <w:szCs w:val="18"/>
                <w:lang w:eastAsia="en-GB" w:bidi="ar-SA"/>
              </w:rPr>
            </w:pPr>
            <w:r w:rsidRPr="005056E3">
              <w:rPr>
                <w:rFonts w:cs="Arial"/>
                <w:color w:val="000000"/>
                <w:sz w:val="18"/>
                <w:szCs w:val="18"/>
              </w:rPr>
              <w:t>8</w:t>
            </w:r>
          </w:p>
        </w:tc>
      </w:tr>
      <w:tr w:rsidR="00C51F8F" w:rsidRPr="00B83846" w14:paraId="5FFB9DB9" w14:textId="77777777" w:rsidTr="00DF510F">
        <w:trPr>
          <w:cantSplit/>
        </w:trPr>
        <w:tc>
          <w:tcPr>
            <w:tcW w:w="1167" w:type="dxa"/>
            <w:shd w:val="clear" w:color="auto" w:fill="D9D9D9" w:themeFill="background1" w:themeFillShade="D9"/>
            <w:vAlign w:val="center"/>
            <w:hideMark/>
          </w:tcPr>
          <w:p w14:paraId="3555DD99"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14.1.3</w:t>
            </w:r>
          </w:p>
        </w:tc>
        <w:tc>
          <w:tcPr>
            <w:tcW w:w="236" w:type="dxa"/>
            <w:tcBorders>
              <w:right w:val="nil"/>
            </w:tcBorders>
            <w:shd w:val="clear" w:color="auto" w:fill="D9D9D9" w:themeFill="background1" w:themeFillShade="D9"/>
            <w:vAlign w:val="center"/>
          </w:tcPr>
          <w:p w14:paraId="3A230DA6" w14:textId="77777777" w:rsidR="00C51F8F" w:rsidRPr="00B83846" w:rsidRDefault="00C51F8F" w:rsidP="00DF510F">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6DCF75B0"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Soft drinks (excluding intensely sweetened)</w:t>
            </w:r>
          </w:p>
        </w:tc>
        <w:tc>
          <w:tcPr>
            <w:tcW w:w="752" w:type="dxa"/>
            <w:shd w:val="clear" w:color="auto" w:fill="auto"/>
            <w:vAlign w:val="center"/>
          </w:tcPr>
          <w:p w14:paraId="4AE2DFB7"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7CAD5634"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0</w:t>
            </w:r>
          </w:p>
        </w:tc>
        <w:tc>
          <w:tcPr>
            <w:tcW w:w="752" w:type="dxa"/>
            <w:shd w:val="clear" w:color="auto" w:fill="D9D9D9" w:themeFill="background1" w:themeFillShade="D9"/>
            <w:vAlign w:val="center"/>
          </w:tcPr>
          <w:p w14:paraId="20D10A38"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12</w:t>
            </w:r>
          </w:p>
        </w:tc>
        <w:tc>
          <w:tcPr>
            <w:tcW w:w="752" w:type="dxa"/>
            <w:shd w:val="clear" w:color="auto" w:fill="auto"/>
            <w:vAlign w:val="center"/>
          </w:tcPr>
          <w:p w14:paraId="0E81CD9B"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0</w:t>
            </w:r>
          </w:p>
        </w:tc>
        <w:tc>
          <w:tcPr>
            <w:tcW w:w="752" w:type="dxa"/>
            <w:vAlign w:val="center"/>
          </w:tcPr>
          <w:p w14:paraId="24B95CD2" w14:textId="77777777" w:rsidR="00C51F8F" w:rsidRPr="00B83846" w:rsidRDefault="00C51F8F" w:rsidP="00DF510F">
            <w:pPr>
              <w:widowControl/>
              <w:tabs>
                <w:tab w:val="decimal" w:pos="397"/>
              </w:tabs>
              <w:rPr>
                <w:rFonts w:cs="Arial"/>
                <w:sz w:val="18"/>
                <w:szCs w:val="18"/>
              </w:rPr>
            </w:pPr>
            <w:r w:rsidRPr="005056E3">
              <w:rPr>
                <w:rFonts w:cs="Arial"/>
                <w:sz w:val="18"/>
                <w:szCs w:val="18"/>
              </w:rPr>
              <w:t>0</w:t>
            </w:r>
          </w:p>
        </w:tc>
        <w:tc>
          <w:tcPr>
            <w:tcW w:w="752" w:type="dxa"/>
            <w:shd w:val="clear" w:color="auto" w:fill="D9D9D9" w:themeFill="background1" w:themeFillShade="D9"/>
            <w:vAlign w:val="center"/>
          </w:tcPr>
          <w:p w14:paraId="762AAFE4"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12</w:t>
            </w:r>
          </w:p>
        </w:tc>
        <w:tc>
          <w:tcPr>
            <w:tcW w:w="752" w:type="dxa"/>
            <w:shd w:val="clear" w:color="auto" w:fill="auto"/>
            <w:vAlign w:val="center"/>
          </w:tcPr>
          <w:p w14:paraId="5EAAA23B"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0</w:t>
            </w:r>
          </w:p>
        </w:tc>
        <w:tc>
          <w:tcPr>
            <w:tcW w:w="752" w:type="dxa"/>
            <w:vAlign w:val="center"/>
          </w:tcPr>
          <w:p w14:paraId="531E9A8F" w14:textId="77777777" w:rsidR="00C51F8F" w:rsidRPr="00B83846" w:rsidRDefault="00C51F8F" w:rsidP="00DF510F">
            <w:pPr>
              <w:widowControl/>
              <w:tabs>
                <w:tab w:val="decimal" w:pos="397"/>
              </w:tabs>
              <w:rPr>
                <w:rFonts w:cs="Arial"/>
                <w:sz w:val="18"/>
                <w:szCs w:val="18"/>
              </w:rPr>
            </w:pPr>
            <w:r w:rsidRPr="005056E3">
              <w:rPr>
                <w:rFonts w:cs="Arial"/>
                <w:sz w:val="18"/>
                <w:szCs w:val="18"/>
              </w:rPr>
              <w:t>0</w:t>
            </w:r>
          </w:p>
        </w:tc>
        <w:tc>
          <w:tcPr>
            <w:tcW w:w="752" w:type="dxa"/>
            <w:shd w:val="clear" w:color="auto" w:fill="D9D9D9" w:themeFill="background1" w:themeFillShade="D9"/>
            <w:vAlign w:val="center"/>
          </w:tcPr>
          <w:p w14:paraId="581C33B8"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11</w:t>
            </w:r>
          </w:p>
        </w:tc>
        <w:tc>
          <w:tcPr>
            <w:tcW w:w="752" w:type="dxa"/>
            <w:shd w:val="clear" w:color="auto" w:fill="auto"/>
            <w:vAlign w:val="center"/>
          </w:tcPr>
          <w:p w14:paraId="4CF8F688"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06168D56"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D9D9D9" w:themeFill="background1" w:themeFillShade="D9"/>
            <w:vAlign w:val="center"/>
          </w:tcPr>
          <w:p w14:paraId="2A38CC1F"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17</w:t>
            </w:r>
          </w:p>
        </w:tc>
      </w:tr>
      <w:tr w:rsidR="00C51F8F" w:rsidRPr="00B83846" w14:paraId="6364B58E" w14:textId="77777777" w:rsidTr="00DF510F">
        <w:trPr>
          <w:cantSplit/>
        </w:trPr>
        <w:tc>
          <w:tcPr>
            <w:tcW w:w="1167" w:type="dxa"/>
            <w:shd w:val="clear" w:color="auto" w:fill="D9D9D9" w:themeFill="background1" w:themeFillShade="D9"/>
            <w:vAlign w:val="center"/>
            <w:hideMark/>
          </w:tcPr>
          <w:p w14:paraId="6C1CA15E"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14.1.7</w:t>
            </w:r>
          </w:p>
        </w:tc>
        <w:tc>
          <w:tcPr>
            <w:tcW w:w="236" w:type="dxa"/>
            <w:tcBorders>
              <w:right w:val="nil"/>
            </w:tcBorders>
            <w:shd w:val="clear" w:color="auto" w:fill="D9D9D9" w:themeFill="background1" w:themeFillShade="D9"/>
            <w:vAlign w:val="center"/>
          </w:tcPr>
          <w:p w14:paraId="21677921" w14:textId="77777777" w:rsidR="00C51F8F" w:rsidRPr="00B83846" w:rsidRDefault="00C51F8F" w:rsidP="00DF510F">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199EA2B5"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Soy beverage</w:t>
            </w:r>
          </w:p>
        </w:tc>
        <w:tc>
          <w:tcPr>
            <w:tcW w:w="752" w:type="dxa"/>
            <w:shd w:val="clear" w:color="auto" w:fill="auto"/>
            <w:vAlign w:val="center"/>
          </w:tcPr>
          <w:p w14:paraId="75D4CAAC"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7F702F47"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0DD2AE4F"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3</w:t>
            </w:r>
          </w:p>
        </w:tc>
        <w:tc>
          <w:tcPr>
            <w:tcW w:w="752" w:type="dxa"/>
            <w:shd w:val="clear" w:color="auto" w:fill="auto"/>
            <w:vAlign w:val="center"/>
          </w:tcPr>
          <w:p w14:paraId="6675B562"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4CBC62A4" w14:textId="77777777" w:rsidR="00C51F8F" w:rsidRPr="00B83846" w:rsidRDefault="00C51F8F" w:rsidP="00DF510F">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722118F3"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1</w:t>
            </w:r>
          </w:p>
        </w:tc>
        <w:tc>
          <w:tcPr>
            <w:tcW w:w="752" w:type="dxa"/>
            <w:shd w:val="clear" w:color="auto" w:fill="auto"/>
            <w:vAlign w:val="center"/>
          </w:tcPr>
          <w:p w14:paraId="7AC70747"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406F294D" w14:textId="77777777" w:rsidR="00C51F8F" w:rsidRPr="00B83846" w:rsidRDefault="00C51F8F" w:rsidP="00DF510F">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03904837"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1</w:t>
            </w:r>
          </w:p>
        </w:tc>
        <w:tc>
          <w:tcPr>
            <w:tcW w:w="752" w:type="dxa"/>
            <w:shd w:val="clear" w:color="auto" w:fill="auto"/>
            <w:vAlign w:val="center"/>
          </w:tcPr>
          <w:p w14:paraId="512F2645"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18DBF910"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&lt;1</w:t>
            </w:r>
          </w:p>
        </w:tc>
        <w:tc>
          <w:tcPr>
            <w:tcW w:w="753" w:type="dxa"/>
            <w:shd w:val="clear" w:color="auto" w:fill="D9D9D9" w:themeFill="background1" w:themeFillShade="D9"/>
            <w:vAlign w:val="center"/>
          </w:tcPr>
          <w:p w14:paraId="49EEA60A"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6</w:t>
            </w:r>
          </w:p>
        </w:tc>
      </w:tr>
      <w:tr w:rsidR="00C51F8F" w:rsidRPr="007B7018" w14:paraId="399EA452" w14:textId="77777777" w:rsidTr="00DF510F">
        <w:trPr>
          <w:cantSplit/>
        </w:trPr>
        <w:tc>
          <w:tcPr>
            <w:tcW w:w="1167" w:type="dxa"/>
            <w:shd w:val="clear" w:color="auto" w:fill="D9D9D9" w:themeFill="background1" w:themeFillShade="D9"/>
            <w:vAlign w:val="center"/>
            <w:hideMark/>
          </w:tcPr>
          <w:p w14:paraId="3274A575" w14:textId="77777777" w:rsidR="00C51F8F" w:rsidRPr="007B7018" w:rsidRDefault="00C51F8F" w:rsidP="00DF510F">
            <w:pPr>
              <w:rPr>
                <w:rFonts w:cs="Arial"/>
                <w:bCs/>
                <w:color w:val="000000"/>
                <w:sz w:val="18"/>
                <w:szCs w:val="18"/>
                <w:lang w:eastAsia="en-GB" w:bidi="ar-SA"/>
              </w:rPr>
            </w:pPr>
            <w:r w:rsidRPr="007B7018">
              <w:rPr>
                <w:rFonts w:cs="Arial"/>
                <w:bCs/>
                <w:color w:val="000000"/>
                <w:sz w:val="18"/>
                <w:szCs w:val="18"/>
                <w:lang w:eastAsia="en-GB" w:bidi="ar-SA"/>
              </w:rPr>
              <w:t>20</w:t>
            </w:r>
          </w:p>
        </w:tc>
        <w:tc>
          <w:tcPr>
            <w:tcW w:w="3951" w:type="dxa"/>
            <w:gridSpan w:val="3"/>
            <w:tcBorders>
              <w:bottom w:val="single" w:sz="4" w:space="0" w:color="auto"/>
            </w:tcBorders>
            <w:shd w:val="clear" w:color="auto" w:fill="D9D9D9" w:themeFill="background1" w:themeFillShade="D9"/>
            <w:vAlign w:val="center"/>
          </w:tcPr>
          <w:p w14:paraId="3FFC482E" w14:textId="77777777" w:rsidR="00C51F8F" w:rsidRPr="007B7018" w:rsidRDefault="00C51F8F" w:rsidP="00DF510F">
            <w:pPr>
              <w:keepNext/>
              <w:keepLines/>
              <w:widowControl/>
              <w:rPr>
                <w:rFonts w:cs="Arial"/>
                <w:bCs/>
                <w:color w:val="000000"/>
                <w:sz w:val="18"/>
                <w:szCs w:val="18"/>
                <w:lang w:eastAsia="en-GB" w:bidi="ar-SA"/>
              </w:rPr>
            </w:pPr>
            <w:r w:rsidRPr="007B7018">
              <w:rPr>
                <w:rFonts w:cs="Arial"/>
                <w:bCs/>
                <w:color w:val="000000"/>
                <w:sz w:val="18"/>
                <w:szCs w:val="18"/>
                <w:lang w:eastAsia="en-GB" w:bidi="ar-SA"/>
              </w:rPr>
              <w:t>All Mixed Foods Commercial</w:t>
            </w:r>
          </w:p>
        </w:tc>
        <w:tc>
          <w:tcPr>
            <w:tcW w:w="752" w:type="dxa"/>
            <w:shd w:val="clear" w:color="auto" w:fill="auto"/>
            <w:vAlign w:val="center"/>
          </w:tcPr>
          <w:p w14:paraId="4C69DBE9" w14:textId="77777777" w:rsidR="00C51F8F" w:rsidRPr="007B7018" w:rsidRDefault="00C51F8F" w:rsidP="00DF510F">
            <w:pPr>
              <w:keepNext/>
              <w:keepLines/>
              <w:widowControl/>
              <w:tabs>
                <w:tab w:val="decimal" w:pos="397"/>
              </w:tabs>
              <w:rPr>
                <w:rFonts w:cs="Arial"/>
                <w:bCs/>
                <w:color w:val="000000"/>
                <w:sz w:val="18"/>
                <w:szCs w:val="18"/>
                <w:lang w:eastAsia="en-GB" w:bidi="ar-SA"/>
              </w:rPr>
            </w:pPr>
          </w:p>
        </w:tc>
        <w:tc>
          <w:tcPr>
            <w:tcW w:w="752" w:type="dxa"/>
          </w:tcPr>
          <w:p w14:paraId="14265343" w14:textId="77777777" w:rsidR="00C51F8F" w:rsidRPr="007B7018" w:rsidRDefault="00C51F8F" w:rsidP="00DF510F">
            <w:pPr>
              <w:keepNext/>
              <w:keepLines/>
              <w:widowControl/>
              <w:tabs>
                <w:tab w:val="decimal" w:pos="397"/>
              </w:tabs>
              <w:rPr>
                <w:rFonts w:cs="Arial"/>
                <w:bCs/>
                <w:color w:val="000000"/>
                <w:sz w:val="18"/>
                <w:szCs w:val="18"/>
              </w:rPr>
            </w:pPr>
          </w:p>
        </w:tc>
        <w:tc>
          <w:tcPr>
            <w:tcW w:w="752" w:type="dxa"/>
            <w:shd w:val="clear" w:color="auto" w:fill="D9D9D9" w:themeFill="background1" w:themeFillShade="D9"/>
            <w:vAlign w:val="center"/>
          </w:tcPr>
          <w:p w14:paraId="1D54EE1C" w14:textId="77777777" w:rsidR="00C51F8F" w:rsidRPr="007B7018" w:rsidRDefault="00C51F8F" w:rsidP="00DF510F">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24</w:t>
            </w:r>
          </w:p>
        </w:tc>
        <w:tc>
          <w:tcPr>
            <w:tcW w:w="752" w:type="dxa"/>
            <w:shd w:val="clear" w:color="auto" w:fill="auto"/>
            <w:vAlign w:val="center"/>
          </w:tcPr>
          <w:p w14:paraId="5E3F678F" w14:textId="77777777" w:rsidR="00C51F8F" w:rsidRPr="007B7018" w:rsidRDefault="00C51F8F" w:rsidP="00DF510F">
            <w:pPr>
              <w:keepNext/>
              <w:keepLines/>
              <w:widowControl/>
              <w:tabs>
                <w:tab w:val="decimal" w:pos="397"/>
              </w:tabs>
              <w:rPr>
                <w:rFonts w:cs="Arial"/>
                <w:bCs/>
                <w:color w:val="000000"/>
                <w:sz w:val="18"/>
                <w:szCs w:val="18"/>
                <w:lang w:eastAsia="en-GB" w:bidi="ar-SA"/>
              </w:rPr>
            </w:pPr>
          </w:p>
        </w:tc>
        <w:tc>
          <w:tcPr>
            <w:tcW w:w="752" w:type="dxa"/>
          </w:tcPr>
          <w:p w14:paraId="4174CC6A" w14:textId="77777777" w:rsidR="00C51F8F" w:rsidRPr="007B7018" w:rsidRDefault="00C51F8F" w:rsidP="00DF510F">
            <w:pPr>
              <w:keepNext/>
              <w:keepLines/>
              <w:widowControl/>
              <w:tabs>
                <w:tab w:val="decimal" w:pos="397"/>
              </w:tabs>
              <w:rPr>
                <w:rFonts w:cs="Arial"/>
                <w:bCs/>
                <w:color w:val="000000"/>
                <w:sz w:val="18"/>
                <w:szCs w:val="18"/>
              </w:rPr>
            </w:pPr>
          </w:p>
        </w:tc>
        <w:tc>
          <w:tcPr>
            <w:tcW w:w="752" w:type="dxa"/>
            <w:shd w:val="clear" w:color="auto" w:fill="D9D9D9" w:themeFill="background1" w:themeFillShade="D9"/>
            <w:vAlign w:val="center"/>
          </w:tcPr>
          <w:p w14:paraId="38D2D4D3" w14:textId="77777777" w:rsidR="00C51F8F" w:rsidRPr="007B7018" w:rsidRDefault="00C51F8F" w:rsidP="00DF510F">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10</w:t>
            </w:r>
          </w:p>
        </w:tc>
        <w:tc>
          <w:tcPr>
            <w:tcW w:w="752" w:type="dxa"/>
            <w:shd w:val="clear" w:color="auto" w:fill="auto"/>
            <w:vAlign w:val="center"/>
          </w:tcPr>
          <w:p w14:paraId="0B3B8616" w14:textId="77777777" w:rsidR="00C51F8F" w:rsidRPr="007B7018" w:rsidRDefault="00C51F8F" w:rsidP="00DF510F">
            <w:pPr>
              <w:keepNext/>
              <w:keepLines/>
              <w:widowControl/>
              <w:tabs>
                <w:tab w:val="decimal" w:pos="397"/>
              </w:tabs>
              <w:rPr>
                <w:rFonts w:cs="Arial"/>
                <w:bCs/>
                <w:color w:val="000000"/>
                <w:sz w:val="18"/>
                <w:szCs w:val="18"/>
                <w:lang w:eastAsia="en-GB" w:bidi="ar-SA"/>
              </w:rPr>
            </w:pPr>
          </w:p>
        </w:tc>
        <w:tc>
          <w:tcPr>
            <w:tcW w:w="752" w:type="dxa"/>
          </w:tcPr>
          <w:p w14:paraId="0593AEE5" w14:textId="77777777" w:rsidR="00C51F8F" w:rsidRPr="007B7018" w:rsidRDefault="00C51F8F" w:rsidP="00DF510F">
            <w:pPr>
              <w:keepNext/>
              <w:keepLines/>
              <w:widowControl/>
              <w:tabs>
                <w:tab w:val="decimal" w:pos="397"/>
              </w:tabs>
              <w:rPr>
                <w:rFonts w:cs="Arial"/>
                <w:bCs/>
                <w:color w:val="000000"/>
                <w:sz w:val="18"/>
                <w:szCs w:val="18"/>
              </w:rPr>
            </w:pPr>
          </w:p>
        </w:tc>
        <w:tc>
          <w:tcPr>
            <w:tcW w:w="752" w:type="dxa"/>
            <w:shd w:val="clear" w:color="auto" w:fill="D9D9D9" w:themeFill="background1" w:themeFillShade="D9"/>
            <w:vAlign w:val="center"/>
          </w:tcPr>
          <w:p w14:paraId="0DA943D0" w14:textId="77777777" w:rsidR="00C51F8F" w:rsidRPr="007B7018" w:rsidRDefault="00C51F8F" w:rsidP="00DF510F">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7</w:t>
            </w:r>
          </w:p>
        </w:tc>
        <w:tc>
          <w:tcPr>
            <w:tcW w:w="752" w:type="dxa"/>
            <w:shd w:val="clear" w:color="auto" w:fill="auto"/>
            <w:vAlign w:val="center"/>
          </w:tcPr>
          <w:p w14:paraId="319B3404" w14:textId="77777777" w:rsidR="00C51F8F" w:rsidRPr="007B7018" w:rsidRDefault="00C51F8F" w:rsidP="00DF510F">
            <w:pPr>
              <w:keepNext/>
              <w:keepLines/>
              <w:widowControl/>
              <w:tabs>
                <w:tab w:val="decimal" w:pos="397"/>
              </w:tabs>
              <w:rPr>
                <w:rFonts w:cs="Arial"/>
                <w:bCs/>
                <w:color w:val="000000"/>
                <w:sz w:val="18"/>
                <w:szCs w:val="18"/>
                <w:lang w:eastAsia="en-GB" w:bidi="ar-SA"/>
              </w:rPr>
            </w:pPr>
          </w:p>
        </w:tc>
        <w:tc>
          <w:tcPr>
            <w:tcW w:w="752" w:type="dxa"/>
          </w:tcPr>
          <w:p w14:paraId="2A2752CC" w14:textId="77777777" w:rsidR="00C51F8F" w:rsidRPr="007B7018" w:rsidRDefault="00C51F8F" w:rsidP="00DF510F">
            <w:pPr>
              <w:keepNext/>
              <w:keepLines/>
              <w:widowControl/>
              <w:tabs>
                <w:tab w:val="decimal" w:pos="397"/>
              </w:tabs>
              <w:rPr>
                <w:rFonts w:cs="Arial"/>
                <w:bCs/>
                <w:color w:val="000000"/>
                <w:sz w:val="18"/>
                <w:szCs w:val="18"/>
              </w:rPr>
            </w:pPr>
          </w:p>
        </w:tc>
        <w:tc>
          <w:tcPr>
            <w:tcW w:w="753" w:type="dxa"/>
            <w:shd w:val="clear" w:color="auto" w:fill="D9D9D9" w:themeFill="background1" w:themeFillShade="D9"/>
            <w:vAlign w:val="center"/>
          </w:tcPr>
          <w:p w14:paraId="41A031AD" w14:textId="77777777" w:rsidR="00C51F8F" w:rsidRPr="007B7018" w:rsidRDefault="00C51F8F" w:rsidP="00DF510F">
            <w:pPr>
              <w:keepNext/>
              <w:keepLines/>
              <w:widowControl/>
              <w:tabs>
                <w:tab w:val="decimal" w:pos="397"/>
              </w:tabs>
              <w:rPr>
                <w:rFonts w:cs="Arial"/>
                <w:bCs/>
                <w:color w:val="000000"/>
                <w:sz w:val="18"/>
                <w:szCs w:val="18"/>
                <w:lang w:eastAsia="en-GB" w:bidi="ar-SA"/>
              </w:rPr>
            </w:pPr>
            <w:r w:rsidRPr="007B7018">
              <w:rPr>
                <w:rFonts w:cs="Arial"/>
                <w:bCs/>
                <w:color w:val="000000"/>
                <w:sz w:val="18"/>
                <w:szCs w:val="18"/>
              </w:rPr>
              <w:t>31</w:t>
            </w:r>
          </w:p>
        </w:tc>
      </w:tr>
      <w:tr w:rsidR="00C51F8F" w:rsidRPr="00B83846" w14:paraId="06D096FA" w14:textId="77777777" w:rsidTr="00DF510F">
        <w:trPr>
          <w:cantSplit/>
        </w:trPr>
        <w:tc>
          <w:tcPr>
            <w:tcW w:w="1167" w:type="dxa"/>
            <w:tcBorders>
              <w:bottom w:val="single" w:sz="4" w:space="0" w:color="auto"/>
            </w:tcBorders>
            <w:shd w:val="clear" w:color="auto" w:fill="D9D9D9" w:themeFill="background1" w:themeFillShade="D9"/>
            <w:vAlign w:val="center"/>
          </w:tcPr>
          <w:p w14:paraId="6E7BA3D8"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rPr>
              <w:t>20.3.1</w:t>
            </w:r>
          </w:p>
        </w:tc>
        <w:tc>
          <w:tcPr>
            <w:tcW w:w="236" w:type="dxa"/>
            <w:tcBorders>
              <w:bottom w:val="single" w:sz="4" w:space="0" w:color="auto"/>
              <w:right w:val="nil"/>
            </w:tcBorders>
            <w:shd w:val="clear" w:color="auto" w:fill="D9D9D9" w:themeFill="background1" w:themeFillShade="D9"/>
            <w:vAlign w:val="center"/>
          </w:tcPr>
          <w:p w14:paraId="184979CD" w14:textId="77777777" w:rsidR="00C51F8F" w:rsidRPr="00B83846" w:rsidRDefault="00C51F8F" w:rsidP="00DF510F">
            <w:pPr>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D9D9D9" w:themeFill="background1" w:themeFillShade="D9"/>
            <w:vAlign w:val="center"/>
          </w:tcPr>
          <w:p w14:paraId="55D26957"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rPr>
              <w:t>Ready-to-eat muesli</w:t>
            </w:r>
          </w:p>
        </w:tc>
        <w:tc>
          <w:tcPr>
            <w:tcW w:w="752" w:type="dxa"/>
            <w:shd w:val="clear" w:color="auto" w:fill="auto"/>
            <w:vAlign w:val="center"/>
          </w:tcPr>
          <w:p w14:paraId="04200D78" w14:textId="77777777" w:rsidR="00C51F8F" w:rsidRPr="00B83846" w:rsidRDefault="00C51F8F" w:rsidP="00DF510F">
            <w:pPr>
              <w:widowControl/>
              <w:tabs>
                <w:tab w:val="decimal" w:pos="397"/>
              </w:tabs>
              <w:rPr>
                <w:rFonts w:cs="Arial"/>
                <w:color w:val="000000"/>
                <w:sz w:val="18"/>
                <w:szCs w:val="18"/>
                <w:lang w:eastAsia="en-GB" w:bidi="ar-SA"/>
              </w:rPr>
            </w:pPr>
          </w:p>
        </w:tc>
        <w:tc>
          <w:tcPr>
            <w:tcW w:w="752" w:type="dxa"/>
          </w:tcPr>
          <w:p w14:paraId="5CB1666B" w14:textId="77777777" w:rsidR="00C51F8F" w:rsidRPr="00B83846" w:rsidRDefault="00C51F8F" w:rsidP="00DF510F">
            <w:pPr>
              <w:widowControl/>
              <w:tabs>
                <w:tab w:val="decimal" w:pos="397"/>
              </w:tabs>
              <w:rPr>
                <w:rFonts w:cs="Arial"/>
                <w:color w:val="000000"/>
                <w:sz w:val="18"/>
                <w:szCs w:val="18"/>
              </w:rPr>
            </w:pPr>
          </w:p>
        </w:tc>
        <w:tc>
          <w:tcPr>
            <w:tcW w:w="752" w:type="dxa"/>
            <w:shd w:val="clear" w:color="auto" w:fill="D9D9D9" w:themeFill="background1" w:themeFillShade="D9"/>
            <w:vAlign w:val="center"/>
          </w:tcPr>
          <w:p w14:paraId="1CB30F0F" w14:textId="77777777" w:rsidR="00C51F8F" w:rsidRPr="00B83846" w:rsidRDefault="00C51F8F" w:rsidP="00DF510F">
            <w:pPr>
              <w:widowControl/>
              <w:tabs>
                <w:tab w:val="decimal" w:pos="397"/>
              </w:tabs>
              <w:rPr>
                <w:rFonts w:cs="Arial"/>
                <w:color w:val="000000"/>
                <w:sz w:val="18"/>
                <w:szCs w:val="18"/>
                <w:lang w:eastAsia="en-GB" w:bidi="ar-SA"/>
              </w:rPr>
            </w:pPr>
            <w:r w:rsidRPr="00B83846">
              <w:rPr>
                <w:rFonts w:cs="Arial"/>
                <w:color w:val="000000"/>
                <w:sz w:val="18"/>
                <w:szCs w:val="18"/>
              </w:rPr>
              <w:t>18</w:t>
            </w:r>
          </w:p>
        </w:tc>
        <w:tc>
          <w:tcPr>
            <w:tcW w:w="752" w:type="dxa"/>
            <w:shd w:val="clear" w:color="auto" w:fill="auto"/>
            <w:vAlign w:val="center"/>
          </w:tcPr>
          <w:p w14:paraId="1C55736A" w14:textId="77777777" w:rsidR="00C51F8F" w:rsidRPr="00B83846" w:rsidRDefault="00C51F8F" w:rsidP="00DF510F">
            <w:pPr>
              <w:widowControl/>
              <w:tabs>
                <w:tab w:val="decimal" w:pos="397"/>
              </w:tabs>
              <w:rPr>
                <w:rFonts w:cs="Arial"/>
                <w:sz w:val="18"/>
                <w:szCs w:val="18"/>
                <w:lang w:eastAsia="en-GB" w:bidi="ar-SA"/>
              </w:rPr>
            </w:pPr>
          </w:p>
        </w:tc>
        <w:tc>
          <w:tcPr>
            <w:tcW w:w="752" w:type="dxa"/>
          </w:tcPr>
          <w:p w14:paraId="15396F7E" w14:textId="77777777" w:rsidR="00C51F8F" w:rsidRPr="00B83846" w:rsidRDefault="00C51F8F" w:rsidP="00DF510F">
            <w:pPr>
              <w:widowControl/>
              <w:tabs>
                <w:tab w:val="decimal" w:pos="397"/>
              </w:tabs>
              <w:rPr>
                <w:rFonts w:cs="Arial"/>
                <w:sz w:val="18"/>
                <w:szCs w:val="18"/>
              </w:rPr>
            </w:pPr>
          </w:p>
        </w:tc>
        <w:tc>
          <w:tcPr>
            <w:tcW w:w="752" w:type="dxa"/>
            <w:shd w:val="clear" w:color="auto" w:fill="D9D9D9" w:themeFill="background1" w:themeFillShade="D9"/>
            <w:vAlign w:val="center"/>
          </w:tcPr>
          <w:p w14:paraId="57770146" w14:textId="77777777" w:rsidR="00C51F8F" w:rsidRPr="00B83846" w:rsidRDefault="00C51F8F" w:rsidP="00DF510F">
            <w:pPr>
              <w:widowControl/>
              <w:tabs>
                <w:tab w:val="decimal" w:pos="397"/>
              </w:tabs>
              <w:rPr>
                <w:rFonts w:cs="Arial"/>
                <w:sz w:val="18"/>
                <w:szCs w:val="18"/>
                <w:lang w:eastAsia="en-GB" w:bidi="ar-SA"/>
              </w:rPr>
            </w:pPr>
            <w:r w:rsidRPr="005056E3">
              <w:rPr>
                <w:rFonts w:cs="Arial"/>
                <w:sz w:val="18"/>
                <w:szCs w:val="18"/>
              </w:rPr>
              <w:t>5</w:t>
            </w:r>
          </w:p>
        </w:tc>
        <w:tc>
          <w:tcPr>
            <w:tcW w:w="752" w:type="dxa"/>
            <w:shd w:val="clear" w:color="auto" w:fill="auto"/>
            <w:vAlign w:val="center"/>
          </w:tcPr>
          <w:p w14:paraId="0B78C5BB" w14:textId="77777777" w:rsidR="00C51F8F" w:rsidRPr="00B83846" w:rsidRDefault="00C51F8F" w:rsidP="00DF510F">
            <w:pPr>
              <w:widowControl/>
              <w:tabs>
                <w:tab w:val="decimal" w:pos="397"/>
              </w:tabs>
              <w:rPr>
                <w:rFonts w:cs="Arial"/>
                <w:sz w:val="18"/>
                <w:szCs w:val="18"/>
                <w:lang w:eastAsia="en-GB" w:bidi="ar-SA"/>
              </w:rPr>
            </w:pPr>
          </w:p>
        </w:tc>
        <w:tc>
          <w:tcPr>
            <w:tcW w:w="752" w:type="dxa"/>
          </w:tcPr>
          <w:p w14:paraId="33464E9B" w14:textId="77777777" w:rsidR="00C51F8F" w:rsidRPr="00B83846" w:rsidRDefault="00C51F8F" w:rsidP="00DF510F">
            <w:pPr>
              <w:widowControl/>
              <w:tabs>
                <w:tab w:val="decimal" w:pos="397"/>
              </w:tabs>
              <w:rPr>
                <w:rFonts w:cs="Arial"/>
                <w:sz w:val="18"/>
                <w:szCs w:val="18"/>
              </w:rPr>
            </w:pPr>
          </w:p>
        </w:tc>
        <w:tc>
          <w:tcPr>
            <w:tcW w:w="752" w:type="dxa"/>
            <w:shd w:val="clear" w:color="auto" w:fill="auto"/>
            <w:vAlign w:val="center"/>
          </w:tcPr>
          <w:p w14:paraId="2B426893" w14:textId="77777777" w:rsidR="00C51F8F" w:rsidRPr="00B83846" w:rsidRDefault="00C51F8F" w:rsidP="00DF510F">
            <w:pPr>
              <w:widowControl/>
              <w:tabs>
                <w:tab w:val="decimal" w:pos="397"/>
              </w:tabs>
              <w:rPr>
                <w:rFonts w:cs="Arial"/>
                <w:sz w:val="18"/>
                <w:szCs w:val="18"/>
                <w:lang w:eastAsia="en-GB" w:bidi="ar-SA"/>
              </w:rPr>
            </w:pPr>
            <w:r w:rsidRPr="005056E3">
              <w:rPr>
                <w:rFonts w:cs="Arial"/>
                <w:sz w:val="18"/>
                <w:szCs w:val="18"/>
              </w:rPr>
              <w:t>4</w:t>
            </w:r>
          </w:p>
        </w:tc>
        <w:tc>
          <w:tcPr>
            <w:tcW w:w="752" w:type="dxa"/>
            <w:shd w:val="clear" w:color="auto" w:fill="auto"/>
            <w:vAlign w:val="center"/>
          </w:tcPr>
          <w:p w14:paraId="2DB2A832" w14:textId="77777777" w:rsidR="00C51F8F" w:rsidRPr="00B83846" w:rsidRDefault="00C51F8F" w:rsidP="00DF510F">
            <w:pPr>
              <w:widowControl/>
              <w:tabs>
                <w:tab w:val="decimal" w:pos="397"/>
              </w:tabs>
              <w:rPr>
                <w:rFonts w:cs="Arial"/>
                <w:color w:val="000000"/>
                <w:sz w:val="18"/>
                <w:szCs w:val="18"/>
                <w:lang w:eastAsia="en-GB" w:bidi="ar-SA"/>
              </w:rPr>
            </w:pPr>
          </w:p>
        </w:tc>
        <w:tc>
          <w:tcPr>
            <w:tcW w:w="752" w:type="dxa"/>
          </w:tcPr>
          <w:p w14:paraId="39EB4302" w14:textId="77777777" w:rsidR="00C51F8F" w:rsidRPr="00B83846" w:rsidRDefault="00C51F8F" w:rsidP="00DF510F">
            <w:pPr>
              <w:widowControl/>
              <w:tabs>
                <w:tab w:val="decimal" w:pos="397"/>
              </w:tabs>
              <w:rPr>
                <w:rFonts w:cs="Arial"/>
                <w:color w:val="000000"/>
                <w:sz w:val="18"/>
                <w:szCs w:val="18"/>
              </w:rPr>
            </w:pPr>
          </w:p>
        </w:tc>
        <w:tc>
          <w:tcPr>
            <w:tcW w:w="753" w:type="dxa"/>
            <w:shd w:val="clear" w:color="auto" w:fill="D9D9D9" w:themeFill="background1" w:themeFillShade="D9"/>
            <w:vAlign w:val="center"/>
          </w:tcPr>
          <w:p w14:paraId="11766A16" w14:textId="77777777" w:rsidR="00C51F8F" w:rsidRPr="00B83846" w:rsidRDefault="00C51F8F" w:rsidP="00DF510F">
            <w:pPr>
              <w:widowControl/>
              <w:tabs>
                <w:tab w:val="decimal" w:pos="397"/>
              </w:tabs>
              <w:rPr>
                <w:rFonts w:cs="Arial"/>
                <w:color w:val="000000"/>
                <w:sz w:val="18"/>
                <w:szCs w:val="18"/>
                <w:lang w:eastAsia="en-GB" w:bidi="ar-SA"/>
              </w:rPr>
            </w:pPr>
            <w:r w:rsidRPr="00B83846">
              <w:rPr>
                <w:rFonts w:cs="Arial"/>
                <w:color w:val="000000"/>
                <w:sz w:val="18"/>
                <w:szCs w:val="18"/>
              </w:rPr>
              <w:t>2</w:t>
            </w:r>
            <w:r w:rsidRPr="005056E3">
              <w:rPr>
                <w:rFonts w:cs="Arial"/>
                <w:color w:val="000000"/>
                <w:sz w:val="18"/>
                <w:szCs w:val="18"/>
              </w:rPr>
              <w:t>0</w:t>
            </w:r>
          </w:p>
        </w:tc>
      </w:tr>
      <w:tr w:rsidR="00C51F8F" w:rsidRPr="00B83846" w14:paraId="533A5C01" w14:textId="77777777" w:rsidTr="00DF510F">
        <w:trPr>
          <w:cantSplit/>
        </w:trPr>
        <w:tc>
          <w:tcPr>
            <w:tcW w:w="1167" w:type="dxa"/>
            <w:shd w:val="clear" w:color="auto" w:fill="D9D9D9" w:themeFill="background1" w:themeFillShade="D9"/>
            <w:vAlign w:val="center"/>
            <w:hideMark/>
          </w:tcPr>
          <w:p w14:paraId="64BDDDD1"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20.2.2.3</w:t>
            </w:r>
          </w:p>
        </w:tc>
        <w:tc>
          <w:tcPr>
            <w:tcW w:w="236" w:type="dxa"/>
            <w:tcBorders>
              <w:right w:val="nil"/>
            </w:tcBorders>
            <w:shd w:val="clear" w:color="auto" w:fill="D9D9D9" w:themeFill="background1" w:themeFillShade="D9"/>
            <w:vAlign w:val="center"/>
          </w:tcPr>
          <w:p w14:paraId="62F37AE8" w14:textId="77777777" w:rsidR="00C51F8F" w:rsidRPr="00B83846" w:rsidRDefault="00C51F8F" w:rsidP="00DF510F">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31BF0A45"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Cereal products, bars</w:t>
            </w:r>
          </w:p>
        </w:tc>
        <w:tc>
          <w:tcPr>
            <w:tcW w:w="752" w:type="dxa"/>
            <w:shd w:val="clear" w:color="auto" w:fill="auto"/>
            <w:vAlign w:val="center"/>
          </w:tcPr>
          <w:p w14:paraId="08F9D9CD" w14:textId="77777777" w:rsidR="00C51F8F" w:rsidRPr="00B83846" w:rsidRDefault="00C51F8F" w:rsidP="00DF510F">
            <w:pPr>
              <w:widowControl/>
              <w:tabs>
                <w:tab w:val="decimal" w:pos="397"/>
              </w:tabs>
              <w:rPr>
                <w:rFonts w:cs="Arial"/>
                <w:color w:val="000000"/>
                <w:sz w:val="18"/>
                <w:szCs w:val="18"/>
                <w:lang w:eastAsia="en-GB" w:bidi="ar-SA"/>
              </w:rPr>
            </w:pPr>
          </w:p>
        </w:tc>
        <w:tc>
          <w:tcPr>
            <w:tcW w:w="752" w:type="dxa"/>
          </w:tcPr>
          <w:p w14:paraId="7425540D" w14:textId="77777777" w:rsidR="00C51F8F" w:rsidRPr="00B83846" w:rsidRDefault="00C51F8F" w:rsidP="00DF510F">
            <w:pPr>
              <w:widowControl/>
              <w:tabs>
                <w:tab w:val="decimal" w:pos="397"/>
              </w:tabs>
              <w:rPr>
                <w:rFonts w:cs="Arial"/>
                <w:color w:val="000000"/>
                <w:sz w:val="18"/>
                <w:szCs w:val="18"/>
              </w:rPr>
            </w:pPr>
          </w:p>
        </w:tc>
        <w:tc>
          <w:tcPr>
            <w:tcW w:w="752" w:type="dxa"/>
            <w:shd w:val="clear" w:color="auto" w:fill="auto"/>
            <w:vAlign w:val="center"/>
          </w:tcPr>
          <w:p w14:paraId="57167AF8" w14:textId="77777777" w:rsidR="00C51F8F" w:rsidRPr="00B83846" w:rsidRDefault="00C51F8F" w:rsidP="00DF510F">
            <w:pPr>
              <w:widowControl/>
              <w:tabs>
                <w:tab w:val="decimal" w:pos="397"/>
              </w:tabs>
              <w:rPr>
                <w:rFonts w:cs="Arial"/>
                <w:color w:val="000000"/>
                <w:sz w:val="18"/>
                <w:szCs w:val="18"/>
                <w:lang w:eastAsia="en-GB" w:bidi="ar-SA"/>
              </w:rPr>
            </w:pPr>
            <w:r w:rsidRPr="00B83846">
              <w:rPr>
                <w:rFonts w:cs="Arial"/>
                <w:color w:val="000000"/>
                <w:sz w:val="18"/>
                <w:szCs w:val="18"/>
              </w:rPr>
              <w:t>1</w:t>
            </w:r>
          </w:p>
        </w:tc>
        <w:tc>
          <w:tcPr>
            <w:tcW w:w="752" w:type="dxa"/>
            <w:shd w:val="clear" w:color="auto" w:fill="auto"/>
            <w:vAlign w:val="center"/>
          </w:tcPr>
          <w:p w14:paraId="14786CDD" w14:textId="77777777" w:rsidR="00C51F8F" w:rsidRPr="00B83846" w:rsidRDefault="00C51F8F" w:rsidP="00DF510F">
            <w:pPr>
              <w:widowControl/>
              <w:tabs>
                <w:tab w:val="decimal" w:pos="397"/>
              </w:tabs>
              <w:rPr>
                <w:rFonts w:cs="Arial"/>
                <w:sz w:val="18"/>
                <w:szCs w:val="18"/>
                <w:lang w:eastAsia="en-GB" w:bidi="ar-SA"/>
              </w:rPr>
            </w:pPr>
          </w:p>
        </w:tc>
        <w:tc>
          <w:tcPr>
            <w:tcW w:w="752" w:type="dxa"/>
          </w:tcPr>
          <w:p w14:paraId="6AF51BEC" w14:textId="77777777" w:rsidR="00C51F8F" w:rsidRPr="00B83846" w:rsidRDefault="00C51F8F" w:rsidP="00DF510F">
            <w:pPr>
              <w:widowControl/>
              <w:tabs>
                <w:tab w:val="decimal" w:pos="397"/>
              </w:tabs>
              <w:rPr>
                <w:rFonts w:cs="Arial"/>
                <w:sz w:val="18"/>
                <w:szCs w:val="18"/>
              </w:rPr>
            </w:pPr>
          </w:p>
        </w:tc>
        <w:tc>
          <w:tcPr>
            <w:tcW w:w="752" w:type="dxa"/>
            <w:shd w:val="clear" w:color="auto" w:fill="D9D9D9" w:themeFill="background1" w:themeFillShade="D9"/>
            <w:vAlign w:val="center"/>
          </w:tcPr>
          <w:p w14:paraId="583D0B11" w14:textId="77777777" w:rsidR="00C51F8F" w:rsidRPr="00B83846" w:rsidRDefault="00C51F8F" w:rsidP="00DF510F">
            <w:pPr>
              <w:widowControl/>
              <w:tabs>
                <w:tab w:val="decimal" w:pos="397"/>
              </w:tabs>
              <w:rPr>
                <w:rFonts w:cs="Arial"/>
                <w:sz w:val="18"/>
                <w:szCs w:val="18"/>
                <w:lang w:eastAsia="en-GB" w:bidi="ar-SA"/>
              </w:rPr>
            </w:pPr>
            <w:r w:rsidRPr="0089495B">
              <w:rPr>
                <w:rFonts w:cs="Arial"/>
                <w:sz w:val="18"/>
                <w:szCs w:val="18"/>
              </w:rPr>
              <w:t>4</w:t>
            </w:r>
          </w:p>
        </w:tc>
        <w:tc>
          <w:tcPr>
            <w:tcW w:w="752" w:type="dxa"/>
            <w:shd w:val="clear" w:color="auto" w:fill="auto"/>
            <w:vAlign w:val="center"/>
          </w:tcPr>
          <w:p w14:paraId="38DE7F64" w14:textId="77777777" w:rsidR="00C51F8F" w:rsidRPr="00B83846" w:rsidRDefault="00C51F8F" w:rsidP="00DF510F">
            <w:pPr>
              <w:widowControl/>
              <w:tabs>
                <w:tab w:val="decimal" w:pos="397"/>
              </w:tabs>
              <w:rPr>
                <w:rFonts w:cs="Arial"/>
                <w:sz w:val="18"/>
                <w:szCs w:val="18"/>
                <w:lang w:eastAsia="en-GB" w:bidi="ar-SA"/>
              </w:rPr>
            </w:pPr>
          </w:p>
        </w:tc>
        <w:tc>
          <w:tcPr>
            <w:tcW w:w="752" w:type="dxa"/>
          </w:tcPr>
          <w:p w14:paraId="4AC9EE9A" w14:textId="77777777" w:rsidR="00C51F8F" w:rsidRPr="00B83846" w:rsidRDefault="00C51F8F" w:rsidP="00DF510F">
            <w:pPr>
              <w:widowControl/>
              <w:tabs>
                <w:tab w:val="decimal" w:pos="397"/>
              </w:tabs>
              <w:rPr>
                <w:rFonts w:cs="Arial"/>
                <w:sz w:val="18"/>
                <w:szCs w:val="18"/>
              </w:rPr>
            </w:pPr>
          </w:p>
        </w:tc>
        <w:tc>
          <w:tcPr>
            <w:tcW w:w="752" w:type="dxa"/>
            <w:shd w:val="clear" w:color="auto" w:fill="auto"/>
            <w:vAlign w:val="center"/>
          </w:tcPr>
          <w:p w14:paraId="3FD36A87" w14:textId="77777777" w:rsidR="00C51F8F" w:rsidRPr="00B83846" w:rsidRDefault="00C51F8F" w:rsidP="00DF510F">
            <w:pPr>
              <w:widowControl/>
              <w:tabs>
                <w:tab w:val="decimal" w:pos="397"/>
              </w:tabs>
              <w:rPr>
                <w:rFonts w:cs="Arial"/>
                <w:sz w:val="18"/>
                <w:szCs w:val="18"/>
                <w:lang w:eastAsia="en-GB" w:bidi="ar-SA"/>
              </w:rPr>
            </w:pPr>
            <w:r w:rsidRPr="00B83846">
              <w:rPr>
                <w:rFonts w:cs="Arial"/>
                <w:sz w:val="18"/>
                <w:szCs w:val="18"/>
              </w:rPr>
              <w:t>3</w:t>
            </w:r>
          </w:p>
        </w:tc>
        <w:tc>
          <w:tcPr>
            <w:tcW w:w="752" w:type="dxa"/>
            <w:shd w:val="clear" w:color="auto" w:fill="auto"/>
            <w:vAlign w:val="center"/>
          </w:tcPr>
          <w:p w14:paraId="2CAA9C0E" w14:textId="77777777" w:rsidR="00C51F8F" w:rsidRPr="00B83846" w:rsidRDefault="00C51F8F" w:rsidP="00DF510F">
            <w:pPr>
              <w:widowControl/>
              <w:tabs>
                <w:tab w:val="decimal" w:pos="397"/>
              </w:tabs>
              <w:rPr>
                <w:rFonts w:cs="Arial"/>
                <w:color w:val="000000"/>
                <w:sz w:val="18"/>
                <w:szCs w:val="18"/>
                <w:lang w:eastAsia="en-GB" w:bidi="ar-SA"/>
              </w:rPr>
            </w:pPr>
          </w:p>
        </w:tc>
        <w:tc>
          <w:tcPr>
            <w:tcW w:w="752" w:type="dxa"/>
          </w:tcPr>
          <w:p w14:paraId="283184DA" w14:textId="77777777" w:rsidR="00C51F8F" w:rsidRPr="00B83846" w:rsidRDefault="00C51F8F" w:rsidP="00DF510F">
            <w:pPr>
              <w:widowControl/>
              <w:tabs>
                <w:tab w:val="decimal" w:pos="397"/>
              </w:tabs>
              <w:rPr>
                <w:rFonts w:cs="Arial"/>
                <w:color w:val="000000"/>
                <w:sz w:val="18"/>
                <w:szCs w:val="18"/>
              </w:rPr>
            </w:pPr>
          </w:p>
        </w:tc>
        <w:tc>
          <w:tcPr>
            <w:tcW w:w="753" w:type="dxa"/>
            <w:shd w:val="clear" w:color="auto" w:fill="D9D9D9" w:themeFill="background1" w:themeFillShade="D9"/>
            <w:vAlign w:val="center"/>
          </w:tcPr>
          <w:p w14:paraId="0EC268C7" w14:textId="77777777" w:rsidR="00C51F8F" w:rsidRPr="00B83846" w:rsidRDefault="00C51F8F" w:rsidP="00DF510F">
            <w:pPr>
              <w:widowControl/>
              <w:tabs>
                <w:tab w:val="decimal" w:pos="397"/>
              </w:tabs>
              <w:rPr>
                <w:rFonts w:cs="Arial"/>
                <w:color w:val="000000"/>
                <w:sz w:val="18"/>
                <w:szCs w:val="18"/>
                <w:lang w:eastAsia="en-GB" w:bidi="ar-SA"/>
              </w:rPr>
            </w:pPr>
            <w:r w:rsidRPr="00B83846">
              <w:rPr>
                <w:rFonts w:cs="Arial"/>
                <w:color w:val="000000"/>
                <w:sz w:val="18"/>
                <w:szCs w:val="18"/>
              </w:rPr>
              <w:t>9</w:t>
            </w:r>
          </w:p>
        </w:tc>
      </w:tr>
    </w:tbl>
    <w:p w14:paraId="1B0227B2" w14:textId="77777777" w:rsidR="00E907D7" w:rsidRPr="007B7018" w:rsidRDefault="00E907D7" w:rsidP="00E907D7">
      <w:pPr>
        <w:keepNext/>
        <w:keepLines/>
        <w:widowControl/>
        <w:rPr>
          <w:sz w:val="16"/>
          <w:szCs w:val="20"/>
        </w:rPr>
      </w:pPr>
      <w:r w:rsidRPr="007B7018">
        <w:rPr>
          <w:sz w:val="16"/>
          <w:szCs w:val="20"/>
        </w:rPr>
        <w:t>Note: Gray shading indicates that the food category / group is a major contributor to L-carnitine dietary intakes</w:t>
      </w:r>
    </w:p>
    <w:p w14:paraId="3CB990D6" w14:textId="77777777" w:rsidR="00E907D7" w:rsidRDefault="00E907D7" w:rsidP="00E907D7">
      <w:pPr>
        <w:widowControl/>
        <w:rPr>
          <w:sz w:val="20"/>
          <w:szCs w:val="20"/>
        </w:rPr>
      </w:pPr>
      <w:r w:rsidRPr="00B83846">
        <w:rPr>
          <w:sz w:val="20"/>
          <w:szCs w:val="20"/>
        </w:rPr>
        <w:br w:type="page"/>
      </w:r>
    </w:p>
    <w:tbl>
      <w:tblPr>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ontributing food categories and food groups for New Zealand population groups for the Baseline and Consumer Behaviour scenarios using Day 1 of the 2008 NZ NNS. Major contributors (greater than or equal to 5% contribution) are also listed."/>
      </w:tblPr>
      <w:tblGrid>
        <w:gridCol w:w="1276"/>
        <w:gridCol w:w="425"/>
        <w:gridCol w:w="4866"/>
        <w:gridCol w:w="888"/>
        <w:gridCol w:w="823"/>
        <w:gridCol w:w="843"/>
        <w:gridCol w:w="860"/>
        <w:gridCol w:w="865"/>
        <w:gridCol w:w="843"/>
        <w:gridCol w:w="840"/>
        <w:gridCol w:w="843"/>
        <w:gridCol w:w="860"/>
      </w:tblGrid>
      <w:tr w:rsidR="00E907D7" w:rsidRPr="00B40706" w14:paraId="3FFFCFD5" w14:textId="77777777" w:rsidTr="00C51F8F">
        <w:trPr>
          <w:cantSplit/>
          <w:tblHeader/>
        </w:trPr>
        <w:tc>
          <w:tcPr>
            <w:tcW w:w="14232" w:type="dxa"/>
            <w:gridSpan w:val="12"/>
            <w:tcBorders>
              <w:top w:val="nil"/>
              <w:left w:val="nil"/>
              <w:bottom w:val="single" w:sz="4" w:space="0" w:color="auto"/>
              <w:right w:val="nil"/>
            </w:tcBorders>
            <w:shd w:val="clear" w:color="auto" w:fill="auto"/>
            <w:vAlign w:val="center"/>
          </w:tcPr>
          <w:p w14:paraId="35F62BEC" w14:textId="2420A02A" w:rsidR="00E907D7" w:rsidRPr="00B40706" w:rsidRDefault="00E907D7" w:rsidP="00A05C00">
            <w:pPr>
              <w:pStyle w:val="FSTableTitle"/>
              <w:rPr>
                <w:b w:val="0"/>
                <w:bCs/>
                <w:color w:val="000000"/>
                <w:lang w:eastAsia="en-GB"/>
              </w:rPr>
            </w:pPr>
            <w:bookmarkStart w:id="111" w:name="_Ref509589278"/>
            <w:bookmarkStart w:id="112" w:name="_Ref516244200"/>
            <w:r>
              <w:t>Table A</w:t>
            </w:r>
            <w:r w:rsidR="00A05C00">
              <w:t>3</w:t>
            </w:r>
            <w:r>
              <w:t>.</w:t>
            </w:r>
            <w:r w:rsidR="00BE485E">
              <w:rPr>
                <w:noProof/>
              </w:rPr>
              <w:fldChar w:fldCharType="begin"/>
            </w:r>
            <w:r w:rsidR="00BE485E">
              <w:rPr>
                <w:noProof/>
              </w:rPr>
              <w:instrText xml:space="preserve"> SEQ Table_A \* ARABIC \s 1 </w:instrText>
            </w:r>
            <w:r w:rsidR="00BE485E">
              <w:rPr>
                <w:noProof/>
              </w:rPr>
              <w:fldChar w:fldCharType="separate"/>
            </w:r>
            <w:r w:rsidR="00872715">
              <w:rPr>
                <w:noProof/>
              </w:rPr>
              <w:t>6</w:t>
            </w:r>
            <w:r w:rsidR="00BE485E">
              <w:rPr>
                <w:noProof/>
              </w:rPr>
              <w:fldChar w:fldCharType="end"/>
            </w:r>
            <w:bookmarkEnd w:id="111"/>
            <w:bookmarkEnd w:id="112"/>
            <w:r w:rsidRPr="00B40706">
              <w:t>: Food contributors to L-carnitine dietary intakes for New Zealand, based on Day 1 of the NNS</w:t>
            </w:r>
            <w:r>
              <w:t>s for general population groups*</w:t>
            </w:r>
          </w:p>
        </w:tc>
      </w:tr>
      <w:tr w:rsidR="00E907D7" w:rsidRPr="00B40706" w14:paraId="2339DEB4" w14:textId="77777777" w:rsidTr="00C51F8F">
        <w:trPr>
          <w:cantSplit/>
          <w:tblHeader/>
        </w:trPr>
        <w:tc>
          <w:tcPr>
            <w:tcW w:w="1276" w:type="dxa"/>
            <w:tcBorders>
              <w:top w:val="single" w:sz="4" w:space="0" w:color="auto"/>
              <w:bottom w:val="nil"/>
            </w:tcBorders>
            <w:shd w:val="clear" w:color="auto" w:fill="auto"/>
            <w:vAlign w:val="center"/>
            <w:hideMark/>
          </w:tcPr>
          <w:p w14:paraId="53D4E2B6" w14:textId="77777777" w:rsidR="00E907D7" w:rsidRPr="00B40706" w:rsidRDefault="00E907D7" w:rsidP="00E907D7">
            <w:pPr>
              <w:widowControl/>
              <w:rPr>
                <w:rFonts w:cs="Arial"/>
                <w:b/>
                <w:bCs/>
                <w:color w:val="000000"/>
                <w:sz w:val="18"/>
                <w:szCs w:val="18"/>
                <w:lang w:eastAsia="en-GB" w:bidi="ar-SA"/>
              </w:rPr>
            </w:pPr>
            <w:r w:rsidRPr="00B40706">
              <w:rPr>
                <w:rFonts w:cs="Arial"/>
                <w:b/>
                <w:bCs/>
                <w:color w:val="000000"/>
                <w:sz w:val="18"/>
                <w:szCs w:val="18"/>
                <w:lang w:eastAsia="en-GB" w:bidi="ar-SA"/>
              </w:rPr>
              <w:t>Food Code</w:t>
            </w:r>
          </w:p>
        </w:tc>
        <w:tc>
          <w:tcPr>
            <w:tcW w:w="5291" w:type="dxa"/>
            <w:gridSpan w:val="2"/>
            <w:tcBorders>
              <w:top w:val="single" w:sz="4" w:space="0" w:color="auto"/>
              <w:bottom w:val="nil"/>
            </w:tcBorders>
            <w:shd w:val="clear" w:color="auto" w:fill="auto"/>
            <w:vAlign w:val="center"/>
            <w:hideMark/>
          </w:tcPr>
          <w:p w14:paraId="290A5322" w14:textId="77777777" w:rsidR="00E907D7" w:rsidRPr="00B40706" w:rsidRDefault="00E907D7" w:rsidP="00E907D7">
            <w:pPr>
              <w:widowControl/>
              <w:rPr>
                <w:rFonts w:cs="Arial"/>
                <w:b/>
                <w:bCs/>
                <w:color w:val="000000"/>
                <w:sz w:val="18"/>
                <w:szCs w:val="18"/>
                <w:lang w:eastAsia="en-GB" w:bidi="ar-SA"/>
              </w:rPr>
            </w:pPr>
            <w:r w:rsidRPr="00B40706">
              <w:rPr>
                <w:rFonts w:cs="Arial"/>
                <w:b/>
                <w:bCs/>
                <w:color w:val="000000"/>
                <w:sz w:val="18"/>
                <w:szCs w:val="18"/>
                <w:lang w:eastAsia="en-GB" w:bidi="ar-SA"/>
              </w:rPr>
              <w:t>Food Group</w:t>
            </w:r>
          </w:p>
        </w:tc>
        <w:tc>
          <w:tcPr>
            <w:tcW w:w="2554" w:type="dxa"/>
            <w:gridSpan w:val="3"/>
            <w:tcBorders>
              <w:top w:val="single" w:sz="4" w:space="0" w:color="auto"/>
            </w:tcBorders>
            <w:shd w:val="clear" w:color="auto" w:fill="auto"/>
            <w:vAlign w:val="center"/>
            <w:hideMark/>
          </w:tcPr>
          <w:p w14:paraId="0C24123A" w14:textId="77777777" w:rsidR="00E907D7" w:rsidRPr="00B40706" w:rsidRDefault="00E907D7" w:rsidP="00E907D7">
            <w:pPr>
              <w:widowControl/>
              <w:jc w:val="center"/>
              <w:rPr>
                <w:rFonts w:cs="Arial"/>
                <w:b/>
                <w:bCs/>
                <w:color w:val="000000"/>
                <w:sz w:val="18"/>
                <w:szCs w:val="18"/>
                <w:lang w:eastAsia="en-GB" w:bidi="ar-SA"/>
              </w:rPr>
            </w:pPr>
            <w:r w:rsidRPr="00B40706">
              <w:rPr>
                <w:rFonts w:cs="Arial"/>
                <w:b/>
                <w:bCs/>
                <w:color w:val="000000"/>
                <w:sz w:val="18"/>
                <w:szCs w:val="18"/>
                <w:lang w:eastAsia="en-GB" w:bidi="ar-SA"/>
              </w:rPr>
              <w:t>5-14 years</w:t>
            </w:r>
          </w:p>
        </w:tc>
        <w:tc>
          <w:tcPr>
            <w:tcW w:w="2568" w:type="dxa"/>
            <w:gridSpan w:val="3"/>
            <w:tcBorders>
              <w:top w:val="single" w:sz="4" w:space="0" w:color="auto"/>
            </w:tcBorders>
            <w:shd w:val="clear" w:color="auto" w:fill="auto"/>
            <w:vAlign w:val="center"/>
            <w:hideMark/>
          </w:tcPr>
          <w:p w14:paraId="5EDBEA80" w14:textId="77777777" w:rsidR="00E907D7" w:rsidRPr="00B40706" w:rsidRDefault="00E907D7" w:rsidP="00E907D7">
            <w:pPr>
              <w:widowControl/>
              <w:jc w:val="center"/>
              <w:rPr>
                <w:rFonts w:cs="Arial"/>
                <w:b/>
                <w:bCs/>
                <w:color w:val="000000"/>
                <w:sz w:val="18"/>
                <w:szCs w:val="18"/>
                <w:lang w:eastAsia="en-GB" w:bidi="ar-SA"/>
              </w:rPr>
            </w:pPr>
            <w:r w:rsidRPr="00B40706">
              <w:rPr>
                <w:rFonts w:cs="Arial"/>
                <w:b/>
                <w:bCs/>
                <w:color w:val="000000"/>
                <w:sz w:val="18"/>
                <w:szCs w:val="18"/>
                <w:lang w:eastAsia="en-GB" w:bidi="ar-SA"/>
              </w:rPr>
              <w:t>18-70 years</w:t>
            </w:r>
          </w:p>
        </w:tc>
        <w:tc>
          <w:tcPr>
            <w:tcW w:w="2543" w:type="dxa"/>
            <w:gridSpan w:val="3"/>
            <w:tcBorders>
              <w:top w:val="single" w:sz="4" w:space="0" w:color="auto"/>
            </w:tcBorders>
            <w:shd w:val="clear" w:color="auto" w:fill="auto"/>
            <w:vAlign w:val="center"/>
            <w:hideMark/>
          </w:tcPr>
          <w:p w14:paraId="35C00984" w14:textId="77777777" w:rsidR="00E907D7" w:rsidRPr="00A07A5F" w:rsidRDefault="00E907D7" w:rsidP="00E907D7">
            <w:pPr>
              <w:widowControl/>
              <w:jc w:val="center"/>
              <w:rPr>
                <w:rFonts w:cs="Arial"/>
                <w:b/>
                <w:bCs/>
                <w:color w:val="000000"/>
                <w:sz w:val="18"/>
                <w:szCs w:val="18"/>
                <w:lang w:eastAsia="en-GB" w:bidi="ar-SA"/>
              </w:rPr>
            </w:pPr>
            <w:r w:rsidRPr="00A07A5F">
              <w:rPr>
                <w:rFonts w:cs="Arial"/>
                <w:b/>
                <w:bCs/>
                <w:color w:val="000000"/>
                <w:sz w:val="18"/>
                <w:szCs w:val="18"/>
                <w:lang w:eastAsia="en-GB" w:bidi="ar-SA"/>
              </w:rPr>
              <w:t>15 years and above</w:t>
            </w:r>
          </w:p>
        </w:tc>
      </w:tr>
      <w:tr w:rsidR="00E907D7" w:rsidRPr="00683BE9" w14:paraId="63C89683" w14:textId="77777777" w:rsidTr="00C51F8F">
        <w:trPr>
          <w:cantSplit/>
          <w:trHeight w:val="1134"/>
          <w:tblHeader/>
        </w:trPr>
        <w:tc>
          <w:tcPr>
            <w:tcW w:w="1276" w:type="dxa"/>
            <w:tcBorders>
              <w:top w:val="nil"/>
            </w:tcBorders>
            <w:shd w:val="clear" w:color="auto" w:fill="auto"/>
            <w:vAlign w:val="center"/>
          </w:tcPr>
          <w:p w14:paraId="7E215962" w14:textId="77777777" w:rsidR="00E907D7" w:rsidRPr="00B40706" w:rsidRDefault="00E907D7" w:rsidP="00E907D7">
            <w:pPr>
              <w:widowControl/>
              <w:rPr>
                <w:rFonts w:cs="Arial"/>
                <w:b/>
                <w:bCs/>
                <w:color w:val="000000"/>
                <w:sz w:val="18"/>
                <w:szCs w:val="18"/>
                <w:lang w:eastAsia="en-GB" w:bidi="ar-SA"/>
              </w:rPr>
            </w:pPr>
          </w:p>
        </w:tc>
        <w:tc>
          <w:tcPr>
            <w:tcW w:w="5291" w:type="dxa"/>
            <w:gridSpan w:val="2"/>
            <w:tcBorders>
              <w:top w:val="nil"/>
            </w:tcBorders>
            <w:shd w:val="clear" w:color="auto" w:fill="auto"/>
            <w:vAlign w:val="center"/>
          </w:tcPr>
          <w:p w14:paraId="606EF511" w14:textId="77777777" w:rsidR="00E907D7" w:rsidRPr="00B40706" w:rsidRDefault="00E907D7" w:rsidP="00E907D7">
            <w:pPr>
              <w:widowControl/>
              <w:rPr>
                <w:rFonts w:cs="Arial"/>
                <w:b/>
                <w:bCs/>
                <w:color w:val="000000"/>
                <w:sz w:val="18"/>
                <w:szCs w:val="18"/>
                <w:lang w:eastAsia="en-GB" w:bidi="ar-SA"/>
              </w:rPr>
            </w:pPr>
          </w:p>
        </w:tc>
        <w:tc>
          <w:tcPr>
            <w:tcW w:w="888" w:type="dxa"/>
            <w:shd w:val="clear" w:color="auto" w:fill="auto"/>
            <w:textDirection w:val="btLr"/>
            <w:vAlign w:val="center"/>
            <w:hideMark/>
          </w:tcPr>
          <w:p w14:paraId="1BBC7FBE" w14:textId="77777777" w:rsidR="00E907D7" w:rsidRPr="00B40706" w:rsidRDefault="00E907D7" w:rsidP="00E907D7">
            <w:pPr>
              <w:widowControl/>
              <w:ind w:left="113" w:right="113"/>
              <w:jc w:val="center"/>
              <w:rPr>
                <w:rFonts w:cs="Arial"/>
                <w:b/>
                <w:bCs/>
                <w:color w:val="000000"/>
                <w:sz w:val="18"/>
                <w:szCs w:val="18"/>
                <w:lang w:eastAsia="en-GB" w:bidi="ar-SA"/>
              </w:rPr>
            </w:pPr>
            <w:r w:rsidRPr="00B40706">
              <w:rPr>
                <w:rFonts w:cs="Arial"/>
                <w:b/>
                <w:bCs/>
                <w:color w:val="000000"/>
                <w:sz w:val="18"/>
                <w:szCs w:val="18"/>
                <w:lang w:eastAsia="en-GB" w:bidi="ar-SA"/>
              </w:rPr>
              <w:t>Baseline</w:t>
            </w:r>
          </w:p>
        </w:tc>
        <w:tc>
          <w:tcPr>
            <w:tcW w:w="823" w:type="dxa"/>
            <w:textDirection w:val="btLr"/>
          </w:tcPr>
          <w:p w14:paraId="297D6B73" w14:textId="77777777" w:rsidR="00E907D7" w:rsidRPr="00B40706" w:rsidRDefault="00E907D7" w:rsidP="00E907D7">
            <w:pPr>
              <w:widowControl/>
              <w:ind w:left="113" w:right="113"/>
              <w:jc w:val="center"/>
              <w:rPr>
                <w:rFonts w:cs="Arial"/>
                <w:b/>
                <w:bCs/>
                <w:color w:val="000000"/>
                <w:sz w:val="18"/>
                <w:szCs w:val="18"/>
                <w:lang w:eastAsia="en-GB" w:bidi="ar-SA"/>
              </w:rPr>
            </w:pPr>
            <w:r>
              <w:rPr>
                <w:rFonts w:cs="Arial"/>
                <w:b/>
                <w:bCs/>
                <w:color w:val="000000"/>
                <w:sz w:val="18"/>
                <w:szCs w:val="18"/>
                <w:lang w:eastAsia="en-GB" w:bidi="ar-SA"/>
              </w:rPr>
              <w:t>Sports food increase</w:t>
            </w:r>
          </w:p>
        </w:tc>
        <w:tc>
          <w:tcPr>
            <w:tcW w:w="843" w:type="dxa"/>
            <w:shd w:val="clear" w:color="auto" w:fill="auto"/>
            <w:textDirection w:val="btLr"/>
            <w:vAlign w:val="center"/>
            <w:hideMark/>
          </w:tcPr>
          <w:p w14:paraId="4B8FE2EF" w14:textId="77777777" w:rsidR="00E907D7" w:rsidRPr="00B40706" w:rsidRDefault="00E907D7" w:rsidP="00E907D7">
            <w:pPr>
              <w:widowControl/>
              <w:ind w:left="113" w:right="113"/>
              <w:jc w:val="center"/>
              <w:rPr>
                <w:rFonts w:cs="Arial"/>
                <w:b/>
                <w:bCs/>
                <w:color w:val="000000"/>
                <w:sz w:val="18"/>
                <w:szCs w:val="18"/>
                <w:lang w:eastAsia="en-GB" w:bidi="ar-SA"/>
              </w:rPr>
            </w:pPr>
            <w:r w:rsidRPr="00B40706">
              <w:rPr>
                <w:rFonts w:cs="Arial"/>
                <w:b/>
                <w:bCs/>
                <w:color w:val="000000"/>
                <w:sz w:val="18"/>
                <w:szCs w:val="18"/>
                <w:lang w:eastAsia="en-GB" w:bidi="ar-SA"/>
              </w:rPr>
              <w:t>Consumer Behaviour</w:t>
            </w:r>
          </w:p>
        </w:tc>
        <w:tc>
          <w:tcPr>
            <w:tcW w:w="860" w:type="dxa"/>
            <w:shd w:val="clear" w:color="auto" w:fill="auto"/>
            <w:textDirection w:val="btLr"/>
            <w:vAlign w:val="center"/>
            <w:hideMark/>
          </w:tcPr>
          <w:p w14:paraId="6A01C197" w14:textId="77777777" w:rsidR="00E907D7" w:rsidRPr="00B40706" w:rsidRDefault="00E907D7" w:rsidP="00E907D7">
            <w:pPr>
              <w:widowControl/>
              <w:ind w:left="113" w:right="113"/>
              <w:jc w:val="center"/>
              <w:rPr>
                <w:rFonts w:cs="Arial"/>
                <w:b/>
                <w:bCs/>
                <w:color w:val="000000"/>
                <w:sz w:val="18"/>
                <w:szCs w:val="18"/>
                <w:lang w:eastAsia="en-GB" w:bidi="ar-SA"/>
              </w:rPr>
            </w:pPr>
            <w:r w:rsidRPr="00B40706">
              <w:rPr>
                <w:rFonts w:cs="Arial"/>
                <w:b/>
                <w:bCs/>
                <w:color w:val="000000"/>
                <w:sz w:val="18"/>
                <w:szCs w:val="18"/>
                <w:lang w:eastAsia="en-GB" w:bidi="ar-SA"/>
              </w:rPr>
              <w:t>Baseline</w:t>
            </w:r>
          </w:p>
        </w:tc>
        <w:tc>
          <w:tcPr>
            <w:tcW w:w="865" w:type="dxa"/>
            <w:textDirection w:val="btLr"/>
          </w:tcPr>
          <w:p w14:paraId="606CA4BB" w14:textId="77777777" w:rsidR="00E907D7" w:rsidRPr="00B40706" w:rsidRDefault="00E907D7" w:rsidP="00E907D7">
            <w:pPr>
              <w:widowControl/>
              <w:ind w:left="113" w:right="113"/>
              <w:jc w:val="center"/>
              <w:rPr>
                <w:rFonts w:cs="Arial"/>
                <w:b/>
                <w:bCs/>
                <w:color w:val="000000"/>
                <w:sz w:val="18"/>
                <w:szCs w:val="18"/>
                <w:lang w:eastAsia="en-GB" w:bidi="ar-SA"/>
              </w:rPr>
            </w:pPr>
            <w:r>
              <w:rPr>
                <w:rFonts w:cs="Arial"/>
                <w:b/>
                <w:bCs/>
                <w:color w:val="000000"/>
                <w:sz w:val="18"/>
                <w:szCs w:val="18"/>
                <w:lang w:eastAsia="en-GB" w:bidi="ar-SA"/>
              </w:rPr>
              <w:t>Sports food increase</w:t>
            </w:r>
          </w:p>
        </w:tc>
        <w:tc>
          <w:tcPr>
            <w:tcW w:w="843" w:type="dxa"/>
            <w:shd w:val="clear" w:color="auto" w:fill="auto"/>
            <w:textDirection w:val="btLr"/>
            <w:vAlign w:val="center"/>
            <w:hideMark/>
          </w:tcPr>
          <w:p w14:paraId="42F882D5" w14:textId="77777777" w:rsidR="00E907D7" w:rsidRPr="00B40706" w:rsidRDefault="00E907D7" w:rsidP="00E907D7">
            <w:pPr>
              <w:widowControl/>
              <w:ind w:left="113" w:right="113"/>
              <w:jc w:val="center"/>
              <w:rPr>
                <w:rFonts w:cs="Arial"/>
                <w:b/>
                <w:bCs/>
                <w:color w:val="000000"/>
                <w:sz w:val="18"/>
                <w:szCs w:val="18"/>
                <w:lang w:eastAsia="en-GB" w:bidi="ar-SA"/>
              </w:rPr>
            </w:pPr>
            <w:r w:rsidRPr="00B40706">
              <w:rPr>
                <w:rFonts w:cs="Arial"/>
                <w:b/>
                <w:bCs/>
                <w:color w:val="000000"/>
                <w:sz w:val="18"/>
                <w:szCs w:val="18"/>
                <w:lang w:eastAsia="en-GB" w:bidi="ar-SA"/>
              </w:rPr>
              <w:t>Consumer Behaviour</w:t>
            </w:r>
          </w:p>
        </w:tc>
        <w:tc>
          <w:tcPr>
            <w:tcW w:w="840" w:type="dxa"/>
            <w:shd w:val="clear" w:color="auto" w:fill="auto"/>
            <w:textDirection w:val="btLr"/>
            <w:vAlign w:val="center"/>
            <w:hideMark/>
          </w:tcPr>
          <w:p w14:paraId="52C00A9B" w14:textId="77777777" w:rsidR="00E907D7" w:rsidRPr="00B40706" w:rsidRDefault="00E907D7" w:rsidP="00E907D7">
            <w:pPr>
              <w:widowControl/>
              <w:ind w:left="113" w:right="113"/>
              <w:jc w:val="center"/>
              <w:rPr>
                <w:rFonts w:cs="Arial"/>
                <w:b/>
                <w:bCs/>
                <w:color w:val="000000"/>
                <w:sz w:val="18"/>
                <w:szCs w:val="18"/>
                <w:lang w:eastAsia="en-GB" w:bidi="ar-SA"/>
              </w:rPr>
            </w:pPr>
            <w:r w:rsidRPr="00B40706">
              <w:rPr>
                <w:rFonts w:cs="Arial"/>
                <w:b/>
                <w:bCs/>
                <w:color w:val="000000"/>
                <w:sz w:val="18"/>
                <w:szCs w:val="18"/>
                <w:lang w:eastAsia="en-GB" w:bidi="ar-SA"/>
              </w:rPr>
              <w:t>Baseline</w:t>
            </w:r>
          </w:p>
        </w:tc>
        <w:tc>
          <w:tcPr>
            <w:tcW w:w="843" w:type="dxa"/>
            <w:textDirection w:val="btLr"/>
          </w:tcPr>
          <w:p w14:paraId="2C63C55C" w14:textId="77777777" w:rsidR="00E907D7" w:rsidRPr="00B40706" w:rsidRDefault="00E907D7" w:rsidP="00E907D7">
            <w:pPr>
              <w:widowControl/>
              <w:ind w:left="113" w:right="113"/>
              <w:jc w:val="center"/>
              <w:rPr>
                <w:rFonts w:cs="Arial"/>
                <w:b/>
                <w:bCs/>
                <w:color w:val="000000"/>
                <w:sz w:val="18"/>
                <w:szCs w:val="18"/>
                <w:lang w:eastAsia="en-GB" w:bidi="ar-SA"/>
              </w:rPr>
            </w:pPr>
            <w:r>
              <w:rPr>
                <w:rFonts w:cs="Arial"/>
                <w:b/>
                <w:bCs/>
                <w:color w:val="000000"/>
                <w:sz w:val="18"/>
                <w:szCs w:val="18"/>
                <w:lang w:eastAsia="en-GB" w:bidi="ar-SA"/>
              </w:rPr>
              <w:t>Sports food increase</w:t>
            </w:r>
          </w:p>
        </w:tc>
        <w:tc>
          <w:tcPr>
            <w:tcW w:w="860" w:type="dxa"/>
            <w:shd w:val="clear" w:color="auto" w:fill="auto"/>
            <w:textDirection w:val="btLr"/>
            <w:vAlign w:val="center"/>
            <w:hideMark/>
          </w:tcPr>
          <w:p w14:paraId="0A97273A" w14:textId="77777777" w:rsidR="00E907D7" w:rsidRPr="00B40706" w:rsidRDefault="00E907D7" w:rsidP="00E907D7">
            <w:pPr>
              <w:widowControl/>
              <w:ind w:left="113" w:right="113"/>
              <w:jc w:val="center"/>
              <w:rPr>
                <w:rFonts w:cs="Arial"/>
                <w:b/>
                <w:bCs/>
                <w:color w:val="000000"/>
                <w:sz w:val="18"/>
                <w:szCs w:val="18"/>
                <w:lang w:eastAsia="en-GB" w:bidi="ar-SA"/>
              </w:rPr>
            </w:pPr>
            <w:r w:rsidRPr="00B40706">
              <w:rPr>
                <w:rFonts w:cs="Arial"/>
                <w:b/>
                <w:bCs/>
                <w:color w:val="000000"/>
                <w:sz w:val="18"/>
                <w:szCs w:val="18"/>
                <w:lang w:eastAsia="en-GB" w:bidi="ar-SA"/>
              </w:rPr>
              <w:t>Consumer Behaviour</w:t>
            </w:r>
          </w:p>
        </w:tc>
      </w:tr>
      <w:tr w:rsidR="00E907D7" w:rsidRPr="00683BE9" w14:paraId="278F3A79" w14:textId="77777777" w:rsidTr="00C51F8F">
        <w:trPr>
          <w:cantSplit/>
        </w:trPr>
        <w:tc>
          <w:tcPr>
            <w:tcW w:w="1276" w:type="dxa"/>
            <w:shd w:val="clear" w:color="auto" w:fill="D9D9D9" w:themeFill="background1" w:themeFillShade="D9"/>
            <w:vAlign w:val="center"/>
            <w:hideMark/>
          </w:tcPr>
          <w:p w14:paraId="21431382" w14:textId="77777777" w:rsidR="00E907D7" w:rsidRPr="00C74A6B" w:rsidRDefault="00E907D7" w:rsidP="00C74A6B">
            <w:pPr>
              <w:rPr>
                <w:rFonts w:cs="Arial"/>
                <w:bCs/>
                <w:color w:val="000000"/>
                <w:sz w:val="18"/>
                <w:szCs w:val="18"/>
                <w:lang w:eastAsia="en-GB" w:bidi="ar-SA"/>
              </w:rPr>
            </w:pPr>
            <w:r w:rsidRPr="00C74A6B">
              <w:rPr>
                <w:rFonts w:cs="Arial"/>
                <w:bCs/>
                <w:color w:val="000000"/>
                <w:sz w:val="18"/>
                <w:szCs w:val="18"/>
                <w:lang w:eastAsia="en-GB" w:bidi="ar-SA"/>
              </w:rPr>
              <w:t>1</w:t>
            </w:r>
          </w:p>
        </w:tc>
        <w:tc>
          <w:tcPr>
            <w:tcW w:w="5291" w:type="dxa"/>
            <w:gridSpan w:val="2"/>
            <w:tcBorders>
              <w:bottom w:val="single" w:sz="4" w:space="0" w:color="auto"/>
            </w:tcBorders>
            <w:shd w:val="clear" w:color="auto" w:fill="D9D9D9" w:themeFill="background1" w:themeFillShade="D9"/>
            <w:vAlign w:val="center"/>
            <w:hideMark/>
          </w:tcPr>
          <w:p w14:paraId="255015A1"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Dairy products (excluding butter &amp; butter fats)</w:t>
            </w:r>
          </w:p>
        </w:tc>
        <w:tc>
          <w:tcPr>
            <w:tcW w:w="888" w:type="dxa"/>
            <w:shd w:val="clear" w:color="auto" w:fill="D9D9D9" w:themeFill="background1" w:themeFillShade="D9"/>
            <w:vAlign w:val="center"/>
          </w:tcPr>
          <w:p w14:paraId="0C5A8C32"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17</w:t>
            </w:r>
          </w:p>
        </w:tc>
        <w:tc>
          <w:tcPr>
            <w:tcW w:w="823" w:type="dxa"/>
            <w:shd w:val="clear" w:color="auto" w:fill="D9D9D9" w:themeFill="background1" w:themeFillShade="D9"/>
            <w:vAlign w:val="center"/>
          </w:tcPr>
          <w:p w14:paraId="08C11151"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17</w:t>
            </w:r>
          </w:p>
        </w:tc>
        <w:tc>
          <w:tcPr>
            <w:tcW w:w="843" w:type="dxa"/>
            <w:shd w:val="clear" w:color="auto" w:fill="D9D9D9" w:themeFill="background1" w:themeFillShade="D9"/>
            <w:vAlign w:val="center"/>
          </w:tcPr>
          <w:p w14:paraId="71C1F7E9"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18</w:t>
            </w:r>
          </w:p>
        </w:tc>
        <w:tc>
          <w:tcPr>
            <w:tcW w:w="860" w:type="dxa"/>
            <w:shd w:val="clear" w:color="auto" w:fill="D9D9D9" w:themeFill="background1" w:themeFillShade="D9"/>
            <w:vAlign w:val="center"/>
          </w:tcPr>
          <w:p w14:paraId="39509B48"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14</w:t>
            </w:r>
          </w:p>
        </w:tc>
        <w:tc>
          <w:tcPr>
            <w:tcW w:w="865" w:type="dxa"/>
            <w:tcBorders>
              <w:bottom w:val="single" w:sz="4" w:space="0" w:color="auto"/>
            </w:tcBorders>
            <w:shd w:val="clear" w:color="auto" w:fill="D9D9D9" w:themeFill="background1" w:themeFillShade="D9"/>
            <w:vAlign w:val="center"/>
          </w:tcPr>
          <w:p w14:paraId="6461F9E3"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14</w:t>
            </w:r>
          </w:p>
        </w:tc>
        <w:tc>
          <w:tcPr>
            <w:tcW w:w="843" w:type="dxa"/>
            <w:shd w:val="clear" w:color="auto" w:fill="D9D9D9" w:themeFill="background1" w:themeFillShade="D9"/>
            <w:vAlign w:val="center"/>
          </w:tcPr>
          <w:p w14:paraId="1DBC666A"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17</w:t>
            </w:r>
          </w:p>
        </w:tc>
        <w:tc>
          <w:tcPr>
            <w:tcW w:w="840" w:type="dxa"/>
            <w:shd w:val="clear" w:color="auto" w:fill="D9D9D9" w:themeFill="background1" w:themeFillShade="D9"/>
            <w:vAlign w:val="center"/>
          </w:tcPr>
          <w:p w14:paraId="5FB1A807"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14</w:t>
            </w:r>
          </w:p>
        </w:tc>
        <w:tc>
          <w:tcPr>
            <w:tcW w:w="843" w:type="dxa"/>
            <w:shd w:val="clear" w:color="auto" w:fill="D9D9D9" w:themeFill="background1" w:themeFillShade="D9"/>
            <w:vAlign w:val="center"/>
          </w:tcPr>
          <w:p w14:paraId="3D88053C"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14</w:t>
            </w:r>
          </w:p>
        </w:tc>
        <w:tc>
          <w:tcPr>
            <w:tcW w:w="860" w:type="dxa"/>
            <w:shd w:val="clear" w:color="auto" w:fill="D9D9D9" w:themeFill="background1" w:themeFillShade="D9"/>
            <w:vAlign w:val="center"/>
          </w:tcPr>
          <w:p w14:paraId="263DAFD5"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17</w:t>
            </w:r>
          </w:p>
        </w:tc>
      </w:tr>
      <w:tr w:rsidR="00C51F8F" w:rsidRPr="00683BE9" w14:paraId="09238D3E" w14:textId="77777777" w:rsidTr="00221A11">
        <w:trPr>
          <w:cantSplit/>
        </w:trPr>
        <w:tc>
          <w:tcPr>
            <w:tcW w:w="1276" w:type="dxa"/>
            <w:shd w:val="clear" w:color="auto" w:fill="D9D9D9" w:themeFill="background1" w:themeFillShade="D9"/>
            <w:vAlign w:val="center"/>
            <w:hideMark/>
          </w:tcPr>
          <w:p w14:paraId="22FB1944" w14:textId="77777777" w:rsidR="00C51F8F" w:rsidRPr="00F21A49" w:rsidRDefault="00C51F8F" w:rsidP="00DF510F">
            <w:pPr>
              <w:widowControl/>
              <w:rPr>
                <w:rFonts w:cs="Arial"/>
                <w:color w:val="000000"/>
                <w:sz w:val="18"/>
                <w:szCs w:val="18"/>
                <w:lang w:eastAsia="en-GB" w:bidi="ar-SA"/>
              </w:rPr>
            </w:pPr>
            <w:r w:rsidRPr="00F21A49">
              <w:rPr>
                <w:rFonts w:cs="Arial"/>
                <w:color w:val="000000"/>
                <w:sz w:val="18"/>
                <w:szCs w:val="18"/>
                <w:lang w:eastAsia="en-GB" w:bidi="ar-SA"/>
              </w:rPr>
              <w:t>1</w:t>
            </w:r>
          </w:p>
        </w:tc>
        <w:tc>
          <w:tcPr>
            <w:tcW w:w="425" w:type="dxa"/>
            <w:tcBorders>
              <w:right w:val="nil"/>
            </w:tcBorders>
            <w:shd w:val="clear" w:color="auto" w:fill="D9D9D9" w:themeFill="background1" w:themeFillShade="D9"/>
            <w:vAlign w:val="center"/>
            <w:hideMark/>
          </w:tcPr>
          <w:p w14:paraId="16051D5F" w14:textId="77777777" w:rsidR="00C51F8F" w:rsidRPr="00F21A49" w:rsidRDefault="00C51F8F" w:rsidP="00221A11">
            <w:pPr>
              <w:keepNext/>
              <w:keepLines/>
              <w:widowControl/>
              <w:ind w:left="-114"/>
              <w:rPr>
                <w:rFonts w:cs="Arial"/>
                <w:color w:val="000000"/>
                <w:sz w:val="18"/>
                <w:szCs w:val="18"/>
                <w:lang w:eastAsia="en-GB" w:bidi="ar-SA"/>
              </w:rPr>
            </w:pPr>
          </w:p>
        </w:tc>
        <w:tc>
          <w:tcPr>
            <w:tcW w:w="4866" w:type="dxa"/>
            <w:tcBorders>
              <w:left w:val="nil"/>
            </w:tcBorders>
            <w:shd w:val="clear" w:color="auto" w:fill="D9D9D9" w:themeFill="background1" w:themeFillShade="D9"/>
            <w:vAlign w:val="center"/>
            <w:hideMark/>
          </w:tcPr>
          <w:p w14:paraId="5D448CEB" w14:textId="77777777" w:rsidR="00C51F8F" w:rsidRPr="00F21A49" w:rsidRDefault="00C51F8F" w:rsidP="00221A11">
            <w:pPr>
              <w:keepNext/>
              <w:keepLines/>
              <w:widowControl/>
              <w:ind w:left="-114"/>
              <w:rPr>
                <w:rFonts w:cs="Arial"/>
                <w:color w:val="000000"/>
                <w:sz w:val="18"/>
                <w:szCs w:val="18"/>
                <w:lang w:eastAsia="en-GB" w:bidi="ar-SA"/>
              </w:rPr>
            </w:pPr>
            <w:r>
              <w:rPr>
                <w:rFonts w:cs="Arial"/>
                <w:color w:val="000000"/>
                <w:sz w:val="18"/>
                <w:szCs w:val="18"/>
                <w:lang w:eastAsia="en-GB" w:bidi="ar-SA"/>
              </w:rPr>
              <w:t>Plain milk</w:t>
            </w:r>
          </w:p>
        </w:tc>
        <w:tc>
          <w:tcPr>
            <w:tcW w:w="888" w:type="dxa"/>
            <w:shd w:val="clear" w:color="auto" w:fill="D9D9D9" w:themeFill="background1" w:themeFillShade="D9"/>
            <w:vAlign w:val="center"/>
          </w:tcPr>
          <w:p w14:paraId="29DEF12F"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14</w:t>
            </w:r>
          </w:p>
        </w:tc>
        <w:tc>
          <w:tcPr>
            <w:tcW w:w="823" w:type="dxa"/>
            <w:shd w:val="clear" w:color="auto" w:fill="D9D9D9" w:themeFill="background1" w:themeFillShade="D9"/>
            <w:vAlign w:val="center"/>
          </w:tcPr>
          <w:p w14:paraId="68D75B6F" w14:textId="77777777" w:rsidR="00C51F8F" w:rsidRPr="00E9017B" w:rsidRDefault="00C51F8F" w:rsidP="00DF510F">
            <w:pPr>
              <w:widowControl/>
              <w:tabs>
                <w:tab w:val="decimal" w:pos="454"/>
              </w:tabs>
              <w:rPr>
                <w:rFonts w:cs="Arial"/>
                <w:color w:val="000000"/>
                <w:sz w:val="18"/>
                <w:szCs w:val="18"/>
                <w:highlight w:val="yellow"/>
              </w:rPr>
            </w:pPr>
            <w:r w:rsidRPr="00E9017B">
              <w:rPr>
                <w:rFonts w:cs="Arial"/>
                <w:color w:val="000000"/>
                <w:sz w:val="18"/>
                <w:szCs w:val="18"/>
              </w:rPr>
              <w:t>14</w:t>
            </w:r>
          </w:p>
        </w:tc>
        <w:tc>
          <w:tcPr>
            <w:tcW w:w="843" w:type="dxa"/>
            <w:shd w:val="clear" w:color="auto" w:fill="auto"/>
            <w:vAlign w:val="center"/>
          </w:tcPr>
          <w:p w14:paraId="28DB967B"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2</w:t>
            </w:r>
          </w:p>
        </w:tc>
        <w:tc>
          <w:tcPr>
            <w:tcW w:w="860" w:type="dxa"/>
            <w:shd w:val="clear" w:color="auto" w:fill="D9D9D9" w:themeFill="background1" w:themeFillShade="D9"/>
            <w:vAlign w:val="center"/>
          </w:tcPr>
          <w:p w14:paraId="0B28A868"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10</w:t>
            </w:r>
          </w:p>
        </w:tc>
        <w:tc>
          <w:tcPr>
            <w:tcW w:w="865" w:type="dxa"/>
            <w:shd w:val="clear" w:color="auto" w:fill="D9D9D9" w:themeFill="background1" w:themeFillShade="D9"/>
            <w:vAlign w:val="center"/>
          </w:tcPr>
          <w:p w14:paraId="31D14857" w14:textId="77777777" w:rsidR="00C51F8F" w:rsidRPr="00E9017B" w:rsidRDefault="00C51F8F" w:rsidP="00DF510F">
            <w:pPr>
              <w:widowControl/>
              <w:tabs>
                <w:tab w:val="decimal" w:pos="454"/>
              </w:tabs>
              <w:rPr>
                <w:rFonts w:cs="Arial"/>
                <w:color w:val="000000"/>
                <w:sz w:val="18"/>
                <w:szCs w:val="18"/>
                <w:highlight w:val="yellow"/>
              </w:rPr>
            </w:pPr>
            <w:r w:rsidRPr="00E9017B">
              <w:rPr>
                <w:rFonts w:cs="Arial"/>
                <w:color w:val="000000"/>
                <w:sz w:val="18"/>
                <w:szCs w:val="18"/>
              </w:rPr>
              <w:t>10</w:t>
            </w:r>
          </w:p>
        </w:tc>
        <w:tc>
          <w:tcPr>
            <w:tcW w:w="843" w:type="dxa"/>
            <w:shd w:val="clear" w:color="auto" w:fill="auto"/>
            <w:vAlign w:val="center"/>
          </w:tcPr>
          <w:p w14:paraId="44D1120A"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1</w:t>
            </w:r>
          </w:p>
        </w:tc>
        <w:tc>
          <w:tcPr>
            <w:tcW w:w="840" w:type="dxa"/>
            <w:shd w:val="clear" w:color="auto" w:fill="D9D9D9" w:themeFill="background1" w:themeFillShade="D9"/>
            <w:vAlign w:val="center"/>
          </w:tcPr>
          <w:p w14:paraId="23ADDAB5"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10</w:t>
            </w:r>
          </w:p>
        </w:tc>
        <w:tc>
          <w:tcPr>
            <w:tcW w:w="843" w:type="dxa"/>
            <w:shd w:val="clear" w:color="auto" w:fill="D9D9D9" w:themeFill="background1" w:themeFillShade="D9"/>
            <w:vAlign w:val="center"/>
          </w:tcPr>
          <w:p w14:paraId="5FAC19C2" w14:textId="77777777" w:rsidR="00C51F8F" w:rsidRPr="00E9017B" w:rsidRDefault="00C51F8F" w:rsidP="00DF510F">
            <w:pPr>
              <w:widowControl/>
              <w:tabs>
                <w:tab w:val="decimal" w:pos="454"/>
              </w:tabs>
              <w:rPr>
                <w:rFonts w:cs="Arial"/>
                <w:color w:val="000000"/>
                <w:sz w:val="18"/>
                <w:szCs w:val="18"/>
                <w:highlight w:val="yellow"/>
              </w:rPr>
            </w:pPr>
            <w:r w:rsidRPr="00E9017B">
              <w:rPr>
                <w:rFonts w:cs="Arial"/>
                <w:color w:val="000000"/>
                <w:sz w:val="18"/>
                <w:szCs w:val="18"/>
              </w:rPr>
              <w:t>10</w:t>
            </w:r>
          </w:p>
        </w:tc>
        <w:tc>
          <w:tcPr>
            <w:tcW w:w="860" w:type="dxa"/>
            <w:shd w:val="clear" w:color="auto" w:fill="auto"/>
            <w:vAlign w:val="center"/>
          </w:tcPr>
          <w:p w14:paraId="686516AB"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1</w:t>
            </w:r>
          </w:p>
        </w:tc>
      </w:tr>
      <w:tr w:rsidR="00C51F8F" w:rsidRPr="00683BE9" w14:paraId="0AD20E59" w14:textId="77777777" w:rsidTr="00221A11">
        <w:trPr>
          <w:cantSplit/>
        </w:trPr>
        <w:tc>
          <w:tcPr>
            <w:tcW w:w="1276" w:type="dxa"/>
            <w:shd w:val="clear" w:color="auto" w:fill="D9D9D9" w:themeFill="background1" w:themeFillShade="D9"/>
            <w:vAlign w:val="center"/>
            <w:hideMark/>
          </w:tcPr>
          <w:p w14:paraId="33EE4550" w14:textId="77777777" w:rsidR="00C51F8F" w:rsidRPr="00F21A49" w:rsidRDefault="00C51F8F" w:rsidP="00DF510F">
            <w:pPr>
              <w:widowControl/>
              <w:rPr>
                <w:rFonts w:cs="Arial"/>
                <w:color w:val="000000"/>
                <w:sz w:val="18"/>
                <w:szCs w:val="18"/>
                <w:lang w:eastAsia="en-GB" w:bidi="ar-SA"/>
              </w:rPr>
            </w:pPr>
            <w:r w:rsidRPr="00F21A49">
              <w:rPr>
                <w:rFonts w:cs="Arial"/>
                <w:color w:val="000000"/>
                <w:sz w:val="18"/>
                <w:szCs w:val="18"/>
                <w:lang w:eastAsia="en-GB" w:bidi="ar-SA"/>
              </w:rPr>
              <w:t>1.1.2</w:t>
            </w:r>
          </w:p>
        </w:tc>
        <w:tc>
          <w:tcPr>
            <w:tcW w:w="425" w:type="dxa"/>
            <w:tcBorders>
              <w:right w:val="nil"/>
            </w:tcBorders>
            <w:shd w:val="clear" w:color="auto" w:fill="D9D9D9" w:themeFill="background1" w:themeFillShade="D9"/>
            <w:vAlign w:val="center"/>
          </w:tcPr>
          <w:p w14:paraId="56E5D3F8" w14:textId="77777777" w:rsidR="00C51F8F" w:rsidRPr="00F21A49" w:rsidRDefault="00C51F8F" w:rsidP="00221A11">
            <w:pPr>
              <w:keepNext/>
              <w:keepLines/>
              <w:widowControl/>
              <w:ind w:left="-114"/>
              <w:rPr>
                <w:rFonts w:cs="Arial"/>
                <w:color w:val="000000"/>
                <w:sz w:val="18"/>
                <w:szCs w:val="18"/>
                <w:lang w:eastAsia="en-GB" w:bidi="ar-SA"/>
              </w:rPr>
            </w:pPr>
          </w:p>
        </w:tc>
        <w:tc>
          <w:tcPr>
            <w:tcW w:w="4866" w:type="dxa"/>
            <w:tcBorders>
              <w:left w:val="nil"/>
            </w:tcBorders>
            <w:shd w:val="clear" w:color="auto" w:fill="D9D9D9" w:themeFill="background1" w:themeFillShade="D9"/>
            <w:vAlign w:val="center"/>
            <w:hideMark/>
          </w:tcPr>
          <w:p w14:paraId="4A01BCFD" w14:textId="77777777" w:rsidR="00C51F8F" w:rsidRPr="00F21A49" w:rsidRDefault="00C51F8F" w:rsidP="00221A11">
            <w:pPr>
              <w:keepNext/>
              <w:keepLines/>
              <w:widowControl/>
              <w:ind w:left="-114"/>
              <w:rPr>
                <w:rFonts w:cs="Arial"/>
                <w:color w:val="000000"/>
                <w:sz w:val="18"/>
                <w:szCs w:val="18"/>
                <w:lang w:eastAsia="en-GB" w:bidi="ar-SA"/>
              </w:rPr>
            </w:pPr>
            <w:r w:rsidRPr="00F21A49">
              <w:rPr>
                <w:rFonts w:cs="Arial"/>
                <w:color w:val="000000"/>
                <w:sz w:val="18"/>
                <w:szCs w:val="18"/>
                <w:lang w:eastAsia="en-GB" w:bidi="ar-SA"/>
              </w:rPr>
              <w:t>Liquid milk products &amp; flavoured liquid milk</w:t>
            </w:r>
          </w:p>
        </w:tc>
        <w:tc>
          <w:tcPr>
            <w:tcW w:w="888" w:type="dxa"/>
            <w:shd w:val="clear" w:color="auto" w:fill="auto"/>
            <w:vAlign w:val="center"/>
          </w:tcPr>
          <w:p w14:paraId="3FBC2554"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1</w:t>
            </w:r>
          </w:p>
        </w:tc>
        <w:tc>
          <w:tcPr>
            <w:tcW w:w="823" w:type="dxa"/>
            <w:vAlign w:val="center"/>
          </w:tcPr>
          <w:p w14:paraId="2FF0E52D" w14:textId="77777777" w:rsidR="00C51F8F" w:rsidRPr="00E9017B" w:rsidRDefault="00C51F8F" w:rsidP="00DF510F">
            <w:pPr>
              <w:widowControl/>
              <w:tabs>
                <w:tab w:val="decimal" w:pos="454"/>
              </w:tabs>
              <w:rPr>
                <w:rFonts w:cs="Arial"/>
                <w:color w:val="000000"/>
                <w:sz w:val="18"/>
                <w:szCs w:val="18"/>
                <w:highlight w:val="yellow"/>
              </w:rPr>
            </w:pPr>
            <w:r w:rsidRPr="00E9017B">
              <w:rPr>
                <w:rFonts w:cs="Arial"/>
                <w:color w:val="000000"/>
                <w:sz w:val="18"/>
                <w:szCs w:val="18"/>
              </w:rPr>
              <w:t>1</w:t>
            </w:r>
          </w:p>
        </w:tc>
        <w:tc>
          <w:tcPr>
            <w:tcW w:w="843" w:type="dxa"/>
            <w:shd w:val="clear" w:color="auto" w:fill="D9D9D9" w:themeFill="background1" w:themeFillShade="D9"/>
            <w:vAlign w:val="center"/>
          </w:tcPr>
          <w:p w14:paraId="4794CB22"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10</w:t>
            </w:r>
          </w:p>
        </w:tc>
        <w:tc>
          <w:tcPr>
            <w:tcW w:w="860" w:type="dxa"/>
            <w:shd w:val="clear" w:color="auto" w:fill="auto"/>
            <w:vAlign w:val="center"/>
          </w:tcPr>
          <w:p w14:paraId="3241C4BF"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1</w:t>
            </w:r>
          </w:p>
        </w:tc>
        <w:tc>
          <w:tcPr>
            <w:tcW w:w="865" w:type="dxa"/>
            <w:vAlign w:val="center"/>
          </w:tcPr>
          <w:p w14:paraId="2025B4B9" w14:textId="77777777" w:rsidR="00C51F8F" w:rsidRPr="00E9017B" w:rsidRDefault="00C51F8F" w:rsidP="00DF510F">
            <w:pPr>
              <w:widowControl/>
              <w:tabs>
                <w:tab w:val="decimal" w:pos="454"/>
              </w:tabs>
              <w:rPr>
                <w:rFonts w:cs="Arial"/>
                <w:color w:val="000000"/>
                <w:sz w:val="18"/>
                <w:szCs w:val="18"/>
                <w:highlight w:val="yellow"/>
              </w:rPr>
            </w:pPr>
            <w:r w:rsidRPr="00E9017B">
              <w:rPr>
                <w:rFonts w:cs="Arial"/>
                <w:color w:val="000000"/>
                <w:sz w:val="18"/>
                <w:szCs w:val="18"/>
              </w:rPr>
              <w:t>1</w:t>
            </w:r>
          </w:p>
        </w:tc>
        <w:tc>
          <w:tcPr>
            <w:tcW w:w="843" w:type="dxa"/>
            <w:shd w:val="clear" w:color="auto" w:fill="D9D9D9" w:themeFill="background1" w:themeFillShade="D9"/>
            <w:vAlign w:val="center"/>
          </w:tcPr>
          <w:p w14:paraId="6192CECF"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8</w:t>
            </w:r>
          </w:p>
        </w:tc>
        <w:tc>
          <w:tcPr>
            <w:tcW w:w="840" w:type="dxa"/>
            <w:shd w:val="clear" w:color="auto" w:fill="auto"/>
            <w:vAlign w:val="center"/>
          </w:tcPr>
          <w:p w14:paraId="5814BE7A"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1</w:t>
            </w:r>
          </w:p>
        </w:tc>
        <w:tc>
          <w:tcPr>
            <w:tcW w:w="843" w:type="dxa"/>
            <w:vAlign w:val="center"/>
          </w:tcPr>
          <w:p w14:paraId="2EDC4203" w14:textId="77777777" w:rsidR="00C51F8F" w:rsidRPr="00E9017B" w:rsidRDefault="00C51F8F" w:rsidP="00DF510F">
            <w:pPr>
              <w:widowControl/>
              <w:tabs>
                <w:tab w:val="decimal" w:pos="454"/>
              </w:tabs>
              <w:rPr>
                <w:rFonts w:cs="Arial"/>
                <w:color w:val="000000"/>
                <w:sz w:val="18"/>
                <w:szCs w:val="18"/>
                <w:highlight w:val="yellow"/>
              </w:rPr>
            </w:pPr>
            <w:r w:rsidRPr="00E9017B">
              <w:rPr>
                <w:rFonts w:cs="Arial"/>
                <w:color w:val="000000"/>
                <w:sz w:val="18"/>
                <w:szCs w:val="18"/>
              </w:rPr>
              <w:t>1</w:t>
            </w:r>
          </w:p>
        </w:tc>
        <w:tc>
          <w:tcPr>
            <w:tcW w:w="860" w:type="dxa"/>
            <w:shd w:val="clear" w:color="auto" w:fill="D9D9D9" w:themeFill="background1" w:themeFillShade="D9"/>
            <w:vAlign w:val="center"/>
          </w:tcPr>
          <w:p w14:paraId="52DD31F3"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8</w:t>
            </w:r>
          </w:p>
        </w:tc>
      </w:tr>
      <w:tr w:rsidR="00C51F8F" w:rsidRPr="00683BE9" w14:paraId="5B9AD86D" w14:textId="77777777" w:rsidTr="00221A11">
        <w:trPr>
          <w:cantSplit/>
        </w:trPr>
        <w:tc>
          <w:tcPr>
            <w:tcW w:w="1276" w:type="dxa"/>
            <w:shd w:val="clear" w:color="auto" w:fill="D9D9D9" w:themeFill="background1" w:themeFillShade="D9"/>
            <w:vAlign w:val="center"/>
            <w:hideMark/>
          </w:tcPr>
          <w:p w14:paraId="4504C4AB" w14:textId="77777777" w:rsidR="00C51F8F" w:rsidRPr="00F21A49" w:rsidRDefault="00C51F8F" w:rsidP="00DF510F">
            <w:pPr>
              <w:widowControl/>
              <w:rPr>
                <w:rFonts w:cs="Arial"/>
                <w:color w:val="000000"/>
                <w:sz w:val="18"/>
                <w:szCs w:val="18"/>
                <w:lang w:eastAsia="en-GB" w:bidi="ar-SA"/>
              </w:rPr>
            </w:pPr>
            <w:r w:rsidRPr="00F21A49">
              <w:rPr>
                <w:rFonts w:cs="Arial"/>
                <w:color w:val="000000"/>
                <w:sz w:val="18"/>
                <w:szCs w:val="18"/>
                <w:lang w:eastAsia="en-GB" w:bidi="ar-SA"/>
              </w:rPr>
              <w:t>1.2.2</w:t>
            </w:r>
          </w:p>
        </w:tc>
        <w:tc>
          <w:tcPr>
            <w:tcW w:w="425" w:type="dxa"/>
            <w:tcBorders>
              <w:right w:val="nil"/>
            </w:tcBorders>
            <w:shd w:val="clear" w:color="auto" w:fill="D9D9D9" w:themeFill="background1" w:themeFillShade="D9"/>
            <w:vAlign w:val="center"/>
          </w:tcPr>
          <w:p w14:paraId="62F9A86A" w14:textId="77777777" w:rsidR="00C51F8F" w:rsidRPr="00F21A49" w:rsidRDefault="00C51F8F" w:rsidP="00221A11">
            <w:pPr>
              <w:keepNext/>
              <w:keepLines/>
              <w:widowControl/>
              <w:ind w:left="-114"/>
              <w:rPr>
                <w:rFonts w:cs="Arial"/>
                <w:color w:val="000000"/>
                <w:sz w:val="18"/>
                <w:szCs w:val="18"/>
                <w:lang w:eastAsia="en-GB" w:bidi="ar-SA"/>
              </w:rPr>
            </w:pPr>
          </w:p>
        </w:tc>
        <w:tc>
          <w:tcPr>
            <w:tcW w:w="4866" w:type="dxa"/>
            <w:tcBorders>
              <w:left w:val="nil"/>
            </w:tcBorders>
            <w:shd w:val="clear" w:color="auto" w:fill="D9D9D9" w:themeFill="background1" w:themeFillShade="D9"/>
            <w:vAlign w:val="center"/>
            <w:hideMark/>
          </w:tcPr>
          <w:p w14:paraId="1EBED19D" w14:textId="77777777" w:rsidR="00C51F8F" w:rsidRPr="00F21A49" w:rsidRDefault="00C51F8F" w:rsidP="00221A11">
            <w:pPr>
              <w:keepNext/>
              <w:keepLines/>
              <w:widowControl/>
              <w:ind w:left="-114"/>
              <w:rPr>
                <w:rFonts w:cs="Arial"/>
                <w:color w:val="000000"/>
                <w:sz w:val="18"/>
                <w:szCs w:val="18"/>
                <w:lang w:eastAsia="en-GB" w:bidi="ar-SA"/>
              </w:rPr>
            </w:pPr>
            <w:r w:rsidRPr="00F21A49">
              <w:rPr>
                <w:rFonts w:cs="Arial"/>
                <w:color w:val="000000"/>
                <w:sz w:val="18"/>
                <w:szCs w:val="18"/>
                <w:lang w:eastAsia="en-GB" w:bidi="ar-SA"/>
              </w:rPr>
              <w:t>Fermented &amp; rennetted milk products, flavoured</w:t>
            </w:r>
          </w:p>
        </w:tc>
        <w:tc>
          <w:tcPr>
            <w:tcW w:w="888" w:type="dxa"/>
            <w:shd w:val="clear" w:color="auto" w:fill="auto"/>
            <w:vAlign w:val="center"/>
          </w:tcPr>
          <w:p w14:paraId="197C251E"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4AA8A266" w14:textId="77777777" w:rsidR="00C51F8F" w:rsidRPr="00E9017B" w:rsidRDefault="00C51F8F" w:rsidP="00DF510F">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D9D9D9" w:themeFill="background1" w:themeFillShade="D9"/>
            <w:vAlign w:val="center"/>
          </w:tcPr>
          <w:p w14:paraId="426B0D3A"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5</w:t>
            </w:r>
          </w:p>
        </w:tc>
        <w:tc>
          <w:tcPr>
            <w:tcW w:w="860" w:type="dxa"/>
            <w:shd w:val="clear" w:color="auto" w:fill="auto"/>
            <w:vAlign w:val="center"/>
          </w:tcPr>
          <w:p w14:paraId="1FE752AC"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085B59D8" w14:textId="77777777" w:rsidR="00C51F8F" w:rsidRPr="00E9017B" w:rsidRDefault="00C51F8F" w:rsidP="00DF510F">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D9D9D9" w:themeFill="background1" w:themeFillShade="D9"/>
            <w:vAlign w:val="center"/>
          </w:tcPr>
          <w:p w14:paraId="33926047"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6</w:t>
            </w:r>
          </w:p>
        </w:tc>
        <w:tc>
          <w:tcPr>
            <w:tcW w:w="840" w:type="dxa"/>
            <w:shd w:val="clear" w:color="auto" w:fill="auto"/>
            <w:vAlign w:val="center"/>
          </w:tcPr>
          <w:p w14:paraId="11844F19"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1BDB3A9D" w14:textId="77777777" w:rsidR="00C51F8F" w:rsidRPr="00E9017B" w:rsidRDefault="00C51F8F" w:rsidP="00DF510F">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D9D9D9" w:themeFill="background1" w:themeFillShade="D9"/>
            <w:vAlign w:val="center"/>
          </w:tcPr>
          <w:p w14:paraId="44646C48" w14:textId="77777777" w:rsidR="00C51F8F" w:rsidRPr="00E9017B" w:rsidRDefault="00C51F8F" w:rsidP="00DF510F">
            <w:pPr>
              <w:widowControl/>
              <w:tabs>
                <w:tab w:val="decimal" w:pos="454"/>
              </w:tabs>
              <w:rPr>
                <w:rFonts w:cs="Arial"/>
                <w:color w:val="000000"/>
                <w:sz w:val="18"/>
                <w:szCs w:val="18"/>
                <w:highlight w:val="yellow"/>
                <w:lang w:eastAsia="en-GB" w:bidi="ar-SA"/>
              </w:rPr>
            </w:pPr>
            <w:r w:rsidRPr="00E9017B">
              <w:rPr>
                <w:rFonts w:cs="Arial"/>
                <w:color w:val="000000"/>
                <w:sz w:val="18"/>
                <w:szCs w:val="18"/>
              </w:rPr>
              <w:t>6</w:t>
            </w:r>
          </w:p>
        </w:tc>
      </w:tr>
      <w:tr w:rsidR="00E907D7" w:rsidRPr="00683BE9" w14:paraId="05F7F858" w14:textId="77777777" w:rsidTr="00C51F8F">
        <w:trPr>
          <w:cantSplit/>
        </w:trPr>
        <w:tc>
          <w:tcPr>
            <w:tcW w:w="1276" w:type="dxa"/>
            <w:shd w:val="clear" w:color="auto" w:fill="auto"/>
            <w:vAlign w:val="center"/>
            <w:hideMark/>
          </w:tcPr>
          <w:p w14:paraId="2BE17637" w14:textId="77777777" w:rsidR="00E907D7" w:rsidRPr="00C74A6B" w:rsidRDefault="00E907D7" w:rsidP="00C74A6B">
            <w:pPr>
              <w:rPr>
                <w:rFonts w:cs="Arial"/>
                <w:bCs/>
                <w:color w:val="000000"/>
                <w:sz w:val="18"/>
                <w:szCs w:val="18"/>
                <w:lang w:eastAsia="en-GB" w:bidi="ar-SA"/>
              </w:rPr>
            </w:pPr>
            <w:r w:rsidRPr="00C74A6B">
              <w:rPr>
                <w:rFonts w:cs="Arial"/>
                <w:bCs/>
                <w:color w:val="000000"/>
                <w:sz w:val="18"/>
                <w:szCs w:val="18"/>
                <w:lang w:eastAsia="en-GB" w:bidi="ar-SA"/>
              </w:rPr>
              <w:t>2</w:t>
            </w:r>
          </w:p>
        </w:tc>
        <w:tc>
          <w:tcPr>
            <w:tcW w:w="5291" w:type="dxa"/>
            <w:gridSpan w:val="2"/>
            <w:tcBorders>
              <w:bottom w:val="single" w:sz="4" w:space="0" w:color="auto"/>
            </w:tcBorders>
            <w:shd w:val="clear" w:color="auto" w:fill="auto"/>
            <w:vAlign w:val="center"/>
          </w:tcPr>
          <w:p w14:paraId="0380EDA8"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Edible oils &amp; oil emulsions</w:t>
            </w:r>
          </w:p>
        </w:tc>
        <w:tc>
          <w:tcPr>
            <w:tcW w:w="888" w:type="dxa"/>
            <w:shd w:val="clear" w:color="auto" w:fill="auto"/>
            <w:vAlign w:val="center"/>
          </w:tcPr>
          <w:p w14:paraId="0429F910"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c>
          <w:tcPr>
            <w:tcW w:w="823" w:type="dxa"/>
            <w:vAlign w:val="center"/>
          </w:tcPr>
          <w:p w14:paraId="594482AC"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&lt;1</w:t>
            </w:r>
          </w:p>
        </w:tc>
        <w:tc>
          <w:tcPr>
            <w:tcW w:w="843" w:type="dxa"/>
            <w:shd w:val="clear" w:color="auto" w:fill="auto"/>
            <w:vAlign w:val="center"/>
          </w:tcPr>
          <w:p w14:paraId="3455F29A"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c>
          <w:tcPr>
            <w:tcW w:w="860" w:type="dxa"/>
            <w:shd w:val="clear" w:color="auto" w:fill="auto"/>
            <w:vAlign w:val="center"/>
          </w:tcPr>
          <w:p w14:paraId="6048C9EC"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&lt;1</w:t>
            </w:r>
          </w:p>
        </w:tc>
        <w:tc>
          <w:tcPr>
            <w:tcW w:w="865" w:type="dxa"/>
            <w:vAlign w:val="center"/>
          </w:tcPr>
          <w:p w14:paraId="6377439D"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&lt;1</w:t>
            </w:r>
          </w:p>
        </w:tc>
        <w:tc>
          <w:tcPr>
            <w:tcW w:w="843" w:type="dxa"/>
            <w:shd w:val="clear" w:color="auto" w:fill="auto"/>
            <w:vAlign w:val="center"/>
          </w:tcPr>
          <w:p w14:paraId="7169D8EA"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&lt;1</w:t>
            </w:r>
          </w:p>
        </w:tc>
        <w:tc>
          <w:tcPr>
            <w:tcW w:w="840" w:type="dxa"/>
            <w:shd w:val="clear" w:color="auto" w:fill="auto"/>
            <w:vAlign w:val="center"/>
          </w:tcPr>
          <w:p w14:paraId="04B38505"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&lt;1</w:t>
            </w:r>
          </w:p>
        </w:tc>
        <w:tc>
          <w:tcPr>
            <w:tcW w:w="843" w:type="dxa"/>
            <w:vAlign w:val="center"/>
          </w:tcPr>
          <w:p w14:paraId="7602B59A"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&lt;1</w:t>
            </w:r>
          </w:p>
        </w:tc>
        <w:tc>
          <w:tcPr>
            <w:tcW w:w="860" w:type="dxa"/>
            <w:shd w:val="clear" w:color="auto" w:fill="auto"/>
            <w:vAlign w:val="center"/>
          </w:tcPr>
          <w:p w14:paraId="60FDDC44"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&lt;1</w:t>
            </w:r>
          </w:p>
        </w:tc>
      </w:tr>
      <w:tr w:rsidR="00E907D7" w:rsidRPr="00683BE9" w14:paraId="33DF2190" w14:textId="77777777" w:rsidTr="00C51F8F">
        <w:trPr>
          <w:cantSplit/>
        </w:trPr>
        <w:tc>
          <w:tcPr>
            <w:tcW w:w="1276" w:type="dxa"/>
            <w:shd w:val="clear" w:color="auto" w:fill="auto"/>
            <w:vAlign w:val="center"/>
            <w:hideMark/>
          </w:tcPr>
          <w:p w14:paraId="7A6E64D4" w14:textId="77777777" w:rsidR="00E907D7" w:rsidRPr="00C74A6B" w:rsidRDefault="00E907D7" w:rsidP="00C74A6B">
            <w:pPr>
              <w:rPr>
                <w:rFonts w:cs="Arial"/>
                <w:bCs/>
                <w:color w:val="000000"/>
                <w:sz w:val="18"/>
                <w:szCs w:val="18"/>
                <w:lang w:eastAsia="en-GB" w:bidi="ar-SA"/>
              </w:rPr>
            </w:pPr>
            <w:r w:rsidRPr="00C74A6B">
              <w:rPr>
                <w:rFonts w:cs="Arial"/>
                <w:bCs/>
                <w:color w:val="000000"/>
                <w:sz w:val="18"/>
                <w:szCs w:val="18"/>
                <w:lang w:eastAsia="en-GB" w:bidi="ar-SA"/>
              </w:rPr>
              <w:t>3</w:t>
            </w:r>
          </w:p>
        </w:tc>
        <w:tc>
          <w:tcPr>
            <w:tcW w:w="5291" w:type="dxa"/>
            <w:gridSpan w:val="2"/>
            <w:shd w:val="clear" w:color="auto" w:fill="auto"/>
            <w:vAlign w:val="center"/>
          </w:tcPr>
          <w:p w14:paraId="781F20B5"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Ice cream &amp; edible ices</w:t>
            </w:r>
          </w:p>
        </w:tc>
        <w:tc>
          <w:tcPr>
            <w:tcW w:w="888" w:type="dxa"/>
            <w:shd w:val="clear" w:color="auto" w:fill="auto"/>
            <w:vAlign w:val="center"/>
          </w:tcPr>
          <w:p w14:paraId="5D36BE28"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1</w:t>
            </w:r>
          </w:p>
        </w:tc>
        <w:tc>
          <w:tcPr>
            <w:tcW w:w="823" w:type="dxa"/>
            <w:vAlign w:val="center"/>
          </w:tcPr>
          <w:p w14:paraId="1829EEDB"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1</w:t>
            </w:r>
          </w:p>
        </w:tc>
        <w:tc>
          <w:tcPr>
            <w:tcW w:w="843" w:type="dxa"/>
            <w:shd w:val="clear" w:color="auto" w:fill="auto"/>
            <w:vAlign w:val="center"/>
          </w:tcPr>
          <w:p w14:paraId="1BBD17BC"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c>
          <w:tcPr>
            <w:tcW w:w="860" w:type="dxa"/>
            <w:shd w:val="clear" w:color="auto" w:fill="auto"/>
            <w:vAlign w:val="center"/>
          </w:tcPr>
          <w:p w14:paraId="40444869"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&lt;1</w:t>
            </w:r>
          </w:p>
        </w:tc>
        <w:tc>
          <w:tcPr>
            <w:tcW w:w="865" w:type="dxa"/>
            <w:vAlign w:val="center"/>
          </w:tcPr>
          <w:p w14:paraId="169AB811"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&lt;1</w:t>
            </w:r>
          </w:p>
        </w:tc>
        <w:tc>
          <w:tcPr>
            <w:tcW w:w="843" w:type="dxa"/>
            <w:shd w:val="clear" w:color="auto" w:fill="auto"/>
            <w:vAlign w:val="center"/>
          </w:tcPr>
          <w:p w14:paraId="4894286F"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&lt;1</w:t>
            </w:r>
          </w:p>
        </w:tc>
        <w:tc>
          <w:tcPr>
            <w:tcW w:w="840" w:type="dxa"/>
            <w:shd w:val="clear" w:color="auto" w:fill="auto"/>
            <w:vAlign w:val="center"/>
          </w:tcPr>
          <w:p w14:paraId="76E0165E"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c>
          <w:tcPr>
            <w:tcW w:w="843" w:type="dxa"/>
            <w:vAlign w:val="center"/>
          </w:tcPr>
          <w:p w14:paraId="0DC71182"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&lt;1</w:t>
            </w:r>
          </w:p>
        </w:tc>
        <w:tc>
          <w:tcPr>
            <w:tcW w:w="860" w:type="dxa"/>
            <w:shd w:val="clear" w:color="auto" w:fill="auto"/>
            <w:vAlign w:val="center"/>
          </w:tcPr>
          <w:p w14:paraId="28F7575C"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r>
      <w:tr w:rsidR="00E907D7" w:rsidRPr="00683BE9" w14:paraId="296E9775" w14:textId="77777777" w:rsidTr="00C51F8F">
        <w:trPr>
          <w:cantSplit/>
        </w:trPr>
        <w:tc>
          <w:tcPr>
            <w:tcW w:w="1276" w:type="dxa"/>
            <w:shd w:val="clear" w:color="auto" w:fill="auto"/>
            <w:vAlign w:val="center"/>
            <w:hideMark/>
          </w:tcPr>
          <w:p w14:paraId="2548EF9D" w14:textId="77777777" w:rsidR="00E907D7" w:rsidRPr="00C74A6B" w:rsidRDefault="00E907D7" w:rsidP="00C74A6B">
            <w:pPr>
              <w:rPr>
                <w:rFonts w:cs="Arial"/>
                <w:bCs/>
                <w:color w:val="000000"/>
                <w:sz w:val="18"/>
                <w:szCs w:val="18"/>
                <w:lang w:eastAsia="en-GB" w:bidi="ar-SA"/>
              </w:rPr>
            </w:pPr>
            <w:r w:rsidRPr="00C74A6B">
              <w:rPr>
                <w:rFonts w:cs="Arial"/>
                <w:bCs/>
                <w:color w:val="000000"/>
                <w:sz w:val="18"/>
                <w:szCs w:val="18"/>
                <w:lang w:eastAsia="en-GB" w:bidi="ar-SA"/>
              </w:rPr>
              <w:t>4</w:t>
            </w:r>
          </w:p>
        </w:tc>
        <w:tc>
          <w:tcPr>
            <w:tcW w:w="5291" w:type="dxa"/>
            <w:gridSpan w:val="2"/>
            <w:tcBorders>
              <w:bottom w:val="single" w:sz="4" w:space="0" w:color="auto"/>
            </w:tcBorders>
            <w:shd w:val="clear" w:color="auto" w:fill="auto"/>
            <w:vAlign w:val="center"/>
          </w:tcPr>
          <w:p w14:paraId="7A1D30B9"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Fruit &amp; vegetables (including fungi/ nuts/ seeds/ herbs/ spices)</w:t>
            </w:r>
          </w:p>
        </w:tc>
        <w:tc>
          <w:tcPr>
            <w:tcW w:w="888" w:type="dxa"/>
            <w:shd w:val="clear" w:color="auto" w:fill="auto"/>
            <w:vAlign w:val="center"/>
          </w:tcPr>
          <w:p w14:paraId="4CE32F7A"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2</w:t>
            </w:r>
          </w:p>
        </w:tc>
        <w:tc>
          <w:tcPr>
            <w:tcW w:w="823" w:type="dxa"/>
            <w:vAlign w:val="center"/>
          </w:tcPr>
          <w:p w14:paraId="42A14857"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2</w:t>
            </w:r>
          </w:p>
        </w:tc>
        <w:tc>
          <w:tcPr>
            <w:tcW w:w="843" w:type="dxa"/>
            <w:shd w:val="clear" w:color="auto" w:fill="auto"/>
            <w:vAlign w:val="center"/>
          </w:tcPr>
          <w:p w14:paraId="40611676"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c>
          <w:tcPr>
            <w:tcW w:w="860" w:type="dxa"/>
            <w:shd w:val="clear" w:color="auto" w:fill="auto"/>
            <w:vAlign w:val="center"/>
          </w:tcPr>
          <w:p w14:paraId="67A77313"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2</w:t>
            </w:r>
          </w:p>
        </w:tc>
        <w:tc>
          <w:tcPr>
            <w:tcW w:w="865" w:type="dxa"/>
            <w:vAlign w:val="center"/>
          </w:tcPr>
          <w:p w14:paraId="1DF68150"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2</w:t>
            </w:r>
          </w:p>
        </w:tc>
        <w:tc>
          <w:tcPr>
            <w:tcW w:w="843" w:type="dxa"/>
            <w:shd w:val="clear" w:color="auto" w:fill="auto"/>
            <w:vAlign w:val="center"/>
          </w:tcPr>
          <w:p w14:paraId="14CB92A3"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&lt;1</w:t>
            </w:r>
          </w:p>
        </w:tc>
        <w:tc>
          <w:tcPr>
            <w:tcW w:w="840" w:type="dxa"/>
            <w:shd w:val="clear" w:color="auto" w:fill="auto"/>
            <w:vAlign w:val="center"/>
          </w:tcPr>
          <w:p w14:paraId="60C53002"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2</w:t>
            </w:r>
          </w:p>
        </w:tc>
        <w:tc>
          <w:tcPr>
            <w:tcW w:w="843" w:type="dxa"/>
            <w:vAlign w:val="center"/>
          </w:tcPr>
          <w:p w14:paraId="07CFB0CB"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2</w:t>
            </w:r>
          </w:p>
        </w:tc>
        <w:tc>
          <w:tcPr>
            <w:tcW w:w="860" w:type="dxa"/>
            <w:shd w:val="clear" w:color="auto" w:fill="auto"/>
            <w:vAlign w:val="center"/>
          </w:tcPr>
          <w:p w14:paraId="45BE1D15"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r>
      <w:tr w:rsidR="00E907D7" w:rsidRPr="00683BE9" w14:paraId="725D9683" w14:textId="77777777" w:rsidTr="00C51F8F">
        <w:trPr>
          <w:cantSplit/>
        </w:trPr>
        <w:tc>
          <w:tcPr>
            <w:tcW w:w="1276" w:type="dxa"/>
            <w:shd w:val="clear" w:color="auto" w:fill="D9D9D9" w:themeFill="background1" w:themeFillShade="D9"/>
            <w:vAlign w:val="center"/>
            <w:hideMark/>
          </w:tcPr>
          <w:p w14:paraId="3106C0BF" w14:textId="77777777" w:rsidR="00E907D7" w:rsidRPr="00C74A6B" w:rsidRDefault="00E907D7" w:rsidP="00C74A6B">
            <w:pPr>
              <w:rPr>
                <w:rFonts w:cs="Arial"/>
                <w:bCs/>
                <w:color w:val="000000"/>
                <w:sz w:val="18"/>
                <w:szCs w:val="18"/>
                <w:lang w:eastAsia="en-GB" w:bidi="ar-SA"/>
              </w:rPr>
            </w:pPr>
            <w:r w:rsidRPr="00C74A6B">
              <w:rPr>
                <w:rFonts w:cs="Arial"/>
                <w:bCs/>
                <w:color w:val="000000"/>
                <w:sz w:val="18"/>
                <w:szCs w:val="18"/>
                <w:lang w:eastAsia="en-GB" w:bidi="ar-SA"/>
              </w:rPr>
              <w:t>5</w:t>
            </w:r>
          </w:p>
        </w:tc>
        <w:tc>
          <w:tcPr>
            <w:tcW w:w="5291" w:type="dxa"/>
            <w:gridSpan w:val="2"/>
            <w:tcBorders>
              <w:bottom w:val="single" w:sz="4" w:space="0" w:color="auto"/>
            </w:tcBorders>
            <w:shd w:val="clear" w:color="auto" w:fill="D9D9D9" w:themeFill="background1" w:themeFillShade="D9"/>
            <w:vAlign w:val="center"/>
          </w:tcPr>
          <w:p w14:paraId="6B1D21EC"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Confectionery</w:t>
            </w:r>
          </w:p>
        </w:tc>
        <w:tc>
          <w:tcPr>
            <w:tcW w:w="888" w:type="dxa"/>
            <w:shd w:val="clear" w:color="auto" w:fill="auto"/>
            <w:vAlign w:val="center"/>
          </w:tcPr>
          <w:p w14:paraId="57AB3FF6"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2</w:t>
            </w:r>
          </w:p>
        </w:tc>
        <w:tc>
          <w:tcPr>
            <w:tcW w:w="823" w:type="dxa"/>
            <w:vAlign w:val="center"/>
          </w:tcPr>
          <w:p w14:paraId="5FC1A97D"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2</w:t>
            </w:r>
          </w:p>
        </w:tc>
        <w:tc>
          <w:tcPr>
            <w:tcW w:w="843" w:type="dxa"/>
            <w:shd w:val="clear" w:color="auto" w:fill="D9D9D9" w:themeFill="background1" w:themeFillShade="D9"/>
            <w:vAlign w:val="center"/>
          </w:tcPr>
          <w:p w14:paraId="23901A8C"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14</w:t>
            </w:r>
          </w:p>
        </w:tc>
        <w:tc>
          <w:tcPr>
            <w:tcW w:w="860" w:type="dxa"/>
            <w:shd w:val="clear" w:color="auto" w:fill="auto"/>
            <w:vAlign w:val="center"/>
          </w:tcPr>
          <w:p w14:paraId="6A57232E"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&lt;1</w:t>
            </w:r>
          </w:p>
        </w:tc>
        <w:tc>
          <w:tcPr>
            <w:tcW w:w="865" w:type="dxa"/>
            <w:vAlign w:val="center"/>
          </w:tcPr>
          <w:p w14:paraId="2BED9000"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&lt;1</w:t>
            </w:r>
          </w:p>
        </w:tc>
        <w:tc>
          <w:tcPr>
            <w:tcW w:w="843" w:type="dxa"/>
            <w:shd w:val="clear" w:color="auto" w:fill="D9D9D9" w:themeFill="background1" w:themeFillShade="D9"/>
            <w:vAlign w:val="center"/>
          </w:tcPr>
          <w:p w14:paraId="53BA263E"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6</w:t>
            </w:r>
          </w:p>
        </w:tc>
        <w:tc>
          <w:tcPr>
            <w:tcW w:w="840" w:type="dxa"/>
            <w:shd w:val="clear" w:color="auto" w:fill="auto"/>
            <w:vAlign w:val="center"/>
          </w:tcPr>
          <w:p w14:paraId="2759F4FD"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c>
          <w:tcPr>
            <w:tcW w:w="843" w:type="dxa"/>
            <w:vAlign w:val="center"/>
          </w:tcPr>
          <w:p w14:paraId="411846EE"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&lt;1</w:t>
            </w:r>
          </w:p>
        </w:tc>
        <w:tc>
          <w:tcPr>
            <w:tcW w:w="860" w:type="dxa"/>
            <w:shd w:val="clear" w:color="auto" w:fill="D9D9D9" w:themeFill="background1" w:themeFillShade="D9"/>
            <w:vAlign w:val="center"/>
          </w:tcPr>
          <w:p w14:paraId="5B65FB11"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6</w:t>
            </w:r>
          </w:p>
        </w:tc>
      </w:tr>
      <w:tr w:rsidR="00C51F8F" w:rsidRPr="00683BE9" w14:paraId="0CAFFD3C" w14:textId="77777777" w:rsidTr="00221A11">
        <w:trPr>
          <w:cantSplit/>
        </w:trPr>
        <w:tc>
          <w:tcPr>
            <w:tcW w:w="1276" w:type="dxa"/>
            <w:shd w:val="clear" w:color="auto" w:fill="D9D9D9" w:themeFill="background1" w:themeFillShade="D9"/>
            <w:vAlign w:val="center"/>
            <w:hideMark/>
          </w:tcPr>
          <w:p w14:paraId="69B81A2E" w14:textId="77777777" w:rsidR="00C51F8F" w:rsidRPr="005F1835" w:rsidRDefault="00C51F8F" w:rsidP="00DF510F">
            <w:pPr>
              <w:widowControl/>
              <w:rPr>
                <w:rFonts w:cs="Arial"/>
                <w:color w:val="000000"/>
                <w:sz w:val="18"/>
                <w:szCs w:val="18"/>
                <w:lang w:eastAsia="en-GB" w:bidi="ar-SA"/>
              </w:rPr>
            </w:pPr>
            <w:r w:rsidRPr="005F1835">
              <w:rPr>
                <w:rFonts w:cs="Arial"/>
                <w:color w:val="000000"/>
                <w:sz w:val="18"/>
                <w:szCs w:val="18"/>
                <w:lang w:eastAsia="en-GB" w:bidi="ar-SA"/>
              </w:rPr>
              <w:t>5.2</w:t>
            </w:r>
          </w:p>
        </w:tc>
        <w:tc>
          <w:tcPr>
            <w:tcW w:w="425" w:type="dxa"/>
            <w:tcBorders>
              <w:bottom w:val="single" w:sz="4" w:space="0" w:color="auto"/>
              <w:right w:val="nil"/>
            </w:tcBorders>
            <w:shd w:val="clear" w:color="auto" w:fill="D9D9D9" w:themeFill="background1" w:themeFillShade="D9"/>
            <w:vAlign w:val="center"/>
          </w:tcPr>
          <w:p w14:paraId="56D13498" w14:textId="77777777" w:rsidR="00C51F8F" w:rsidRPr="005F1835" w:rsidRDefault="00C51F8F" w:rsidP="00DF510F">
            <w:pPr>
              <w:widowControl/>
              <w:rPr>
                <w:rFonts w:cs="Arial"/>
                <w:color w:val="000000"/>
                <w:sz w:val="18"/>
                <w:szCs w:val="18"/>
                <w:lang w:eastAsia="en-GB" w:bidi="ar-SA"/>
              </w:rPr>
            </w:pPr>
          </w:p>
        </w:tc>
        <w:tc>
          <w:tcPr>
            <w:tcW w:w="4866" w:type="dxa"/>
            <w:tcBorders>
              <w:left w:val="nil"/>
              <w:bottom w:val="single" w:sz="4" w:space="0" w:color="auto"/>
            </w:tcBorders>
            <w:shd w:val="clear" w:color="auto" w:fill="D9D9D9" w:themeFill="background1" w:themeFillShade="D9"/>
            <w:vAlign w:val="center"/>
            <w:hideMark/>
          </w:tcPr>
          <w:p w14:paraId="32DB9BE9" w14:textId="77777777" w:rsidR="00C51F8F" w:rsidRPr="005F1835" w:rsidRDefault="00C51F8F" w:rsidP="00221A11">
            <w:pPr>
              <w:keepNext/>
              <w:keepLines/>
              <w:widowControl/>
              <w:ind w:left="-114"/>
              <w:rPr>
                <w:rFonts w:cs="Arial"/>
                <w:color w:val="000000"/>
                <w:sz w:val="18"/>
                <w:szCs w:val="18"/>
                <w:lang w:eastAsia="en-GB" w:bidi="ar-SA"/>
              </w:rPr>
            </w:pPr>
            <w:r w:rsidRPr="005F1835">
              <w:rPr>
                <w:rFonts w:cs="Arial"/>
                <w:color w:val="000000"/>
                <w:sz w:val="18"/>
                <w:szCs w:val="18"/>
                <w:lang w:eastAsia="en-GB" w:bidi="ar-SA"/>
              </w:rPr>
              <w:t>Sugar confectionery (excluding bubble gum &amp; chewing gum)</w:t>
            </w:r>
          </w:p>
        </w:tc>
        <w:tc>
          <w:tcPr>
            <w:tcW w:w="888" w:type="dxa"/>
            <w:shd w:val="clear" w:color="auto" w:fill="auto"/>
            <w:vAlign w:val="center"/>
          </w:tcPr>
          <w:p w14:paraId="2DF91AAE"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vAlign w:val="center"/>
          </w:tcPr>
          <w:p w14:paraId="4881414E"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D9D9D9" w:themeFill="background1" w:themeFillShade="D9"/>
            <w:vAlign w:val="center"/>
          </w:tcPr>
          <w:p w14:paraId="21B31ABD"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8</w:t>
            </w:r>
          </w:p>
        </w:tc>
        <w:tc>
          <w:tcPr>
            <w:tcW w:w="860" w:type="dxa"/>
            <w:shd w:val="clear" w:color="auto" w:fill="auto"/>
            <w:vAlign w:val="center"/>
          </w:tcPr>
          <w:p w14:paraId="6F15907C"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5" w:type="dxa"/>
            <w:vAlign w:val="center"/>
          </w:tcPr>
          <w:p w14:paraId="2954DE5C"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37E325E5"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3</w:t>
            </w:r>
          </w:p>
        </w:tc>
        <w:tc>
          <w:tcPr>
            <w:tcW w:w="840" w:type="dxa"/>
            <w:shd w:val="clear" w:color="auto" w:fill="auto"/>
            <w:vAlign w:val="center"/>
          </w:tcPr>
          <w:p w14:paraId="20319E0E"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3" w:type="dxa"/>
            <w:vAlign w:val="center"/>
          </w:tcPr>
          <w:p w14:paraId="2A894D17"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0</w:t>
            </w:r>
          </w:p>
        </w:tc>
        <w:tc>
          <w:tcPr>
            <w:tcW w:w="860" w:type="dxa"/>
            <w:shd w:val="clear" w:color="auto" w:fill="auto"/>
            <w:vAlign w:val="center"/>
          </w:tcPr>
          <w:p w14:paraId="705F2233"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3</w:t>
            </w:r>
          </w:p>
        </w:tc>
      </w:tr>
      <w:tr w:rsidR="00E907D7" w:rsidRPr="00683BE9" w14:paraId="3C511895" w14:textId="77777777" w:rsidTr="00C51F8F">
        <w:trPr>
          <w:cantSplit/>
        </w:trPr>
        <w:tc>
          <w:tcPr>
            <w:tcW w:w="1276" w:type="dxa"/>
            <w:shd w:val="clear" w:color="auto" w:fill="D9D9D9" w:themeFill="background1" w:themeFillShade="D9"/>
            <w:vAlign w:val="center"/>
            <w:hideMark/>
          </w:tcPr>
          <w:p w14:paraId="4B6DC3B9" w14:textId="77777777" w:rsidR="00E907D7" w:rsidRPr="00C74A6B" w:rsidRDefault="00E907D7" w:rsidP="00C74A6B">
            <w:pPr>
              <w:rPr>
                <w:rFonts w:cs="Arial"/>
                <w:bCs/>
                <w:color w:val="000000"/>
                <w:sz w:val="18"/>
                <w:szCs w:val="18"/>
                <w:lang w:eastAsia="en-GB" w:bidi="ar-SA"/>
              </w:rPr>
            </w:pPr>
            <w:r w:rsidRPr="00C74A6B">
              <w:rPr>
                <w:rFonts w:cs="Arial"/>
                <w:bCs/>
                <w:color w:val="000000"/>
                <w:sz w:val="18"/>
                <w:szCs w:val="18"/>
                <w:lang w:eastAsia="en-GB" w:bidi="ar-SA"/>
              </w:rPr>
              <w:t>6</w:t>
            </w:r>
          </w:p>
        </w:tc>
        <w:tc>
          <w:tcPr>
            <w:tcW w:w="5291" w:type="dxa"/>
            <w:gridSpan w:val="2"/>
            <w:tcBorders>
              <w:bottom w:val="single" w:sz="4" w:space="0" w:color="auto"/>
            </w:tcBorders>
            <w:shd w:val="clear" w:color="auto" w:fill="D9D9D9" w:themeFill="background1" w:themeFillShade="D9"/>
            <w:vAlign w:val="center"/>
          </w:tcPr>
          <w:p w14:paraId="4CFA67DF"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Cereals &amp; cereal products</w:t>
            </w:r>
          </w:p>
        </w:tc>
        <w:tc>
          <w:tcPr>
            <w:tcW w:w="888" w:type="dxa"/>
            <w:shd w:val="clear" w:color="auto" w:fill="auto"/>
            <w:vAlign w:val="center"/>
          </w:tcPr>
          <w:p w14:paraId="3D6FC3C8"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c>
          <w:tcPr>
            <w:tcW w:w="823" w:type="dxa"/>
            <w:vAlign w:val="center"/>
          </w:tcPr>
          <w:p w14:paraId="03B6AD78"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c>
          <w:tcPr>
            <w:tcW w:w="843" w:type="dxa"/>
            <w:shd w:val="clear" w:color="auto" w:fill="auto"/>
            <w:vAlign w:val="center"/>
          </w:tcPr>
          <w:p w14:paraId="122997F5"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3</w:t>
            </w:r>
          </w:p>
        </w:tc>
        <w:tc>
          <w:tcPr>
            <w:tcW w:w="860" w:type="dxa"/>
            <w:shd w:val="clear" w:color="auto" w:fill="auto"/>
            <w:vAlign w:val="center"/>
          </w:tcPr>
          <w:p w14:paraId="60B750CB"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&lt;1</w:t>
            </w:r>
          </w:p>
        </w:tc>
        <w:tc>
          <w:tcPr>
            <w:tcW w:w="865" w:type="dxa"/>
            <w:vAlign w:val="center"/>
          </w:tcPr>
          <w:p w14:paraId="73A35DD3"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&lt;1</w:t>
            </w:r>
          </w:p>
        </w:tc>
        <w:tc>
          <w:tcPr>
            <w:tcW w:w="843" w:type="dxa"/>
            <w:shd w:val="clear" w:color="auto" w:fill="D9D9D9" w:themeFill="background1" w:themeFillShade="D9"/>
            <w:vAlign w:val="center"/>
          </w:tcPr>
          <w:p w14:paraId="5D535EF0"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5</w:t>
            </w:r>
          </w:p>
        </w:tc>
        <w:tc>
          <w:tcPr>
            <w:tcW w:w="840" w:type="dxa"/>
            <w:shd w:val="clear" w:color="auto" w:fill="auto"/>
            <w:vAlign w:val="center"/>
          </w:tcPr>
          <w:p w14:paraId="626DFD9E"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c>
          <w:tcPr>
            <w:tcW w:w="843" w:type="dxa"/>
            <w:vAlign w:val="center"/>
          </w:tcPr>
          <w:p w14:paraId="30A78DD6"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&lt;1</w:t>
            </w:r>
          </w:p>
        </w:tc>
        <w:tc>
          <w:tcPr>
            <w:tcW w:w="860" w:type="dxa"/>
            <w:shd w:val="clear" w:color="auto" w:fill="D9D9D9" w:themeFill="background1" w:themeFillShade="D9"/>
            <w:vAlign w:val="center"/>
          </w:tcPr>
          <w:p w14:paraId="26F912C0"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5</w:t>
            </w:r>
          </w:p>
        </w:tc>
      </w:tr>
      <w:tr w:rsidR="00C51F8F" w:rsidRPr="00683BE9" w14:paraId="7FA4B56B" w14:textId="77777777" w:rsidTr="00221A11">
        <w:trPr>
          <w:cantSplit/>
        </w:trPr>
        <w:tc>
          <w:tcPr>
            <w:tcW w:w="1276" w:type="dxa"/>
            <w:shd w:val="clear" w:color="auto" w:fill="D9D9D9" w:themeFill="background1" w:themeFillShade="D9"/>
            <w:vAlign w:val="center"/>
            <w:hideMark/>
          </w:tcPr>
          <w:p w14:paraId="7AB64C3E" w14:textId="77777777" w:rsidR="00C51F8F" w:rsidRPr="005F1835" w:rsidRDefault="00C51F8F" w:rsidP="00DF510F">
            <w:pPr>
              <w:widowControl/>
              <w:rPr>
                <w:rFonts w:cs="Arial"/>
                <w:color w:val="000000"/>
                <w:sz w:val="18"/>
                <w:szCs w:val="18"/>
                <w:lang w:eastAsia="en-GB" w:bidi="ar-SA"/>
              </w:rPr>
            </w:pPr>
            <w:r w:rsidRPr="005F1835">
              <w:rPr>
                <w:rFonts w:cs="Arial"/>
                <w:color w:val="000000"/>
                <w:sz w:val="18"/>
                <w:szCs w:val="18"/>
                <w:lang w:eastAsia="en-GB" w:bidi="ar-SA"/>
              </w:rPr>
              <w:t>6.1.1</w:t>
            </w:r>
          </w:p>
        </w:tc>
        <w:tc>
          <w:tcPr>
            <w:tcW w:w="425" w:type="dxa"/>
            <w:tcBorders>
              <w:right w:val="nil"/>
            </w:tcBorders>
            <w:shd w:val="clear" w:color="auto" w:fill="D9D9D9" w:themeFill="background1" w:themeFillShade="D9"/>
            <w:vAlign w:val="center"/>
          </w:tcPr>
          <w:p w14:paraId="3E97DA37" w14:textId="77777777" w:rsidR="00C51F8F" w:rsidRPr="005F1835" w:rsidRDefault="00C51F8F" w:rsidP="00DF510F">
            <w:pPr>
              <w:widowControl/>
              <w:rPr>
                <w:rFonts w:cs="Arial"/>
                <w:color w:val="000000"/>
                <w:sz w:val="18"/>
                <w:szCs w:val="18"/>
                <w:lang w:eastAsia="en-GB" w:bidi="ar-SA"/>
              </w:rPr>
            </w:pPr>
          </w:p>
        </w:tc>
        <w:tc>
          <w:tcPr>
            <w:tcW w:w="4866" w:type="dxa"/>
            <w:tcBorders>
              <w:left w:val="nil"/>
            </w:tcBorders>
            <w:shd w:val="clear" w:color="auto" w:fill="D9D9D9" w:themeFill="background1" w:themeFillShade="D9"/>
            <w:vAlign w:val="center"/>
            <w:hideMark/>
          </w:tcPr>
          <w:p w14:paraId="629B34D6" w14:textId="77777777" w:rsidR="00C51F8F" w:rsidRPr="005F1835" w:rsidRDefault="00C51F8F" w:rsidP="00221A11">
            <w:pPr>
              <w:keepNext/>
              <w:keepLines/>
              <w:widowControl/>
              <w:ind w:left="-114"/>
              <w:rPr>
                <w:rFonts w:cs="Arial"/>
                <w:color w:val="000000"/>
                <w:sz w:val="18"/>
                <w:szCs w:val="18"/>
                <w:lang w:eastAsia="en-GB" w:bidi="ar-SA"/>
              </w:rPr>
            </w:pPr>
            <w:r w:rsidRPr="005F1835">
              <w:rPr>
                <w:rFonts w:cs="Arial"/>
                <w:color w:val="000000"/>
                <w:sz w:val="18"/>
                <w:szCs w:val="18"/>
                <w:lang w:eastAsia="en-GB" w:bidi="ar-SA"/>
              </w:rPr>
              <w:t>Plain oats</w:t>
            </w:r>
            <w:r>
              <w:rPr>
                <w:rFonts w:cs="Arial"/>
                <w:color w:val="000000"/>
                <w:sz w:val="18"/>
                <w:szCs w:val="18"/>
                <w:lang w:eastAsia="en-GB" w:bidi="ar-SA"/>
              </w:rPr>
              <w:t>, dry</w:t>
            </w:r>
          </w:p>
        </w:tc>
        <w:tc>
          <w:tcPr>
            <w:tcW w:w="888" w:type="dxa"/>
            <w:shd w:val="clear" w:color="auto" w:fill="auto"/>
            <w:vAlign w:val="center"/>
          </w:tcPr>
          <w:p w14:paraId="7746F32B"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77EBBB5E"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29800401"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2</w:t>
            </w:r>
          </w:p>
        </w:tc>
        <w:tc>
          <w:tcPr>
            <w:tcW w:w="860" w:type="dxa"/>
            <w:shd w:val="clear" w:color="auto" w:fill="auto"/>
            <w:vAlign w:val="center"/>
          </w:tcPr>
          <w:p w14:paraId="2F2661C5"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6E81A060"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D9D9D9" w:themeFill="background1" w:themeFillShade="D9"/>
            <w:vAlign w:val="center"/>
          </w:tcPr>
          <w:p w14:paraId="7DF26C98"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40" w:type="dxa"/>
            <w:shd w:val="clear" w:color="auto" w:fill="auto"/>
            <w:vAlign w:val="center"/>
          </w:tcPr>
          <w:p w14:paraId="583D0ECF"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396E0453"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D9D9D9" w:themeFill="background1" w:themeFillShade="D9"/>
            <w:vAlign w:val="center"/>
          </w:tcPr>
          <w:p w14:paraId="4CA8B7EC"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r>
      <w:tr w:rsidR="00E907D7" w:rsidRPr="00683BE9" w14:paraId="31E2D844" w14:textId="77777777" w:rsidTr="00C51F8F">
        <w:trPr>
          <w:cantSplit/>
        </w:trPr>
        <w:tc>
          <w:tcPr>
            <w:tcW w:w="1276" w:type="dxa"/>
            <w:shd w:val="clear" w:color="auto" w:fill="auto"/>
            <w:vAlign w:val="center"/>
            <w:hideMark/>
          </w:tcPr>
          <w:p w14:paraId="6A71ED25" w14:textId="77777777" w:rsidR="00E907D7" w:rsidRPr="00C74A6B" w:rsidRDefault="00E907D7" w:rsidP="00C74A6B">
            <w:pPr>
              <w:rPr>
                <w:rFonts w:cs="Arial"/>
                <w:bCs/>
                <w:color w:val="000000"/>
                <w:sz w:val="18"/>
                <w:szCs w:val="18"/>
                <w:lang w:eastAsia="en-GB" w:bidi="ar-SA"/>
              </w:rPr>
            </w:pPr>
            <w:r w:rsidRPr="00C74A6B">
              <w:rPr>
                <w:rFonts w:cs="Arial"/>
                <w:bCs/>
                <w:color w:val="000000"/>
                <w:sz w:val="18"/>
                <w:szCs w:val="18"/>
                <w:lang w:eastAsia="en-GB" w:bidi="ar-SA"/>
              </w:rPr>
              <w:t>7</w:t>
            </w:r>
          </w:p>
        </w:tc>
        <w:tc>
          <w:tcPr>
            <w:tcW w:w="5291" w:type="dxa"/>
            <w:gridSpan w:val="2"/>
            <w:tcBorders>
              <w:bottom w:val="single" w:sz="4" w:space="0" w:color="auto"/>
            </w:tcBorders>
            <w:shd w:val="clear" w:color="auto" w:fill="auto"/>
            <w:vAlign w:val="center"/>
          </w:tcPr>
          <w:p w14:paraId="2FA390F0" w14:textId="77777777" w:rsidR="00E907D7" w:rsidRPr="00C74A6B" w:rsidRDefault="00E907D7" w:rsidP="00E907D7">
            <w:pPr>
              <w:keepNext/>
              <w:keepLines/>
              <w:widowControl/>
              <w:rPr>
                <w:rFonts w:cs="Arial"/>
                <w:bCs/>
                <w:color w:val="000000"/>
                <w:sz w:val="18"/>
                <w:szCs w:val="18"/>
                <w:lang w:eastAsia="en-GB" w:bidi="ar-SA"/>
              </w:rPr>
            </w:pPr>
            <w:r w:rsidRPr="00C74A6B">
              <w:rPr>
                <w:rFonts w:cs="Arial"/>
                <w:bCs/>
                <w:color w:val="000000"/>
                <w:sz w:val="18"/>
                <w:szCs w:val="18"/>
                <w:lang w:eastAsia="en-GB" w:bidi="ar-SA"/>
              </w:rPr>
              <w:t>All Breads &amp; bakery products</w:t>
            </w:r>
          </w:p>
        </w:tc>
        <w:tc>
          <w:tcPr>
            <w:tcW w:w="888" w:type="dxa"/>
            <w:shd w:val="clear" w:color="auto" w:fill="auto"/>
            <w:vAlign w:val="center"/>
          </w:tcPr>
          <w:p w14:paraId="30FC21A1" w14:textId="77777777" w:rsidR="00E907D7" w:rsidRPr="00C74A6B" w:rsidRDefault="00E907D7" w:rsidP="00E907D7">
            <w:pPr>
              <w:keepNext/>
              <w:keepLines/>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c>
          <w:tcPr>
            <w:tcW w:w="823" w:type="dxa"/>
            <w:vAlign w:val="center"/>
          </w:tcPr>
          <w:p w14:paraId="53A2DA2E" w14:textId="77777777" w:rsidR="00E907D7" w:rsidRPr="00C74A6B" w:rsidRDefault="00E907D7" w:rsidP="00E907D7">
            <w:pPr>
              <w:keepNext/>
              <w:keepLines/>
              <w:widowControl/>
              <w:tabs>
                <w:tab w:val="decimal" w:pos="454"/>
              </w:tabs>
              <w:rPr>
                <w:rFonts w:cs="Arial"/>
                <w:color w:val="000000"/>
                <w:sz w:val="18"/>
                <w:szCs w:val="18"/>
                <w:highlight w:val="yellow"/>
              </w:rPr>
            </w:pPr>
            <w:r w:rsidRPr="00C74A6B">
              <w:rPr>
                <w:rFonts w:cs="Arial"/>
                <w:bCs/>
                <w:color w:val="000000"/>
                <w:sz w:val="18"/>
                <w:szCs w:val="18"/>
              </w:rPr>
              <w:t>&lt;1</w:t>
            </w:r>
          </w:p>
        </w:tc>
        <w:tc>
          <w:tcPr>
            <w:tcW w:w="843" w:type="dxa"/>
            <w:shd w:val="clear" w:color="auto" w:fill="auto"/>
            <w:vAlign w:val="center"/>
          </w:tcPr>
          <w:p w14:paraId="2998F57F" w14:textId="77777777" w:rsidR="00E907D7" w:rsidRPr="00C74A6B" w:rsidRDefault="00E907D7" w:rsidP="00E907D7">
            <w:pPr>
              <w:keepNext/>
              <w:keepLines/>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c>
          <w:tcPr>
            <w:tcW w:w="860" w:type="dxa"/>
            <w:shd w:val="clear" w:color="auto" w:fill="auto"/>
            <w:vAlign w:val="center"/>
          </w:tcPr>
          <w:p w14:paraId="6C0EDA5B" w14:textId="77777777" w:rsidR="00E907D7" w:rsidRPr="00C74A6B" w:rsidRDefault="00E907D7" w:rsidP="00E907D7">
            <w:pPr>
              <w:keepNext/>
              <w:keepLines/>
              <w:widowControl/>
              <w:tabs>
                <w:tab w:val="decimal" w:pos="454"/>
              </w:tabs>
              <w:rPr>
                <w:rFonts w:cs="Arial"/>
                <w:bCs/>
                <w:sz w:val="18"/>
                <w:szCs w:val="18"/>
                <w:highlight w:val="yellow"/>
                <w:lang w:eastAsia="en-GB" w:bidi="ar-SA"/>
              </w:rPr>
            </w:pPr>
            <w:r w:rsidRPr="00C74A6B">
              <w:rPr>
                <w:rFonts w:cs="Arial"/>
                <w:bCs/>
                <w:color w:val="000000"/>
                <w:sz w:val="18"/>
                <w:szCs w:val="18"/>
              </w:rPr>
              <w:t>&lt;1</w:t>
            </w:r>
          </w:p>
        </w:tc>
        <w:tc>
          <w:tcPr>
            <w:tcW w:w="865" w:type="dxa"/>
            <w:vAlign w:val="center"/>
          </w:tcPr>
          <w:p w14:paraId="10DBD15E" w14:textId="77777777" w:rsidR="00E907D7" w:rsidRPr="00C74A6B" w:rsidRDefault="00E907D7" w:rsidP="00E907D7">
            <w:pPr>
              <w:keepNext/>
              <w:keepLines/>
              <w:widowControl/>
              <w:tabs>
                <w:tab w:val="decimal" w:pos="454"/>
              </w:tabs>
              <w:rPr>
                <w:rFonts w:cs="Arial"/>
                <w:bCs/>
                <w:color w:val="000000"/>
                <w:sz w:val="18"/>
                <w:szCs w:val="18"/>
                <w:highlight w:val="yellow"/>
              </w:rPr>
            </w:pPr>
            <w:r w:rsidRPr="00C74A6B">
              <w:rPr>
                <w:rFonts w:cs="Arial"/>
                <w:bCs/>
                <w:color w:val="000000"/>
                <w:sz w:val="18"/>
                <w:szCs w:val="18"/>
              </w:rPr>
              <w:t>&lt;1</w:t>
            </w:r>
          </w:p>
        </w:tc>
        <w:tc>
          <w:tcPr>
            <w:tcW w:w="843" w:type="dxa"/>
            <w:shd w:val="clear" w:color="auto" w:fill="auto"/>
            <w:vAlign w:val="center"/>
          </w:tcPr>
          <w:p w14:paraId="5BFBC3CF" w14:textId="77777777" w:rsidR="00E907D7" w:rsidRPr="00C74A6B" w:rsidRDefault="00E907D7" w:rsidP="00E907D7">
            <w:pPr>
              <w:keepNext/>
              <w:keepLines/>
              <w:widowControl/>
              <w:tabs>
                <w:tab w:val="decimal" w:pos="454"/>
              </w:tabs>
              <w:rPr>
                <w:rFonts w:cs="Arial"/>
                <w:bCs/>
                <w:sz w:val="18"/>
                <w:szCs w:val="18"/>
                <w:highlight w:val="yellow"/>
                <w:lang w:eastAsia="en-GB" w:bidi="ar-SA"/>
              </w:rPr>
            </w:pPr>
            <w:r w:rsidRPr="00C74A6B">
              <w:rPr>
                <w:rFonts w:cs="Arial"/>
                <w:bCs/>
                <w:color w:val="000000"/>
                <w:sz w:val="18"/>
                <w:szCs w:val="18"/>
              </w:rPr>
              <w:t>&lt;1</w:t>
            </w:r>
          </w:p>
        </w:tc>
        <w:tc>
          <w:tcPr>
            <w:tcW w:w="840" w:type="dxa"/>
            <w:shd w:val="clear" w:color="auto" w:fill="auto"/>
            <w:vAlign w:val="center"/>
          </w:tcPr>
          <w:p w14:paraId="6493D309" w14:textId="77777777" w:rsidR="00E907D7" w:rsidRPr="00C74A6B" w:rsidRDefault="00E907D7" w:rsidP="00E907D7">
            <w:pPr>
              <w:keepNext/>
              <w:keepLines/>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c>
          <w:tcPr>
            <w:tcW w:w="843" w:type="dxa"/>
            <w:vAlign w:val="center"/>
          </w:tcPr>
          <w:p w14:paraId="1613DD42" w14:textId="77777777" w:rsidR="00E907D7" w:rsidRPr="00C74A6B" w:rsidRDefault="00E907D7" w:rsidP="00E907D7">
            <w:pPr>
              <w:keepNext/>
              <w:keepLines/>
              <w:widowControl/>
              <w:tabs>
                <w:tab w:val="decimal" w:pos="454"/>
              </w:tabs>
              <w:rPr>
                <w:rFonts w:cs="Arial"/>
                <w:bCs/>
                <w:color w:val="000000"/>
                <w:sz w:val="18"/>
                <w:szCs w:val="18"/>
                <w:highlight w:val="yellow"/>
              </w:rPr>
            </w:pPr>
            <w:r w:rsidRPr="00C74A6B">
              <w:rPr>
                <w:rFonts w:cs="Arial"/>
                <w:bCs/>
                <w:color w:val="000000"/>
                <w:sz w:val="18"/>
                <w:szCs w:val="18"/>
              </w:rPr>
              <w:t>&lt;1</w:t>
            </w:r>
          </w:p>
        </w:tc>
        <w:tc>
          <w:tcPr>
            <w:tcW w:w="860" w:type="dxa"/>
            <w:shd w:val="clear" w:color="auto" w:fill="auto"/>
            <w:vAlign w:val="center"/>
          </w:tcPr>
          <w:p w14:paraId="131BF06A" w14:textId="77777777" w:rsidR="00E907D7" w:rsidRPr="00C74A6B" w:rsidRDefault="00E907D7" w:rsidP="00E907D7">
            <w:pPr>
              <w:keepNext/>
              <w:keepLines/>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r>
      <w:tr w:rsidR="00E907D7" w:rsidRPr="00683BE9" w14:paraId="7827AA8A" w14:textId="77777777" w:rsidTr="00C51F8F">
        <w:trPr>
          <w:cantSplit/>
        </w:trPr>
        <w:tc>
          <w:tcPr>
            <w:tcW w:w="1276" w:type="dxa"/>
            <w:shd w:val="clear" w:color="auto" w:fill="D9D9D9" w:themeFill="background1" w:themeFillShade="D9"/>
            <w:vAlign w:val="center"/>
            <w:hideMark/>
          </w:tcPr>
          <w:p w14:paraId="07EC35D2" w14:textId="77777777" w:rsidR="00E907D7" w:rsidRPr="00C74A6B" w:rsidRDefault="00E907D7" w:rsidP="00C74A6B">
            <w:pPr>
              <w:rPr>
                <w:rFonts w:cs="Arial"/>
                <w:bCs/>
                <w:color w:val="000000"/>
                <w:sz w:val="18"/>
                <w:szCs w:val="18"/>
                <w:lang w:eastAsia="en-GB" w:bidi="ar-SA"/>
              </w:rPr>
            </w:pPr>
            <w:r w:rsidRPr="00C74A6B">
              <w:rPr>
                <w:rFonts w:cs="Arial"/>
                <w:bCs/>
                <w:color w:val="000000"/>
                <w:sz w:val="18"/>
                <w:szCs w:val="18"/>
                <w:lang w:eastAsia="en-GB" w:bidi="ar-SA"/>
              </w:rPr>
              <w:t>8</w:t>
            </w:r>
          </w:p>
        </w:tc>
        <w:tc>
          <w:tcPr>
            <w:tcW w:w="5291" w:type="dxa"/>
            <w:gridSpan w:val="2"/>
            <w:tcBorders>
              <w:bottom w:val="single" w:sz="4" w:space="0" w:color="auto"/>
            </w:tcBorders>
            <w:shd w:val="clear" w:color="auto" w:fill="D9D9D9" w:themeFill="background1" w:themeFillShade="D9"/>
            <w:vAlign w:val="center"/>
          </w:tcPr>
          <w:p w14:paraId="0BD96294" w14:textId="77777777" w:rsidR="00E907D7" w:rsidRPr="00C74A6B" w:rsidRDefault="00E907D7" w:rsidP="00E907D7">
            <w:pPr>
              <w:keepNext/>
              <w:keepLines/>
              <w:widowControl/>
              <w:rPr>
                <w:rFonts w:cs="Arial"/>
                <w:bCs/>
                <w:color w:val="000000"/>
                <w:sz w:val="18"/>
                <w:szCs w:val="18"/>
                <w:lang w:eastAsia="en-GB" w:bidi="ar-SA"/>
              </w:rPr>
            </w:pPr>
            <w:r w:rsidRPr="00C74A6B">
              <w:rPr>
                <w:rFonts w:cs="Arial"/>
                <w:bCs/>
                <w:color w:val="000000"/>
                <w:sz w:val="18"/>
                <w:szCs w:val="18"/>
                <w:lang w:eastAsia="en-GB" w:bidi="ar-SA"/>
              </w:rPr>
              <w:t>All Meat &amp; meat products (including poultry &amp; game)</w:t>
            </w:r>
          </w:p>
        </w:tc>
        <w:tc>
          <w:tcPr>
            <w:tcW w:w="888" w:type="dxa"/>
            <w:shd w:val="clear" w:color="auto" w:fill="D9D9D9" w:themeFill="background1" w:themeFillShade="D9"/>
            <w:vAlign w:val="center"/>
          </w:tcPr>
          <w:p w14:paraId="2DA77E77" w14:textId="77777777" w:rsidR="00E907D7" w:rsidRPr="00C74A6B" w:rsidRDefault="00E907D7" w:rsidP="00E907D7">
            <w:pPr>
              <w:keepNext/>
              <w:keepLines/>
              <w:widowControl/>
              <w:tabs>
                <w:tab w:val="decimal" w:pos="454"/>
              </w:tabs>
              <w:rPr>
                <w:rFonts w:cs="Arial"/>
                <w:bCs/>
                <w:color w:val="000000"/>
                <w:sz w:val="18"/>
                <w:szCs w:val="18"/>
                <w:highlight w:val="yellow"/>
                <w:lang w:eastAsia="en-GB" w:bidi="ar-SA"/>
              </w:rPr>
            </w:pPr>
            <w:r w:rsidRPr="00C74A6B">
              <w:rPr>
                <w:rFonts w:cs="Arial"/>
                <w:bCs/>
                <w:color w:val="000000"/>
                <w:sz w:val="18"/>
                <w:szCs w:val="18"/>
              </w:rPr>
              <w:t>73</w:t>
            </w:r>
          </w:p>
        </w:tc>
        <w:tc>
          <w:tcPr>
            <w:tcW w:w="823" w:type="dxa"/>
            <w:tcBorders>
              <w:bottom w:val="single" w:sz="4" w:space="0" w:color="auto"/>
            </w:tcBorders>
            <w:shd w:val="clear" w:color="auto" w:fill="D9D9D9" w:themeFill="background1" w:themeFillShade="D9"/>
            <w:vAlign w:val="center"/>
          </w:tcPr>
          <w:p w14:paraId="0DAB65A3" w14:textId="77777777" w:rsidR="00E907D7" w:rsidRPr="00C74A6B" w:rsidRDefault="00E907D7" w:rsidP="00E907D7">
            <w:pPr>
              <w:keepNext/>
              <w:keepLines/>
              <w:widowControl/>
              <w:tabs>
                <w:tab w:val="decimal" w:pos="454"/>
              </w:tabs>
              <w:rPr>
                <w:rFonts w:cs="Arial"/>
                <w:bCs/>
                <w:color w:val="000000"/>
                <w:sz w:val="18"/>
                <w:szCs w:val="18"/>
                <w:highlight w:val="yellow"/>
                <w:lang w:eastAsia="en-GB" w:bidi="ar-SA"/>
              </w:rPr>
            </w:pPr>
            <w:r w:rsidRPr="00C74A6B">
              <w:rPr>
                <w:rFonts w:cs="Arial"/>
                <w:bCs/>
                <w:color w:val="000000"/>
                <w:sz w:val="18"/>
                <w:szCs w:val="18"/>
              </w:rPr>
              <w:t>73</w:t>
            </w:r>
          </w:p>
        </w:tc>
        <w:tc>
          <w:tcPr>
            <w:tcW w:w="843" w:type="dxa"/>
            <w:shd w:val="clear" w:color="auto" w:fill="D9D9D9" w:themeFill="background1" w:themeFillShade="D9"/>
            <w:vAlign w:val="center"/>
          </w:tcPr>
          <w:p w14:paraId="0366DFDB" w14:textId="77777777" w:rsidR="00E907D7" w:rsidRPr="00C74A6B" w:rsidRDefault="00E907D7" w:rsidP="00E907D7">
            <w:pPr>
              <w:keepNext/>
              <w:keepLines/>
              <w:widowControl/>
              <w:tabs>
                <w:tab w:val="decimal" w:pos="454"/>
              </w:tabs>
              <w:rPr>
                <w:rFonts w:cs="Arial"/>
                <w:bCs/>
                <w:color w:val="000000"/>
                <w:sz w:val="18"/>
                <w:szCs w:val="18"/>
                <w:highlight w:val="yellow"/>
                <w:lang w:eastAsia="en-GB" w:bidi="ar-SA"/>
              </w:rPr>
            </w:pPr>
            <w:r w:rsidRPr="00C74A6B">
              <w:rPr>
                <w:rFonts w:cs="Arial"/>
                <w:bCs/>
                <w:color w:val="000000"/>
                <w:sz w:val="18"/>
                <w:szCs w:val="18"/>
              </w:rPr>
              <w:t>10</w:t>
            </w:r>
          </w:p>
        </w:tc>
        <w:tc>
          <w:tcPr>
            <w:tcW w:w="860" w:type="dxa"/>
            <w:shd w:val="clear" w:color="auto" w:fill="D9D9D9" w:themeFill="background1" w:themeFillShade="D9"/>
            <w:vAlign w:val="center"/>
          </w:tcPr>
          <w:p w14:paraId="1CA68C88" w14:textId="77777777" w:rsidR="00E907D7" w:rsidRPr="00C74A6B" w:rsidRDefault="00E907D7" w:rsidP="00E907D7">
            <w:pPr>
              <w:keepNext/>
              <w:keepLines/>
              <w:widowControl/>
              <w:tabs>
                <w:tab w:val="decimal" w:pos="454"/>
              </w:tabs>
              <w:rPr>
                <w:rFonts w:cs="Arial"/>
                <w:bCs/>
                <w:sz w:val="18"/>
                <w:szCs w:val="18"/>
                <w:highlight w:val="yellow"/>
                <w:lang w:eastAsia="en-GB" w:bidi="ar-SA"/>
              </w:rPr>
            </w:pPr>
            <w:r w:rsidRPr="00C74A6B">
              <w:rPr>
                <w:rFonts w:cs="Arial"/>
                <w:bCs/>
                <w:color w:val="000000"/>
                <w:sz w:val="18"/>
                <w:szCs w:val="18"/>
              </w:rPr>
              <w:t>78</w:t>
            </w:r>
          </w:p>
        </w:tc>
        <w:tc>
          <w:tcPr>
            <w:tcW w:w="865" w:type="dxa"/>
            <w:tcBorders>
              <w:bottom w:val="single" w:sz="4" w:space="0" w:color="auto"/>
            </w:tcBorders>
            <w:shd w:val="clear" w:color="auto" w:fill="D9D9D9" w:themeFill="background1" w:themeFillShade="D9"/>
            <w:vAlign w:val="center"/>
          </w:tcPr>
          <w:p w14:paraId="3C6A0B2F" w14:textId="77777777" w:rsidR="00E907D7" w:rsidRPr="00C74A6B" w:rsidRDefault="00E907D7" w:rsidP="00E907D7">
            <w:pPr>
              <w:keepNext/>
              <w:keepLines/>
              <w:widowControl/>
              <w:tabs>
                <w:tab w:val="decimal" w:pos="454"/>
              </w:tabs>
              <w:rPr>
                <w:rFonts w:cs="Arial"/>
                <w:bCs/>
                <w:color w:val="000000"/>
                <w:sz w:val="18"/>
                <w:szCs w:val="18"/>
                <w:highlight w:val="yellow"/>
              </w:rPr>
            </w:pPr>
            <w:r w:rsidRPr="00C74A6B">
              <w:rPr>
                <w:rFonts w:cs="Arial"/>
                <w:bCs/>
                <w:color w:val="000000"/>
                <w:sz w:val="18"/>
                <w:szCs w:val="18"/>
              </w:rPr>
              <w:t>77</w:t>
            </w:r>
          </w:p>
        </w:tc>
        <w:tc>
          <w:tcPr>
            <w:tcW w:w="843" w:type="dxa"/>
            <w:shd w:val="clear" w:color="auto" w:fill="D9D9D9" w:themeFill="background1" w:themeFillShade="D9"/>
            <w:vAlign w:val="center"/>
          </w:tcPr>
          <w:p w14:paraId="4B3BD261" w14:textId="77777777" w:rsidR="00E907D7" w:rsidRPr="00C74A6B" w:rsidRDefault="00E907D7" w:rsidP="00E907D7">
            <w:pPr>
              <w:keepNext/>
              <w:keepLines/>
              <w:widowControl/>
              <w:tabs>
                <w:tab w:val="decimal" w:pos="454"/>
              </w:tabs>
              <w:rPr>
                <w:rFonts w:cs="Arial"/>
                <w:bCs/>
                <w:sz w:val="18"/>
                <w:szCs w:val="18"/>
                <w:highlight w:val="yellow"/>
                <w:lang w:eastAsia="en-GB" w:bidi="ar-SA"/>
              </w:rPr>
            </w:pPr>
            <w:r w:rsidRPr="00C74A6B">
              <w:rPr>
                <w:rFonts w:cs="Arial"/>
                <w:bCs/>
                <w:color w:val="000000"/>
                <w:sz w:val="18"/>
                <w:szCs w:val="18"/>
              </w:rPr>
              <w:t>12</w:t>
            </w:r>
          </w:p>
        </w:tc>
        <w:tc>
          <w:tcPr>
            <w:tcW w:w="840" w:type="dxa"/>
            <w:shd w:val="clear" w:color="auto" w:fill="D9D9D9" w:themeFill="background1" w:themeFillShade="D9"/>
            <w:vAlign w:val="center"/>
          </w:tcPr>
          <w:p w14:paraId="5102B7F1" w14:textId="77777777" w:rsidR="00E907D7" w:rsidRPr="00C74A6B" w:rsidRDefault="00E907D7" w:rsidP="00E907D7">
            <w:pPr>
              <w:keepNext/>
              <w:keepLines/>
              <w:widowControl/>
              <w:tabs>
                <w:tab w:val="decimal" w:pos="454"/>
              </w:tabs>
              <w:rPr>
                <w:rFonts w:cs="Arial"/>
                <w:bCs/>
                <w:color w:val="000000"/>
                <w:sz w:val="18"/>
                <w:szCs w:val="18"/>
                <w:highlight w:val="yellow"/>
                <w:lang w:eastAsia="en-GB" w:bidi="ar-SA"/>
              </w:rPr>
            </w:pPr>
            <w:r w:rsidRPr="00C74A6B">
              <w:rPr>
                <w:rFonts w:cs="Arial"/>
                <w:bCs/>
                <w:color w:val="000000"/>
                <w:sz w:val="18"/>
                <w:szCs w:val="18"/>
              </w:rPr>
              <w:t>78</w:t>
            </w:r>
          </w:p>
        </w:tc>
        <w:tc>
          <w:tcPr>
            <w:tcW w:w="843" w:type="dxa"/>
            <w:tcBorders>
              <w:bottom w:val="single" w:sz="4" w:space="0" w:color="auto"/>
            </w:tcBorders>
            <w:shd w:val="clear" w:color="auto" w:fill="D9D9D9" w:themeFill="background1" w:themeFillShade="D9"/>
            <w:vAlign w:val="center"/>
          </w:tcPr>
          <w:p w14:paraId="7057772F" w14:textId="77777777" w:rsidR="00E907D7" w:rsidRPr="00C74A6B" w:rsidRDefault="00E907D7" w:rsidP="00E907D7">
            <w:pPr>
              <w:keepNext/>
              <w:keepLines/>
              <w:widowControl/>
              <w:tabs>
                <w:tab w:val="decimal" w:pos="454"/>
              </w:tabs>
              <w:rPr>
                <w:rFonts w:cs="Arial"/>
                <w:bCs/>
                <w:color w:val="000000"/>
                <w:sz w:val="18"/>
                <w:szCs w:val="18"/>
                <w:highlight w:val="yellow"/>
              </w:rPr>
            </w:pPr>
            <w:r w:rsidRPr="00C74A6B">
              <w:rPr>
                <w:rFonts w:cs="Arial"/>
                <w:bCs/>
                <w:color w:val="000000"/>
                <w:sz w:val="18"/>
                <w:szCs w:val="18"/>
              </w:rPr>
              <w:t>77</w:t>
            </w:r>
          </w:p>
        </w:tc>
        <w:tc>
          <w:tcPr>
            <w:tcW w:w="860" w:type="dxa"/>
            <w:shd w:val="clear" w:color="auto" w:fill="D9D9D9" w:themeFill="background1" w:themeFillShade="D9"/>
            <w:vAlign w:val="center"/>
          </w:tcPr>
          <w:p w14:paraId="66842FB9" w14:textId="77777777" w:rsidR="00E907D7" w:rsidRPr="00C74A6B" w:rsidRDefault="00E907D7" w:rsidP="00E907D7">
            <w:pPr>
              <w:keepNext/>
              <w:keepLines/>
              <w:widowControl/>
              <w:tabs>
                <w:tab w:val="decimal" w:pos="454"/>
              </w:tabs>
              <w:rPr>
                <w:rFonts w:cs="Arial"/>
                <w:bCs/>
                <w:color w:val="000000"/>
                <w:sz w:val="18"/>
                <w:szCs w:val="18"/>
                <w:highlight w:val="yellow"/>
                <w:lang w:eastAsia="en-GB" w:bidi="ar-SA"/>
              </w:rPr>
            </w:pPr>
            <w:r w:rsidRPr="00C74A6B">
              <w:rPr>
                <w:rFonts w:cs="Arial"/>
                <w:bCs/>
                <w:color w:val="000000"/>
                <w:sz w:val="18"/>
                <w:szCs w:val="18"/>
              </w:rPr>
              <w:t>12</w:t>
            </w:r>
          </w:p>
        </w:tc>
      </w:tr>
      <w:tr w:rsidR="00C51F8F" w:rsidRPr="00683BE9" w14:paraId="3A60DDFD" w14:textId="77777777" w:rsidTr="00221A11">
        <w:trPr>
          <w:cantSplit/>
        </w:trPr>
        <w:tc>
          <w:tcPr>
            <w:tcW w:w="1276" w:type="dxa"/>
            <w:shd w:val="clear" w:color="auto" w:fill="D9D9D9" w:themeFill="background1" w:themeFillShade="D9"/>
            <w:vAlign w:val="center"/>
            <w:hideMark/>
          </w:tcPr>
          <w:p w14:paraId="2CBDEB16" w14:textId="77777777" w:rsidR="00C51F8F" w:rsidRPr="00A5378B" w:rsidRDefault="00C51F8F" w:rsidP="00DF510F">
            <w:pPr>
              <w:keepNext/>
              <w:keepLines/>
              <w:widowControl/>
              <w:rPr>
                <w:rFonts w:cs="Arial"/>
                <w:color w:val="000000"/>
                <w:sz w:val="18"/>
                <w:szCs w:val="18"/>
                <w:lang w:eastAsia="en-GB" w:bidi="ar-SA"/>
              </w:rPr>
            </w:pPr>
            <w:r w:rsidRPr="00A5378B">
              <w:rPr>
                <w:rFonts w:cs="Arial"/>
                <w:color w:val="000000"/>
                <w:sz w:val="18"/>
                <w:szCs w:val="18"/>
                <w:lang w:eastAsia="en-GB" w:bidi="ar-SA"/>
              </w:rPr>
              <w:t>8.1.1</w:t>
            </w:r>
          </w:p>
        </w:tc>
        <w:tc>
          <w:tcPr>
            <w:tcW w:w="425" w:type="dxa"/>
            <w:tcBorders>
              <w:right w:val="nil"/>
            </w:tcBorders>
            <w:shd w:val="clear" w:color="auto" w:fill="D9D9D9" w:themeFill="background1" w:themeFillShade="D9"/>
            <w:vAlign w:val="center"/>
          </w:tcPr>
          <w:p w14:paraId="0CF0678A" w14:textId="77777777" w:rsidR="00C51F8F" w:rsidRPr="00A5378B" w:rsidRDefault="00C51F8F" w:rsidP="00DF510F">
            <w:pPr>
              <w:keepNext/>
              <w:keepLines/>
              <w:widowControl/>
              <w:rPr>
                <w:rFonts w:cs="Arial"/>
                <w:color w:val="000000"/>
                <w:sz w:val="18"/>
                <w:szCs w:val="18"/>
                <w:lang w:eastAsia="en-GB" w:bidi="ar-SA"/>
              </w:rPr>
            </w:pPr>
          </w:p>
        </w:tc>
        <w:tc>
          <w:tcPr>
            <w:tcW w:w="4866" w:type="dxa"/>
            <w:tcBorders>
              <w:left w:val="nil"/>
            </w:tcBorders>
            <w:shd w:val="clear" w:color="auto" w:fill="D9D9D9" w:themeFill="background1" w:themeFillShade="D9"/>
            <w:vAlign w:val="center"/>
            <w:hideMark/>
          </w:tcPr>
          <w:p w14:paraId="7DC0C39D" w14:textId="77777777" w:rsidR="00C51F8F" w:rsidRPr="00A5378B" w:rsidRDefault="00C51F8F" w:rsidP="00221A11">
            <w:pPr>
              <w:keepNext/>
              <w:keepLines/>
              <w:widowControl/>
              <w:ind w:left="-114"/>
              <w:rPr>
                <w:rFonts w:cs="Arial"/>
                <w:color w:val="000000"/>
                <w:sz w:val="18"/>
                <w:szCs w:val="18"/>
                <w:lang w:eastAsia="en-GB" w:bidi="ar-SA"/>
              </w:rPr>
            </w:pPr>
            <w:r w:rsidRPr="00A5378B">
              <w:rPr>
                <w:rFonts w:cs="Arial"/>
                <w:color w:val="000000"/>
                <w:sz w:val="18"/>
                <w:szCs w:val="18"/>
                <w:lang w:eastAsia="en-GB" w:bidi="ar-SA"/>
              </w:rPr>
              <w:t>Poultry (excluding duck)</w:t>
            </w:r>
          </w:p>
        </w:tc>
        <w:tc>
          <w:tcPr>
            <w:tcW w:w="888" w:type="dxa"/>
            <w:shd w:val="clear" w:color="auto" w:fill="D9D9D9" w:themeFill="background1" w:themeFillShade="D9"/>
            <w:vAlign w:val="center"/>
          </w:tcPr>
          <w:p w14:paraId="671D5DDC" w14:textId="1E0681C9" w:rsidR="00C51F8F" w:rsidRPr="000D4BC4" w:rsidRDefault="00C51F8F" w:rsidP="00DF510F">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23" w:type="dxa"/>
            <w:shd w:val="clear" w:color="auto" w:fill="D9D9D9" w:themeFill="background1" w:themeFillShade="D9"/>
            <w:vAlign w:val="center"/>
          </w:tcPr>
          <w:p w14:paraId="6CA6BCA0" w14:textId="77777777" w:rsidR="00C51F8F" w:rsidRPr="000D4BC4" w:rsidRDefault="00C51F8F" w:rsidP="00DF510F">
            <w:pPr>
              <w:keepNext/>
              <w:keepLines/>
              <w:widowControl/>
              <w:tabs>
                <w:tab w:val="decimal" w:pos="454"/>
              </w:tabs>
              <w:rPr>
                <w:rFonts w:cs="Arial"/>
                <w:color w:val="000000"/>
                <w:sz w:val="18"/>
                <w:szCs w:val="18"/>
                <w:highlight w:val="yellow"/>
              </w:rPr>
            </w:pPr>
            <w:r w:rsidRPr="000D4BC4">
              <w:rPr>
                <w:rFonts w:cs="Arial"/>
                <w:color w:val="000000"/>
                <w:sz w:val="18"/>
                <w:szCs w:val="18"/>
              </w:rPr>
              <w:t>5</w:t>
            </w:r>
          </w:p>
        </w:tc>
        <w:tc>
          <w:tcPr>
            <w:tcW w:w="843" w:type="dxa"/>
            <w:shd w:val="clear" w:color="auto" w:fill="auto"/>
            <w:vAlign w:val="center"/>
          </w:tcPr>
          <w:p w14:paraId="539F420E" w14:textId="77777777" w:rsidR="00C51F8F" w:rsidRPr="000D4BC4" w:rsidRDefault="00C51F8F" w:rsidP="00DF510F">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D9D9D9" w:themeFill="background1" w:themeFillShade="D9"/>
            <w:vAlign w:val="center"/>
          </w:tcPr>
          <w:p w14:paraId="1FB5FDB6" w14:textId="77777777" w:rsidR="00C51F8F" w:rsidRPr="000D4BC4" w:rsidRDefault="00C51F8F" w:rsidP="00DF510F">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65" w:type="dxa"/>
            <w:shd w:val="clear" w:color="auto" w:fill="D9D9D9" w:themeFill="background1" w:themeFillShade="D9"/>
            <w:vAlign w:val="center"/>
          </w:tcPr>
          <w:p w14:paraId="23D2F4CD" w14:textId="77777777" w:rsidR="00C51F8F" w:rsidRPr="000D4BC4" w:rsidRDefault="00C51F8F" w:rsidP="00DF510F">
            <w:pPr>
              <w:keepNext/>
              <w:keepLines/>
              <w:widowControl/>
              <w:tabs>
                <w:tab w:val="decimal" w:pos="454"/>
              </w:tabs>
              <w:rPr>
                <w:rFonts w:cs="Arial"/>
                <w:color w:val="000000"/>
                <w:sz w:val="18"/>
                <w:szCs w:val="18"/>
                <w:highlight w:val="yellow"/>
              </w:rPr>
            </w:pPr>
            <w:r w:rsidRPr="000D4BC4">
              <w:rPr>
                <w:rFonts w:cs="Arial"/>
                <w:color w:val="000000"/>
                <w:sz w:val="18"/>
                <w:szCs w:val="18"/>
              </w:rPr>
              <w:t>5</w:t>
            </w:r>
          </w:p>
        </w:tc>
        <w:tc>
          <w:tcPr>
            <w:tcW w:w="843" w:type="dxa"/>
            <w:shd w:val="clear" w:color="auto" w:fill="auto"/>
            <w:vAlign w:val="center"/>
          </w:tcPr>
          <w:p w14:paraId="6F063376" w14:textId="77777777" w:rsidR="00C51F8F" w:rsidRPr="000D4BC4" w:rsidRDefault="00C51F8F" w:rsidP="00DF510F">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D9D9D9" w:themeFill="background1" w:themeFillShade="D9"/>
            <w:vAlign w:val="center"/>
          </w:tcPr>
          <w:p w14:paraId="5BF131A6" w14:textId="77777777" w:rsidR="00C51F8F" w:rsidRPr="000D4BC4" w:rsidRDefault="00C51F8F" w:rsidP="00DF510F">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43" w:type="dxa"/>
            <w:shd w:val="clear" w:color="auto" w:fill="D9D9D9" w:themeFill="background1" w:themeFillShade="D9"/>
            <w:vAlign w:val="center"/>
          </w:tcPr>
          <w:p w14:paraId="4F0A89D7" w14:textId="77777777" w:rsidR="00C51F8F" w:rsidRPr="000D4BC4" w:rsidRDefault="00C51F8F" w:rsidP="00DF510F">
            <w:pPr>
              <w:keepNext/>
              <w:keepLines/>
              <w:widowControl/>
              <w:tabs>
                <w:tab w:val="decimal" w:pos="454"/>
              </w:tabs>
              <w:rPr>
                <w:rFonts w:cs="Arial"/>
                <w:color w:val="000000"/>
                <w:sz w:val="18"/>
                <w:szCs w:val="18"/>
                <w:highlight w:val="yellow"/>
              </w:rPr>
            </w:pPr>
            <w:r w:rsidRPr="000D4BC4">
              <w:rPr>
                <w:rFonts w:cs="Arial"/>
                <w:color w:val="000000"/>
                <w:sz w:val="18"/>
                <w:szCs w:val="18"/>
              </w:rPr>
              <w:t>5</w:t>
            </w:r>
          </w:p>
        </w:tc>
        <w:tc>
          <w:tcPr>
            <w:tcW w:w="860" w:type="dxa"/>
            <w:shd w:val="clear" w:color="auto" w:fill="auto"/>
            <w:vAlign w:val="center"/>
          </w:tcPr>
          <w:p w14:paraId="6256E375" w14:textId="77777777" w:rsidR="00C51F8F" w:rsidRPr="000D4BC4" w:rsidRDefault="00C51F8F" w:rsidP="00DF510F">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C51F8F" w:rsidRPr="00683BE9" w14:paraId="0C2E3E88" w14:textId="77777777" w:rsidTr="00221A11">
        <w:trPr>
          <w:cantSplit/>
        </w:trPr>
        <w:tc>
          <w:tcPr>
            <w:tcW w:w="1276" w:type="dxa"/>
            <w:shd w:val="clear" w:color="auto" w:fill="D9D9D9" w:themeFill="background1" w:themeFillShade="D9"/>
            <w:vAlign w:val="center"/>
            <w:hideMark/>
          </w:tcPr>
          <w:p w14:paraId="6A08572A" w14:textId="77777777" w:rsidR="00C51F8F" w:rsidRPr="00A5378B" w:rsidRDefault="00C51F8F" w:rsidP="00DF510F">
            <w:pPr>
              <w:widowControl/>
              <w:rPr>
                <w:rFonts w:cs="Arial"/>
                <w:color w:val="000000"/>
                <w:sz w:val="18"/>
                <w:szCs w:val="18"/>
                <w:lang w:eastAsia="en-GB" w:bidi="ar-SA"/>
              </w:rPr>
            </w:pPr>
            <w:r w:rsidRPr="00A5378B">
              <w:rPr>
                <w:rFonts w:cs="Arial"/>
                <w:color w:val="000000"/>
                <w:sz w:val="18"/>
                <w:szCs w:val="18"/>
                <w:lang w:eastAsia="en-GB" w:bidi="ar-SA"/>
              </w:rPr>
              <w:t>8.1.2</w:t>
            </w:r>
          </w:p>
        </w:tc>
        <w:tc>
          <w:tcPr>
            <w:tcW w:w="425" w:type="dxa"/>
            <w:tcBorders>
              <w:right w:val="nil"/>
            </w:tcBorders>
            <w:shd w:val="clear" w:color="auto" w:fill="D9D9D9" w:themeFill="background1" w:themeFillShade="D9"/>
            <w:vAlign w:val="center"/>
          </w:tcPr>
          <w:p w14:paraId="5D04C9E9" w14:textId="77777777" w:rsidR="00C51F8F" w:rsidRPr="00A5378B" w:rsidRDefault="00C51F8F" w:rsidP="00DF510F">
            <w:pPr>
              <w:widowControl/>
              <w:rPr>
                <w:rFonts w:cs="Arial"/>
                <w:color w:val="000000"/>
                <w:sz w:val="18"/>
                <w:szCs w:val="18"/>
                <w:lang w:eastAsia="en-GB" w:bidi="ar-SA"/>
              </w:rPr>
            </w:pPr>
          </w:p>
        </w:tc>
        <w:tc>
          <w:tcPr>
            <w:tcW w:w="4866" w:type="dxa"/>
            <w:tcBorders>
              <w:left w:val="nil"/>
            </w:tcBorders>
            <w:shd w:val="clear" w:color="auto" w:fill="D9D9D9" w:themeFill="background1" w:themeFillShade="D9"/>
            <w:vAlign w:val="center"/>
            <w:hideMark/>
          </w:tcPr>
          <w:p w14:paraId="1BC2DFD1" w14:textId="77777777" w:rsidR="00C51F8F" w:rsidRPr="00A5378B" w:rsidRDefault="00C51F8F" w:rsidP="00221A11">
            <w:pPr>
              <w:widowControl/>
              <w:ind w:left="-114"/>
              <w:rPr>
                <w:rFonts w:cs="Arial"/>
                <w:color w:val="000000"/>
                <w:sz w:val="18"/>
                <w:szCs w:val="18"/>
                <w:lang w:eastAsia="en-GB" w:bidi="ar-SA"/>
              </w:rPr>
            </w:pPr>
            <w:r w:rsidRPr="00A5378B">
              <w:rPr>
                <w:rFonts w:cs="Arial"/>
                <w:color w:val="000000"/>
                <w:sz w:val="18"/>
                <w:szCs w:val="18"/>
                <w:lang w:eastAsia="en-GB" w:bidi="ar-SA"/>
              </w:rPr>
              <w:t>Game meat</w:t>
            </w:r>
          </w:p>
        </w:tc>
        <w:tc>
          <w:tcPr>
            <w:tcW w:w="888" w:type="dxa"/>
            <w:shd w:val="clear" w:color="auto" w:fill="D9D9D9" w:themeFill="background1" w:themeFillShade="D9"/>
            <w:vAlign w:val="center"/>
          </w:tcPr>
          <w:p w14:paraId="1E11052F"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23" w:type="dxa"/>
            <w:shd w:val="clear" w:color="auto" w:fill="D9D9D9" w:themeFill="background1" w:themeFillShade="D9"/>
            <w:vAlign w:val="center"/>
          </w:tcPr>
          <w:p w14:paraId="0E008EA7"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5</w:t>
            </w:r>
          </w:p>
        </w:tc>
        <w:tc>
          <w:tcPr>
            <w:tcW w:w="843" w:type="dxa"/>
            <w:shd w:val="clear" w:color="auto" w:fill="auto"/>
            <w:vAlign w:val="center"/>
          </w:tcPr>
          <w:p w14:paraId="466D6772"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D9D9D9" w:themeFill="background1" w:themeFillShade="D9"/>
            <w:vAlign w:val="center"/>
          </w:tcPr>
          <w:p w14:paraId="6E2664E4"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8</w:t>
            </w:r>
          </w:p>
        </w:tc>
        <w:tc>
          <w:tcPr>
            <w:tcW w:w="865" w:type="dxa"/>
            <w:shd w:val="clear" w:color="auto" w:fill="D9D9D9" w:themeFill="background1" w:themeFillShade="D9"/>
            <w:vAlign w:val="center"/>
          </w:tcPr>
          <w:p w14:paraId="51F96EEC"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7</w:t>
            </w:r>
          </w:p>
        </w:tc>
        <w:tc>
          <w:tcPr>
            <w:tcW w:w="843" w:type="dxa"/>
            <w:shd w:val="clear" w:color="auto" w:fill="auto"/>
            <w:vAlign w:val="center"/>
          </w:tcPr>
          <w:p w14:paraId="69212362"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1</w:t>
            </w:r>
          </w:p>
        </w:tc>
        <w:tc>
          <w:tcPr>
            <w:tcW w:w="840" w:type="dxa"/>
            <w:shd w:val="clear" w:color="auto" w:fill="D9D9D9" w:themeFill="background1" w:themeFillShade="D9"/>
            <w:vAlign w:val="center"/>
          </w:tcPr>
          <w:p w14:paraId="375743AA"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7</w:t>
            </w:r>
          </w:p>
        </w:tc>
        <w:tc>
          <w:tcPr>
            <w:tcW w:w="843" w:type="dxa"/>
            <w:shd w:val="clear" w:color="auto" w:fill="D9D9D9" w:themeFill="background1" w:themeFillShade="D9"/>
            <w:vAlign w:val="center"/>
          </w:tcPr>
          <w:p w14:paraId="29CB9B2A"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7</w:t>
            </w:r>
          </w:p>
        </w:tc>
        <w:tc>
          <w:tcPr>
            <w:tcW w:w="860" w:type="dxa"/>
            <w:shd w:val="clear" w:color="auto" w:fill="auto"/>
            <w:vAlign w:val="center"/>
          </w:tcPr>
          <w:p w14:paraId="030C5BE6" w14:textId="707720E0"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1</w:t>
            </w:r>
          </w:p>
        </w:tc>
      </w:tr>
      <w:tr w:rsidR="00C51F8F" w:rsidRPr="00683BE9" w14:paraId="456E6BEC" w14:textId="77777777" w:rsidTr="00221A11">
        <w:trPr>
          <w:cantSplit/>
        </w:trPr>
        <w:tc>
          <w:tcPr>
            <w:tcW w:w="1276" w:type="dxa"/>
            <w:shd w:val="clear" w:color="auto" w:fill="D9D9D9" w:themeFill="background1" w:themeFillShade="D9"/>
            <w:vAlign w:val="center"/>
            <w:hideMark/>
          </w:tcPr>
          <w:p w14:paraId="65218ED2" w14:textId="77777777" w:rsidR="00C51F8F" w:rsidRPr="00A5378B" w:rsidRDefault="00C51F8F" w:rsidP="00DF510F">
            <w:pPr>
              <w:widowControl/>
              <w:rPr>
                <w:rFonts w:cs="Arial"/>
                <w:color w:val="000000"/>
                <w:sz w:val="18"/>
                <w:szCs w:val="18"/>
                <w:lang w:eastAsia="en-GB" w:bidi="ar-SA"/>
              </w:rPr>
            </w:pPr>
            <w:r w:rsidRPr="00A5378B">
              <w:rPr>
                <w:rFonts w:cs="Arial"/>
                <w:color w:val="000000"/>
                <w:sz w:val="18"/>
                <w:szCs w:val="18"/>
                <w:lang w:eastAsia="en-GB" w:bidi="ar-SA"/>
              </w:rPr>
              <w:t>8.1.3.2</w:t>
            </w:r>
          </w:p>
        </w:tc>
        <w:tc>
          <w:tcPr>
            <w:tcW w:w="425" w:type="dxa"/>
            <w:tcBorders>
              <w:bottom w:val="single" w:sz="4" w:space="0" w:color="auto"/>
              <w:right w:val="nil"/>
            </w:tcBorders>
            <w:shd w:val="clear" w:color="auto" w:fill="D9D9D9" w:themeFill="background1" w:themeFillShade="D9"/>
            <w:vAlign w:val="center"/>
            <w:hideMark/>
          </w:tcPr>
          <w:p w14:paraId="5370ED96" w14:textId="77777777" w:rsidR="00C51F8F" w:rsidRPr="00A5378B" w:rsidRDefault="00C51F8F" w:rsidP="00DF510F">
            <w:pPr>
              <w:widowControl/>
              <w:rPr>
                <w:rFonts w:cs="Arial"/>
                <w:color w:val="000000"/>
                <w:sz w:val="18"/>
                <w:szCs w:val="18"/>
                <w:lang w:eastAsia="en-GB" w:bidi="ar-SA"/>
              </w:rPr>
            </w:pPr>
          </w:p>
        </w:tc>
        <w:tc>
          <w:tcPr>
            <w:tcW w:w="4866" w:type="dxa"/>
            <w:tcBorders>
              <w:left w:val="nil"/>
              <w:bottom w:val="single" w:sz="4" w:space="0" w:color="auto"/>
            </w:tcBorders>
            <w:shd w:val="clear" w:color="auto" w:fill="D9D9D9" w:themeFill="background1" w:themeFillShade="D9"/>
            <w:vAlign w:val="center"/>
            <w:hideMark/>
          </w:tcPr>
          <w:p w14:paraId="2E578635" w14:textId="77777777" w:rsidR="00C51F8F" w:rsidRPr="00A5378B" w:rsidRDefault="00C51F8F" w:rsidP="00221A11">
            <w:pPr>
              <w:widowControl/>
              <w:ind w:left="-114"/>
              <w:rPr>
                <w:rFonts w:cs="Arial"/>
                <w:color w:val="000000"/>
                <w:sz w:val="18"/>
                <w:szCs w:val="18"/>
                <w:lang w:eastAsia="en-GB" w:bidi="ar-SA"/>
              </w:rPr>
            </w:pPr>
            <w:r w:rsidRPr="00A5378B">
              <w:rPr>
                <w:rFonts w:cs="Arial"/>
                <w:color w:val="000000"/>
                <w:sz w:val="18"/>
                <w:szCs w:val="18"/>
                <w:lang w:eastAsia="en-GB" w:bidi="ar-SA"/>
              </w:rPr>
              <w:t>Red meat, excluding game</w:t>
            </w:r>
          </w:p>
        </w:tc>
        <w:tc>
          <w:tcPr>
            <w:tcW w:w="888" w:type="dxa"/>
            <w:shd w:val="clear" w:color="auto" w:fill="D9D9D9" w:themeFill="background1" w:themeFillShade="D9"/>
            <w:vAlign w:val="center"/>
          </w:tcPr>
          <w:p w14:paraId="6EC47C9D"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50</w:t>
            </w:r>
          </w:p>
        </w:tc>
        <w:tc>
          <w:tcPr>
            <w:tcW w:w="823" w:type="dxa"/>
            <w:shd w:val="clear" w:color="auto" w:fill="D9D9D9" w:themeFill="background1" w:themeFillShade="D9"/>
            <w:vAlign w:val="center"/>
          </w:tcPr>
          <w:p w14:paraId="02ED7951"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50</w:t>
            </w:r>
          </w:p>
        </w:tc>
        <w:tc>
          <w:tcPr>
            <w:tcW w:w="843" w:type="dxa"/>
            <w:shd w:val="clear" w:color="auto" w:fill="D9D9D9" w:themeFill="background1" w:themeFillShade="D9"/>
            <w:vAlign w:val="center"/>
          </w:tcPr>
          <w:p w14:paraId="6B53C9A7"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7</w:t>
            </w:r>
          </w:p>
        </w:tc>
        <w:tc>
          <w:tcPr>
            <w:tcW w:w="860" w:type="dxa"/>
            <w:shd w:val="clear" w:color="auto" w:fill="D9D9D9" w:themeFill="background1" w:themeFillShade="D9"/>
            <w:vAlign w:val="center"/>
          </w:tcPr>
          <w:p w14:paraId="086BF27A"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52</w:t>
            </w:r>
          </w:p>
        </w:tc>
        <w:tc>
          <w:tcPr>
            <w:tcW w:w="865" w:type="dxa"/>
            <w:shd w:val="clear" w:color="auto" w:fill="D9D9D9" w:themeFill="background1" w:themeFillShade="D9"/>
            <w:vAlign w:val="center"/>
          </w:tcPr>
          <w:p w14:paraId="3041DE9B"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51</w:t>
            </w:r>
          </w:p>
        </w:tc>
        <w:tc>
          <w:tcPr>
            <w:tcW w:w="843" w:type="dxa"/>
            <w:shd w:val="clear" w:color="auto" w:fill="D9D9D9" w:themeFill="background1" w:themeFillShade="D9"/>
            <w:vAlign w:val="center"/>
          </w:tcPr>
          <w:p w14:paraId="6A05A132"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8</w:t>
            </w:r>
          </w:p>
        </w:tc>
        <w:tc>
          <w:tcPr>
            <w:tcW w:w="840" w:type="dxa"/>
            <w:shd w:val="clear" w:color="auto" w:fill="D9D9D9" w:themeFill="background1" w:themeFillShade="D9"/>
            <w:vAlign w:val="center"/>
          </w:tcPr>
          <w:p w14:paraId="7505E08A"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52</w:t>
            </w:r>
          </w:p>
        </w:tc>
        <w:tc>
          <w:tcPr>
            <w:tcW w:w="843" w:type="dxa"/>
            <w:shd w:val="clear" w:color="auto" w:fill="D9D9D9" w:themeFill="background1" w:themeFillShade="D9"/>
            <w:vAlign w:val="center"/>
          </w:tcPr>
          <w:p w14:paraId="7D84051E"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51</w:t>
            </w:r>
          </w:p>
        </w:tc>
        <w:tc>
          <w:tcPr>
            <w:tcW w:w="860" w:type="dxa"/>
            <w:shd w:val="clear" w:color="auto" w:fill="D9D9D9" w:themeFill="background1" w:themeFillShade="D9"/>
            <w:vAlign w:val="center"/>
          </w:tcPr>
          <w:p w14:paraId="4CC53AD2" w14:textId="680CADD5"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8</w:t>
            </w:r>
          </w:p>
        </w:tc>
      </w:tr>
      <w:tr w:rsidR="00C51F8F" w:rsidRPr="00683BE9" w14:paraId="7CF000A5" w14:textId="77777777" w:rsidTr="00221A11">
        <w:trPr>
          <w:cantSplit/>
        </w:trPr>
        <w:tc>
          <w:tcPr>
            <w:tcW w:w="1276" w:type="dxa"/>
            <w:tcBorders>
              <w:bottom w:val="single" w:sz="4" w:space="0" w:color="auto"/>
            </w:tcBorders>
            <w:shd w:val="clear" w:color="auto" w:fill="D9D9D9" w:themeFill="background1" w:themeFillShade="D9"/>
            <w:vAlign w:val="center"/>
            <w:hideMark/>
          </w:tcPr>
          <w:p w14:paraId="59C0F706" w14:textId="77777777" w:rsidR="00C51F8F" w:rsidRPr="00A5378B" w:rsidRDefault="00C51F8F" w:rsidP="00DF510F">
            <w:pPr>
              <w:widowControl/>
              <w:rPr>
                <w:rFonts w:cs="Arial"/>
                <w:color w:val="000000"/>
                <w:sz w:val="18"/>
                <w:szCs w:val="18"/>
                <w:lang w:eastAsia="en-GB" w:bidi="ar-SA"/>
              </w:rPr>
            </w:pPr>
            <w:r w:rsidRPr="00A5378B">
              <w:rPr>
                <w:rFonts w:cs="Arial"/>
                <w:color w:val="000000"/>
                <w:sz w:val="18"/>
                <w:szCs w:val="18"/>
                <w:lang w:eastAsia="en-GB" w:bidi="ar-SA"/>
              </w:rPr>
              <w:t>8.2</w:t>
            </w:r>
          </w:p>
        </w:tc>
        <w:tc>
          <w:tcPr>
            <w:tcW w:w="425" w:type="dxa"/>
            <w:tcBorders>
              <w:bottom w:val="single" w:sz="4" w:space="0" w:color="auto"/>
              <w:right w:val="nil"/>
            </w:tcBorders>
            <w:shd w:val="clear" w:color="auto" w:fill="D9D9D9" w:themeFill="background1" w:themeFillShade="D9"/>
            <w:vAlign w:val="center"/>
          </w:tcPr>
          <w:p w14:paraId="5AD1838F" w14:textId="77777777" w:rsidR="00C51F8F" w:rsidRPr="00A5378B" w:rsidRDefault="00C51F8F" w:rsidP="00DF510F">
            <w:pPr>
              <w:widowControl/>
              <w:rPr>
                <w:rFonts w:cs="Arial"/>
                <w:color w:val="000000"/>
                <w:sz w:val="18"/>
                <w:szCs w:val="18"/>
                <w:lang w:eastAsia="en-GB" w:bidi="ar-SA"/>
              </w:rPr>
            </w:pPr>
          </w:p>
        </w:tc>
        <w:tc>
          <w:tcPr>
            <w:tcW w:w="4866" w:type="dxa"/>
            <w:tcBorders>
              <w:left w:val="nil"/>
              <w:bottom w:val="single" w:sz="4" w:space="0" w:color="auto"/>
            </w:tcBorders>
            <w:shd w:val="clear" w:color="auto" w:fill="D9D9D9" w:themeFill="background1" w:themeFillShade="D9"/>
            <w:vAlign w:val="center"/>
            <w:hideMark/>
          </w:tcPr>
          <w:p w14:paraId="32B0F1BF" w14:textId="77777777" w:rsidR="00C51F8F" w:rsidRPr="00A5378B" w:rsidRDefault="00C51F8F" w:rsidP="00221A11">
            <w:pPr>
              <w:widowControl/>
              <w:ind w:left="-114"/>
              <w:rPr>
                <w:rFonts w:cs="Arial"/>
                <w:color w:val="000000"/>
                <w:sz w:val="18"/>
                <w:szCs w:val="18"/>
                <w:lang w:eastAsia="en-GB" w:bidi="ar-SA"/>
              </w:rPr>
            </w:pPr>
            <w:r w:rsidRPr="00202302">
              <w:rPr>
                <w:rFonts w:cs="Arial"/>
                <w:color w:val="000000"/>
                <w:sz w:val="18"/>
                <w:szCs w:val="18"/>
                <w:lang w:eastAsia="en-GB" w:bidi="ar-SA"/>
              </w:rPr>
              <w:t>Processed meat/ poultry/ game products in whole/ cut pieces (e.g. ham, bacon, smoked chicken)</w:t>
            </w:r>
          </w:p>
        </w:tc>
        <w:tc>
          <w:tcPr>
            <w:tcW w:w="888" w:type="dxa"/>
            <w:shd w:val="clear" w:color="auto" w:fill="auto"/>
            <w:vAlign w:val="center"/>
          </w:tcPr>
          <w:p w14:paraId="4936FC56"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4</w:t>
            </w:r>
          </w:p>
        </w:tc>
        <w:tc>
          <w:tcPr>
            <w:tcW w:w="823" w:type="dxa"/>
            <w:vAlign w:val="center"/>
          </w:tcPr>
          <w:p w14:paraId="5D7B41D0"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4</w:t>
            </w:r>
          </w:p>
        </w:tc>
        <w:tc>
          <w:tcPr>
            <w:tcW w:w="843" w:type="dxa"/>
            <w:shd w:val="clear" w:color="auto" w:fill="auto"/>
            <w:vAlign w:val="center"/>
          </w:tcPr>
          <w:p w14:paraId="5C98A8D8"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D9D9D9" w:themeFill="background1" w:themeFillShade="D9"/>
            <w:vAlign w:val="center"/>
          </w:tcPr>
          <w:p w14:paraId="67924FF7"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65" w:type="dxa"/>
            <w:shd w:val="clear" w:color="auto" w:fill="D9D9D9" w:themeFill="background1" w:themeFillShade="D9"/>
            <w:vAlign w:val="center"/>
          </w:tcPr>
          <w:p w14:paraId="7312AD57"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5</w:t>
            </w:r>
          </w:p>
        </w:tc>
        <w:tc>
          <w:tcPr>
            <w:tcW w:w="843" w:type="dxa"/>
            <w:shd w:val="clear" w:color="auto" w:fill="auto"/>
            <w:vAlign w:val="center"/>
          </w:tcPr>
          <w:p w14:paraId="2E90D10D"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D9D9D9" w:themeFill="background1" w:themeFillShade="D9"/>
            <w:vAlign w:val="center"/>
          </w:tcPr>
          <w:p w14:paraId="04B0AFAD"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43" w:type="dxa"/>
            <w:shd w:val="clear" w:color="auto" w:fill="D9D9D9" w:themeFill="background1" w:themeFillShade="D9"/>
            <w:vAlign w:val="center"/>
          </w:tcPr>
          <w:p w14:paraId="09502C0F"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5</w:t>
            </w:r>
          </w:p>
        </w:tc>
        <w:tc>
          <w:tcPr>
            <w:tcW w:w="860" w:type="dxa"/>
            <w:shd w:val="clear" w:color="auto" w:fill="auto"/>
            <w:vAlign w:val="center"/>
          </w:tcPr>
          <w:p w14:paraId="63B6F55E" w14:textId="21E11665"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C51F8F" w:rsidRPr="00683BE9" w14:paraId="2EDD45E9" w14:textId="77777777" w:rsidTr="00221A11">
        <w:trPr>
          <w:cantSplit/>
        </w:trPr>
        <w:tc>
          <w:tcPr>
            <w:tcW w:w="1276" w:type="dxa"/>
            <w:tcBorders>
              <w:bottom w:val="single" w:sz="4" w:space="0" w:color="auto"/>
            </w:tcBorders>
            <w:shd w:val="clear" w:color="auto" w:fill="D9D9D9" w:themeFill="background1" w:themeFillShade="D9"/>
            <w:vAlign w:val="center"/>
            <w:hideMark/>
          </w:tcPr>
          <w:p w14:paraId="7B7C67F1" w14:textId="77777777" w:rsidR="00C51F8F" w:rsidRPr="00A5378B" w:rsidRDefault="00C51F8F" w:rsidP="00DF510F">
            <w:pPr>
              <w:widowControl/>
              <w:rPr>
                <w:rFonts w:cs="Arial"/>
                <w:color w:val="000000"/>
                <w:sz w:val="18"/>
                <w:szCs w:val="18"/>
                <w:lang w:eastAsia="en-GB" w:bidi="ar-SA"/>
              </w:rPr>
            </w:pPr>
            <w:r w:rsidRPr="00A5378B">
              <w:rPr>
                <w:rFonts w:cs="Arial"/>
                <w:color w:val="000000"/>
                <w:sz w:val="18"/>
                <w:szCs w:val="18"/>
                <w:lang w:eastAsia="en-GB" w:bidi="ar-SA"/>
              </w:rPr>
              <w:t>8.3.2</w:t>
            </w:r>
          </w:p>
        </w:tc>
        <w:tc>
          <w:tcPr>
            <w:tcW w:w="425" w:type="dxa"/>
            <w:tcBorders>
              <w:bottom w:val="single" w:sz="4" w:space="0" w:color="auto"/>
              <w:right w:val="nil"/>
            </w:tcBorders>
            <w:shd w:val="clear" w:color="auto" w:fill="D9D9D9" w:themeFill="background1" w:themeFillShade="D9"/>
            <w:vAlign w:val="center"/>
          </w:tcPr>
          <w:p w14:paraId="6EAC86F4" w14:textId="77777777" w:rsidR="00C51F8F" w:rsidRPr="00A5378B" w:rsidRDefault="00C51F8F" w:rsidP="00DF510F">
            <w:pPr>
              <w:widowControl/>
              <w:rPr>
                <w:rFonts w:cs="Arial"/>
                <w:color w:val="000000"/>
                <w:sz w:val="18"/>
                <w:szCs w:val="18"/>
                <w:lang w:eastAsia="en-GB" w:bidi="ar-SA"/>
              </w:rPr>
            </w:pPr>
          </w:p>
        </w:tc>
        <w:tc>
          <w:tcPr>
            <w:tcW w:w="4866" w:type="dxa"/>
            <w:tcBorders>
              <w:left w:val="nil"/>
              <w:bottom w:val="single" w:sz="4" w:space="0" w:color="auto"/>
            </w:tcBorders>
            <w:shd w:val="clear" w:color="auto" w:fill="D9D9D9" w:themeFill="background1" w:themeFillShade="D9"/>
            <w:vAlign w:val="center"/>
            <w:hideMark/>
          </w:tcPr>
          <w:p w14:paraId="6BC228F6" w14:textId="77777777" w:rsidR="00C51F8F" w:rsidRPr="00A5378B" w:rsidRDefault="00C51F8F" w:rsidP="00221A11">
            <w:pPr>
              <w:widowControl/>
              <w:ind w:left="-114"/>
              <w:rPr>
                <w:rFonts w:cs="Arial"/>
                <w:color w:val="000000"/>
                <w:sz w:val="18"/>
                <w:szCs w:val="18"/>
                <w:lang w:eastAsia="en-GB" w:bidi="ar-SA"/>
              </w:rPr>
            </w:pPr>
            <w:r w:rsidRPr="00A5378B">
              <w:rPr>
                <w:rFonts w:cs="Arial"/>
                <w:color w:val="000000"/>
                <w:sz w:val="18"/>
                <w:szCs w:val="18"/>
                <w:lang w:eastAsia="en-GB" w:bidi="ar-SA"/>
              </w:rPr>
              <w:t>Sausage &amp; sausage meat</w:t>
            </w:r>
          </w:p>
        </w:tc>
        <w:tc>
          <w:tcPr>
            <w:tcW w:w="888" w:type="dxa"/>
            <w:shd w:val="clear" w:color="auto" w:fill="D9D9D9" w:themeFill="background1" w:themeFillShade="D9"/>
            <w:vAlign w:val="center"/>
          </w:tcPr>
          <w:p w14:paraId="12AA5BFB"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23" w:type="dxa"/>
            <w:shd w:val="clear" w:color="auto" w:fill="D9D9D9" w:themeFill="background1" w:themeFillShade="D9"/>
            <w:vAlign w:val="center"/>
          </w:tcPr>
          <w:p w14:paraId="2C977457"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5</w:t>
            </w:r>
          </w:p>
        </w:tc>
        <w:tc>
          <w:tcPr>
            <w:tcW w:w="843" w:type="dxa"/>
            <w:shd w:val="clear" w:color="auto" w:fill="auto"/>
            <w:vAlign w:val="center"/>
          </w:tcPr>
          <w:p w14:paraId="4957045F"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2A4F9764"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4</w:t>
            </w:r>
          </w:p>
        </w:tc>
        <w:tc>
          <w:tcPr>
            <w:tcW w:w="865" w:type="dxa"/>
            <w:vAlign w:val="center"/>
          </w:tcPr>
          <w:p w14:paraId="4A6F99DD"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4</w:t>
            </w:r>
          </w:p>
        </w:tc>
        <w:tc>
          <w:tcPr>
            <w:tcW w:w="843" w:type="dxa"/>
            <w:shd w:val="clear" w:color="auto" w:fill="auto"/>
            <w:vAlign w:val="center"/>
          </w:tcPr>
          <w:p w14:paraId="366E9884"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4BDDC2A4"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4</w:t>
            </w:r>
          </w:p>
        </w:tc>
        <w:tc>
          <w:tcPr>
            <w:tcW w:w="843" w:type="dxa"/>
            <w:vAlign w:val="center"/>
          </w:tcPr>
          <w:p w14:paraId="1580DA62"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4</w:t>
            </w:r>
          </w:p>
        </w:tc>
        <w:tc>
          <w:tcPr>
            <w:tcW w:w="860" w:type="dxa"/>
            <w:shd w:val="clear" w:color="auto" w:fill="auto"/>
            <w:vAlign w:val="center"/>
          </w:tcPr>
          <w:p w14:paraId="0B469C0D"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503286E8" w14:textId="77777777" w:rsidTr="00C51F8F">
        <w:trPr>
          <w:cantSplit/>
        </w:trPr>
        <w:tc>
          <w:tcPr>
            <w:tcW w:w="1276" w:type="dxa"/>
            <w:tcBorders>
              <w:bottom w:val="single" w:sz="4" w:space="0" w:color="auto"/>
            </w:tcBorders>
            <w:shd w:val="clear" w:color="auto" w:fill="auto"/>
            <w:vAlign w:val="center"/>
            <w:hideMark/>
          </w:tcPr>
          <w:p w14:paraId="6142BAC8" w14:textId="77777777" w:rsidR="00E907D7" w:rsidRPr="00C74A6B" w:rsidRDefault="00E907D7" w:rsidP="00C74A6B">
            <w:pPr>
              <w:rPr>
                <w:rFonts w:cs="Arial"/>
                <w:bCs/>
                <w:color w:val="000000"/>
                <w:sz w:val="18"/>
                <w:szCs w:val="18"/>
                <w:lang w:eastAsia="en-GB" w:bidi="ar-SA"/>
              </w:rPr>
            </w:pPr>
            <w:r w:rsidRPr="00C74A6B">
              <w:rPr>
                <w:rFonts w:cs="Arial"/>
                <w:bCs/>
                <w:color w:val="000000"/>
                <w:sz w:val="18"/>
                <w:szCs w:val="18"/>
                <w:lang w:eastAsia="en-GB" w:bidi="ar-SA"/>
              </w:rPr>
              <w:t>9</w:t>
            </w:r>
          </w:p>
        </w:tc>
        <w:tc>
          <w:tcPr>
            <w:tcW w:w="5291" w:type="dxa"/>
            <w:gridSpan w:val="2"/>
            <w:tcBorders>
              <w:bottom w:val="single" w:sz="4" w:space="0" w:color="auto"/>
            </w:tcBorders>
            <w:shd w:val="clear" w:color="auto" w:fill="auto"/>
            <w:vAlign w:val="center"/>
          </w:tcPr>
          <w:p w14:paraId="5804865D"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Fish &amp; fish products</w:t>
            </w:r>
          </w:p>
        </w:tc>
        <w:tc>
          <w:tcPr>
            <w:tcW w:w="888" w:type="dxa"/>
            <w:shd w:val="clear" w:color="auto" w:fill="auto"/>
            <w:vAlign w:val="center"/>
          </w:tcPr>
          <w:p w14:paraId="40A3735B"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c>
          <w:tcPr>
            <w:tcW w:w="823" w:type="dxa"/>
            <w:vAlign w:val="center"/>
          </w:tcPr>
          <w:p w14:paraId="598D2E2B"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&lt;1</w:t>
            </w:r>
          </w:p>
        </w:tc>
        <w:tc>
          <w:tcPr>
            <w:tcW w:w="843" w:type="dxa"/>
            <w:shd w:val="clear" w:color="auto" w:fill="auto"/>
            <w:vAlign w:val="center"/>
          </w:tcPr>
          <w:p w14:paraId="183105BC"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c>
          <w:tcPr>
            <w:tcW w:w="860" w:type="dxa"/>
            <w:shd w:val="clear" w:color="auto" w:fill="auto"/>
            <w:vAlign w:val="center"/>
          </w:tcPr>
          <w:p w14:paraId="2BB5B62B"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1</w:t>
            </w:r>
          </w:p>
        </w:tc>
        <w:tc>
          <w:tcPr>
            <w:tcW w:w="865" w:type="dxa"/>
            <w:vAlign w:val="center"/>
          </w:tcPr>
          <w:p w14:paraId="751A644A"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1</w:t>
            </w:r>
          </w:p>
        </w:tc>
        <w:tc>
          <w:tcPr>
            <w:tcW w:w="843" w:type="dxa"/>
            <w:shd w:val="clear" w:color="auto" w:fill="auto"/>
            <w:vAlign w:val="center"/>
          </w:tcPr>
          <w:p w14:paraId="10864E77"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&lt;1</w:t>
            </w:r>
          </w:p>
        </w:tc>
        <w:tc>
          <w:tcPr>
            <w:tcW w:w="840" w:type="dxa"/>
            <w:shd w:val="clear" w:color="auto" w:fill="auto"/>
            <w:vAlign w:val="center"/>
          </w:tcPr>
          <w:p w14:paraId="0B7CEE25"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1</w:t>
            </w:r>
          </w:p>
        </w:tc>
        <w:tc>
          <w:tcPr>
            <w:tcW w:w="843" w:type="dxa"/>
            <w:vAlign w:val="center"/>
          </w:tcPr>
          <w:p w14:paraId="52C8BCC9"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1</w:t>
            </w:r>
          </w:p>
        </w:tc>
        <w:tc>
          <w:tcPr>
            <w:tcW w:w="860" w:type="dxa"/>
            <w:shd w:val="clear" w:color="auto" w:fill="auto"/>
            <w:vAlign w:val="center"/>
          </w:tcPr>
          <w:p w14:paraId="79FF3F76"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r>
      <w:tr w:rsidR="00E907D7" w:rsidRPr="00683BE9" w14:paraId="5B1D369A" w14:textId="77777777" w:rsidTr="00C51F8F">
        <w:trPr>
          <w:cantSplit/>
        </w:trPr>
        <w:tc>
          <w:tcPr>
            <w:tcW w:w="1276" w:type="dxa"/>
            <w:shd w:val="clear" w:color="auto" w:fill="auto"/>
            <w:vAlign w:val="center"/>
            <w:hideMark/>
          </w:tcPr>
          <w:p w14:paraId="71181D18" w14:textId="77777777" w:rsidR="00E907D7" w:rsidRPr="00C74A6B" w:rsidRDefault="00E907D7" w:rsidP="00C74A6B">
            <w:pPr>
              <w:rPr>
                <w:rFonts w:cs="Arial"/>
                <w:bCs/>
                <w:color w:val="000000"/>
                <w:sz w:val="18"/>
                <w:szCs w:val="18"/>
                <w:lang w:eastAsia="en-GB" w:bidi="ar-SA"/>
              </w:rPr>
            </w:pPr>
            <w:r w:rsidRPr="00C74A6B">
              <w:rPr>
                <w:rFonts w:cs="Arial"/>
                <w:bCs/>
                <w:color w:val="000000"/>
                <w:sz w:val="18"/>
                <w:szCs w:val="18"/>
                <w:lang w:eastAsia="en-GB" w:bidi="ar-SA"/>
              </w:rPr>
              <w:t>10</w:t>
            </w:r>
          </w:p>
        </w:tc>
        <w:tc>
          <w:tcPr>
            <w:tcW w:w="5291" w:type="dxa"/>
            <w:gridSpan w:val="2"/>
            <w:tcBorders>
              <w:bottom w:val="single" w:sz="4" w:space="0" w:color="auto"/>
            </w:tcBorders>
            <w:shd w:val="clear" w:color="auto" w:fill="auto"/>
            <w:vAlign w:val="center"/>
          </w:tcPr>
          <w:p w14:paraId="45211E8D"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Egg &amp; egg products</w:t>
            </w:r>
          </w:p>
        </w:tc>
        <w:tc>
          <w:tcPr>
            <w:tcW w:w="888" w:type="dxa"/>
            <w:shd w:val="clear" w:color="auto" w:fill="auto"/>
            <w:vAlign w:val="center"/>
          </w:tcPr>
          <w:p w14:paraId="229DD261" w14:textId="77777777" w:rsidR="00E907D7" w:rsidRPr="00C74A6B" w:rsidRDefault="00E907D7" w:rsidP="00E907D7">
            <w:pPr>
              <w:widowControl/>
              <w:tabs>
                <w:tab w:val="decimal" w:pos="454"/>
              </w:tabs>
              <w:rPr>
                <w:rFonts w:cs="Arial"/>
                <w:bCs/>
                <w:color w:val="000000"/>
                <w:sz w:val="18"/>
                <w:szCs w:val="18"/>
                <w:lang w:eastAsia="en-GB" w:bidi="ar-SA"/>
              </w:rPr>
            </w:pPr>
            <w:r w:rsidRPr="00C74A6B">
              <w:rPr>
                <w:rFonts w:cs="Arial"/>
                <w:bCs/>
                <w:color w:val="000000"/>
                <w:sz w:val="18"/>
                <w:szCs w:val="18"/>
              </w:rPr>
              <w:t>&lt;1</w:t>
            </w:r>
          </w:p>
        </w:tc>
        <w:tc>
          <w:tcPr>
            <w:tcW w:w="823" w:type="dxa"/>
            <w:vAlign w:val="center"/>
          </w:tcPr>
          <w:p w14:paraId="1B9C8DD6" w14:textId="77777777" w:rsidR="00E907D7" w:rsidRPr="00C74A6B" w:rsidRDefault="00E907D7" w:rsidP="00E907D7">
            <w:pPr>
              <w:widowControl/>
              <w:tabs>
                <w:tab w:val="decimal" w:pos="454"/>
              </w:tabs>
              <w:rPr>
                <w:rFonts w:cs="Arial"/>
                <w:bCs/>
                <w:color w:val="000000"/>
                <w:sz w:val="18"/>
                <w:szCs w:val="18"/>
              </w:rPr>
            </w:pPr>
            <w:r w:rsidRPr="00C74A6B">
              <w:rPr>
                <w:rFonts w:cs="Arial"/>
                <w:bCs/>
                <w:color w:val="000000"/>
                <w:sz w:val="18"/>
                <w:szCs w:val="18"/>
              </w:rPr>
              <w:t>&lt;1</w:t>
            </w:r>
          </w:p>
        </w:tc>
        <w:tc>
          <w:tcPr>
            <w:tcW w:w="843" w:type="dxa"/>
            <w:shd w:val="clear" w:color="auto" w:fill="auto"/>
            <w:vAlign w:val="center"/>
          </w:tcPr>
          <w:p w14:paraId="5FF9FFDD" w14:textId="77777777" w:rsidR="00E907D7" w:rsidRPr="00C74A6B" w:rsidRDefault="00E907D7" w:rsidP="00E907D7">
            <w:pPr>
              <w:widowControl/>
              <w:tabs>
                <w:tab w:val="decimal" w:pos="454"/>
              </w:tabs>
              <w:rPr>
                <w:rFonts w:cs="Arial"/>
                <w:bCs/>
                <w:color w:val="000000"/>
                <w:sz w:val="18"/>
                <w:szCs w:val="18"/>
                <w:lang w:eastAsia="en-GB" w:bidi="ar-SA"/>
              </w:rPr>
            </w:pPr>
            <w:r w:rsidRPr="00C74A6B">
              <w:rPr>
                <w:rFonts w:cs="Arial"/>
                <w:bCs/>
                <w:color w:val="000000"/>
                <w:sz w:val="18"/>
                <w:szCs w:val="18"/>
              </w:rPr>
              <w:t>&lt;1</w:t>
            </w:r>
          </w:p>
        </w:tc>
        <w:tc>
          <w:tcPr>
            <w:tcW w:w="860" w:type="dxa"/>
            <w:shd w:val="clear" w:color="auto" w:fill="auto"/>
            <w:vAlign w:val="center"/>
          </w:tcPr>
          <w:p w14:paraId="14D9B92C" w14:textId="77777777" w:rsidR="00E907D7" w:rsidRPr="00C74A6B" w:rsidRDefault="00E907D7" w:rsidP="00E907D7">
            <w:pPr>
              <w:widowControl/>
              <w:tabs>
                <w:tab w:val="decimal" w:pos="454"/>
              </w:tabs>
              <w:rPr>
                <w:rFonts w:cs="Arial"/>
                <w:bCs/>
                <w:sz w:val="18"/>
                <w:szCs w:val="18"/>
                <w:lang w:eastAsia="en-GB" w:bidi="ar-SA"/>
              </w:rPr>
            </w:pPr>
            <w:r w:rsidRPr="00C74A6B">
              <w:rPr>
                <w:rFonts w:cs="Arial"/>
                <w:bCs/>
                <w:color w:val="000000"/>
                <w:sz w:val="18"/>
                <w:szCs w:val="18"/>
              </w:rPr>
              <w:t>&lt;1</w:t>
            </w:r>
          </w:p>
        </w:tc>
        <w:tc>
          <w:tcPr>
            <w:tcW w:w="865" w:type="dxa"/>
            <w:vAlign w:val="center"/>
          </w:tcPr>
          <w:p w14:paraId="7FA1986F" w14:textId="77777777" w:rsidR="00E907D7" w:rsidRPr="00C74A6B" w:rsidRDefault="00E907D7" w:rsidP="00E907D7">
            <w:pPr>
              <w:widowControl/>
              <w:tabs>
                <w:tab w:val="decimal" w:pos="454"/>
              </w:tabs>
              <w:rPr>
                <w:rFonts w:cs="Arial"/>
                <w:bCs/>
                <w:color w:val="000000"/>
                <w:sz w:val="18"/>
                <w:szCs w:val="18"/>
              </w:rPr>
            </w:pPr>
            <w:r w:rsidRPr="00C74A6B">
              <w:rPr>
                <w:rFonts w:cs="Arial"/>
                <w:bCs/>
                <w:color w:val="000000"/>
                <w:sz w:val="18"/>
                <w:szCs w:val="18"/>
              </w:rPr>
              <w:t>&lt;1</w:t>
            </w:r>
          </w:p>
        </w:tc>
        <w:tc>
          <w:tcPr>
            <w:tcW w:w="843" w:type="dxa"/>
            <w:shd w:val="clear" w:color="auto" w:fill="auto"/>
            <w:vAlign w:val="center"/>
          </w:tcPr>
          <w:p w14:paraId="7561D727" w14:textId="77777777" w:rsidR="00E907D7" w:rsidRPr="00C74A6B" w:rsidRDefault="00E907D7" w:rsidP="00E907D7">
            <w:pPr>
              <w:widowControl/>
              <w:tabs>
                <w:tab w:val="decimal" w:pos="454"/>
              </w:tabs>
              <w:rPr>
                <w:rFonts w:cs="Arial"/>
                <w:bCs/>
                <w:sz w:val="18"/>
                <w:szCs w:val="18"/>
                <w:lang w:eastAsia="en-GB" w:bidi="ar-SA"/>
              </w:rPr>
            </w:pPr>
            <w:r w:rsidRPr="00C74A6B">
              <w:rPr>
                <w:rFonts w:cs="Arial"/>
                <w:bCs/>
                <w:color w:val="000000"/>
                <w:sz w:val="18"/>
                <w:szCs w:val="18"/>
              </w:rPr>
              <w:t>&lt;1</w:t>
            </w:r>
          </w:p>
        </w:tc>
        <w:tc>
          <w:tcPr>
            <w:tcW w:w="840" w:type="dxa"/>
            <w:shd w:val="clear" w:color="auto" w:fill="auto"/>
            <w:vAlign w:val="center"/>
          </w:tcPr>
          <w:p w14:paraId="4587E4AF" w14:textId="77777777" w:rsidR="00E907D7" w:rsidRPr="00C74A6B" w:rsidRDefault="00E907D7" w:rsidP="00E907D7">
            <w:pPr>
              <w:widowControl/>
              <w:tabs>
                <w:tab w:val="decimal" w:pos="454"/>
              </w:tabs>
              <w:rPr>
                <w:rFonts w:cs="Arial"/>
                <w:bCs/>
                <w:color w:val="000000"/>
                <w:sz w:val="18"/>
                <w:szCs w:val="18"/>
                <w:lang w:eastAsia="en-GB" w:bidi="ar-SA"/>
              </w:rPr>
            </w:pPr>
            <w:r w:rsidRPr="00C74A6B">
              <w:rPr>
                <w:rFonts w:cs="Arial"/>
                <w:bCs/>
                <w:color w:val="000000"/>
                <w:sz w:val="18"/>
                <w:szCs w:val="18"/>
              </w:rPr>
              <w:t>&lt;1</w:t>
            </w:r>
          </w:p>
        </w:tc>
        <w:tc>
          <w:tcPr>
            <w:tcW w:w="843" w:type="dxa"/>
            <w:vAlign w:val="center"/>
          </w:tcPr>
          <w:p w14:paraId="095CEE9C" w14:textId="77777777" w:rsidR="00E907D7" w:rsidRPr="00C74A6B" w:rsidRDefault="00E907D7" w:rsidP="00E907D7">
            <w:pPr>
              <w:widowControl/>
              <w:tabs>
                <w:tab w:val="decimal" w:pos="454"/>
              </w:tabs>
              <w:rPr>
                <w:rFonts w:cs="Arial"/>
                <w:bCs/>
                <w:color w:val="000000"/>
                <w:sz w:val="18"/>
                <w:szCs w:val="18"/>
              </w:rPr>
            </w:pPr>
            <w:r w:rsidRPr="00C74A6B">
              <w:rPr>
                <w:rFonts w:cs="Arial"/>
                <w:bCs/>
                <w:color w:val="000000"/>
                <w:sz w:val="18"/>
                <w:szCs w:val="18"/>
              </w:rPr>
              <w:t>&lt;1</w:t>
            </w:r>
          </w:p>
        </w:tc>
        <w:tc>
          <w:tcPr>
            <w:tcW w:w="860" w:type="dxa"/>
            <w:shd w:val="clear" w:color="auto" w:fill="auto"/>
            <w:vAlign w:val="center"/>
          </w:tcPr>
          <w:p w14:paraId="4D3A92C4" w14:textId="77777777" w:rsidR="00E907D7" w:rsidRPr="00C74A6B" w:rsidRDefault="00E907D7" w:rsidP="00E907D7">
            <w:pPr>
              <w:widowControl/>
              <w:tabs>
                <w:tab w:val="decimal" w:pos="454"/>
              </w:tabs>
              <w:rPr>
                <w:rFonts w:cs="Arial"/>
                <w:bCs/>
                <w:color w:val="000000"/>
                <w:sz w:val="18"/>
                <w:szCs w:val="18"/>
                <w:lang w:eastAsia="en-GB" w:bidi="ar-SA"/>
              </w:rPr>
            </w:pPr>
            <w:r w:rsidRPr="00C74A6B">
              <w:rPr>
                <w:rFonts w:cs="Arial"/>
                <w:bCs/>
                <w:color w:val="000000"/>
                <w:sz w:val="18"/>
                <w:szCs w:val="18"/>
              </w:rPr>
              <w:t>&lt;1</w:t>
            </w:r>
          </w:p>
        </w:tc>
      </w:tr>
      <w:tr w:rsidR="00E907D7" w:rsidRPr="00683BE9" w14:paraId="10DDD33E" w14:textId="77777777" w:rsidTr="00C51F8F">
        <w:trPr>
          <w:cantSplit/>
        </w:trPr>
        <w:tc>
          <w:tcPr>
            <w:tcW w:w="1276" w:type="dxa"/>
            <w:shd w:val="clear" w:color="auto" w:fill="auto"/>
            <w:vAlign w:val="center"/>
            <w:hideMark/>
          </w:tcPr>
          <w:p w14:paraId="20E24C4E" w14:textId="77777777" w:rsidR="00E907D7" w:rsidRPr="00C74A6B" w:rsidRDefault="00E907D7" w:rsidP="00C74A6B">
            <w:pPr>
              <w:rPr>
                <w:rFonts w:cs="Arial"/>
                <w:bCs/>
                <w:color w:val="000000"/>
                <w:sz w:val="18"/>
                <w:szCs w:val="18"/>
                <w:lang w:eastAsia="en-GB" w:bidi="ar-SA"/>
              </w:rPr>
            </w:pPr>
            <w:r w:rsidRPr="00C74A6B">
              <w:rPr>
                <w:rFonts w:cs="Arial"/>
                <w:bCs/>
                <w:color w:val="000000"/>
                <w:sz w:val="18"/>
                <w:szCs w:val="18"/>
                <w:lang w:eastAsia="en-GB" w:bidi="ar-SA"/>
              </w:rPr>
              <w:t>12</w:t>
            </w:r>
          </w:p>
        </w:tc>
        <w:tc>
          <w:tcPr>
            <w:tcW w:w="5291" w:type="dxa"/>
            <w:gridSpan w:val="2"/>
            <w:tcBorders>
              <w:bottom w:val="single" w:sz="4" w:space="0" w:color="auto"/>
            </w:tcBorders>
            <w:shd w:val="clear" w:color="auto" w:fill="auto"/>
            <w:vAlign w:val="center"/>
          </w:tcPr>
          <w:p w14:paraId="2496104C"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Salts &amp; condiments</w:t>
            </w:r>
          </w:p>
        </w:tc>
        <w:tc>
          <w:tcPr>
            <w:tcW w:w="888" w:type="dxa"/>
            <w:shd w:val="clear" w:color="auto" w:fill="auto"/>
            <w:vAlign w:val="center"/>
          </w:tcPr>
          <w:p w14:paraId="2BFC03C9" w14:textId="77777777" w:rsidR="00E907D7" w:rsidRPr="00C74A6B" w:rsidRDefault="00E907D7" w:rsidP="00E907D7">
            <w:pPr>
              <w:widowControl/>
              <w:tabs>
                <w:tab w:val="decimal" w:pos="454"/>
              </w:tabs>
              <w:rPr>
                <w:rFonts w:cs="Arial"/>
                <w:bCs/>
                <w:color w:val="000000"/>
                <w:sz w:val="18"/>
                <w:szCs w:val="18"/>
                <w:lang w:eastAsia="en-GB" w:bidi="ar-SA"/>
              </w:rPr>
            </w:pPr>
            <w:r w:rsidRPr="00C74A6B">
              <w:rPr>
                <w:rFonts w:cs="Arial"/>
                <w:bCs/>
                <w:color w:val="000000"/>
                <w:sz w:val="18"/>
                <w:szCs w:val="18"/>
              </w:rPr>
              <w:t>&lt;1</w:t>
            </w:r>
          </w:p>
        </w:tc>
        <w:tc>
          <w:tcPr>
            <w:tcW w:w="823" w:type="dxa"/>
            <w:vAlign w:val="center"/>
          </w:tcPr>
          <w:p w14:paraId="7E29F721" w14:textId="77777777" w:rsidR="00E907D7" w:rsidRPr="00C74A6B" w:rsidRDefault="00E907D7" w:rsidP="00E907D7">
            <w:pPr>
              <w:widowControl/>
              <w:tabs>
                <w:tab w:val="decimal" w:pos="454"/>
              </w:tabs>
              <w:rPr>
                <w:rFonts w:cs="Arial"/>
                <w:bCs/>
                <w:color w:val="000000"/>
                <w:sz w:val="18"/>
                <w:szCs w:val="18"/>
              </w:rPr>
            </w:pPr>
            <w:r w:rsidRPr="00C74A6B">
              <w:rPr>
                <w:rFonts w:cs="Arial"/>
                <w:bCs/>
                <w:color w:val="000000"/>
                <w:sz w:val="18"/>
                <w:szCs w:val="18"/>
              </w:rPr>
              <w:t>&lt;1</w:t>
            </w:r>
          </w:p>
        </w:tc>
        <w:tc>
          <w:tcPr>
            <w:tcW w:w="843" w:type="dxa"/>
            <w:shd w:val="clear" w:color="auto" w:fill="auto"/>
            <w:vAlign w:val="center"/>
          </w:tcPr>
          <w:p w14:paraId="2AFAA746" w14:textId="77777777" w:rsidR="00E907D7" w:rsidRPr="00C74A6B" w:rsidRDefault="00E907D7" w:rsidP="00E907D7">
            <w:pPr>
              <w:widowControl/>
              <w:tabs>
                <w:tab w:val="decimal" w:pos="454"/>
              </w:tabs>
              <w:rPr>
                <w:rFonts w:cs="Arial"/>
                <w:bCs/>
                <w:color w:val="000000"/>
                <w:sz w:val="18"/>
                <w:szCs w:val="18"/>
                <w:lang w:eastAsia="en-GB" w:bidi="ar-SA"/>
              </w:rPr>
            </w:pPr>
            <w:r w:rsidRPr="00C74A6B">
              <w:rPr>
                <w:rFonts w:cs="Arial"/>
                <w:bCs/>
                <w:color w:val="000000"/>
                <w:sz w:val="18"/>
                <w:szCs w:val="18"/>
              </w:rPr>
              <w:t>&lt;1</w:t>
            </w:r>
          </w:p>
        </w:tc>
        <w:tc>
          <w:tcPr>
            <w:tcW w:w="860" w:type="dxa"/>
            <w:shd w:val="clear" w:color="auto" w:fill="auto"/>
            <w:vAlign w:val="center"/>
          </w:tcPr>
          <w:p w14:paraId="6CEFECB0" w14:textId="77777777" w:rsidR="00E907D7" w:rsidRPr="00C74A6B" w:rsidRDefault="00E907D7" w:rsidP="00E907D7">
            <w:pPr>
              <w:widowControl/>
              <w:tabs>
                <w:tab w:val="decimal" w:pos="454"/>
              </w:tabs>
              <w:rPr>
                <w:rFonts w:cs="Arial"/>
                <w:bCs/>
                <w:sz w:val="18"/>
                <w:szCs w:val="18"/>
                <w:lang w:eastAsia="en-GB" w:bidi="ar-SA"/>
              </w:rPr>
            </w:pPr>
            <w:r w:rsidRPr="00C74A6B">
              <w:rPr>
                <w:rFonts w:cs="Arial"/>
                <w:bCs/>
                <w:color w:val="000000"/>
                <w:sz w:val="18"/>
                <w:szCs w:val="18"/>
              </w:rPr>
              <w:t>&lt;1</w:t>
            </w:r>
          </w:p>
        </w:tc>
        <w:tc>
          <w:tcPr>
            <w:tcW w:w="865" w:type="dxa"/>
            <w:vAlign w:val="center"/>
          </w:tcPr>
          <w:p w14:paraId="4B5807FC" w14:textId="77777777" w:rsidR="00E907D7" w:rsidRPr="00C74A6B" w:rsidRDefault="00E907D7" w:rsidP="00E907D7">
            <w:pPr>
              <w:widowControl/>
              <w:tabs>
                <w:tab w:val="decimal" w:pos="454"/>
              </w:tabs>
              <w:rPr>
                <w:rFonts w:cs="Arial"/>
                <w:bCs/>
                <w:color w:val="000000"/>
                <w:sz w:val="18"/>
                <w:szCs w:val="18"/>
              </w:rPr>
            </w:pPr>
            <w:r w:rsidRPr="00C74A6B">
              <w:rPr>
                <w:rFonts w:cs="Arial"/>
                <w:bCs/>
                <w:color w:val="000000"/>
                <w:sz w:val="18"/>
                <w:szCs w:val="18"/>
              </w:rPr>
              <w:t>&lt;1</w:t>
            </w:r>
          </w:p>
        </w:tc>
        <w:tc>
          <w:tcPr>
            <w:tcW w:w="843" w:type="dxa"/>
            <w:shd w:val="clear" w:color="auto" w:fill="auto"/>
            <w:vAlign w:val="center"/>
          </w:tcPr>
          <w:p w14:paraId="0B3725B1" w14:textId="77777777" w:rsidR="00E907D7" w:rsidRPr="00C74A6B" w:rsidRDefault="00E907D7" w:rsidP="00E907D7">
            <w:pPr>
              <w:widowControl/>
              <w:tabs>
                <w:tab w:val="decimal" w:pos="454"/>
              </w:tabs>
              <w:rPr>
                <w:rFonts w:cs="Arial"/>
                <w:bCs/>
                <w:sz w:val="18"/>
                <w:szCs w:val="18"/>
                <w:lang w:eastAsia="en-GB" w:bidi="ar-SA"/>
              </w:rPr>
            </w:pPr>
            <w:r w:rsidRPr="00C74A6B">
              <w:rPr>
                <w:rFonts w:cs="Arial"/>
                <w:bCs/>
                <w:color w:val="000000"/>
                <w:sz w:val="18"/>
                <w:szCs w:val="18"/>
              </w:rPr>
              <w:t>&lt;1</w:t>
            </w:r>
          </w:p>
        </w:tc>
        <w:tc>
          <w:tcPr>
            <w:tcW w:w="840" w:type="dxa"/>
            <w:shd w:val="clear" w:color="auto" w:fill="auto"/>
            <w:vAlign w:val="center"/>
          </w:tcPr>
          <w:p w14:paraId="5DADB44A" w14:textId="77777777" w:rsidR="00E907D7" w:rsidRPr="00C74A6B" w:rsidRDefault="00E907D7" w:rsidP="00E907D7">
            <w:pPr>
              <w:widowControl/>
              <w:tabs>
                <w:tab w:val="decimal" w:pos="454"/>
              </w:tabs>
              <w:rPr>
                <w:rFonts w:cs="Arial"/>
                <w:bCs/>
                <w:color w:val="000000"/>
                <w:sz w:val="18"/>
                <w:szCs w:val="18"/>
                <w:lang w:eastAsia="en-GB" w:bidi="ar-SA"/>
              </w:rPr>
            </w:pPr>
            <w:r w:rsidRPr="00C74A6B">
              <w:rPr>
                <w:rFonts w:cs="Arial"/>
                <w:bCs/>
                <w:color w:val="000000"/>
                <w:sz w:val="18"/>
                <w:szCs w:val="18"/>
              </w:rPr>
              <w:t>&lt;1</w:t>
            </w:r>
          </w:p>
        </w:tc>
        <w:tc>
          <w:tcPr>
            <w:tcW w:w="843" w:type="dxa"/>
            <w:vAlign w:val="center"/>
          </w:tcPr>
          <w:p w14:paraId="6BEA758A" w14:textId="77777777" w:rsidR="00E907D7" w:rsidRPr="00C74A6B" w:rsidRDefault="00E907D7" w:rsidP="00E907D7">
            <w:pPr>
              <w:widowControl/>
              <w:tabs>
                <w:tab w:val="decimal" w:pos="454"/>
              </w:tabs>
              <w:rPr>
                <w:rFonts w:cs="Arial"/>
                <w:bCs/>
                <w:color w:val="000000"/>
                <w:sz w:val="18"/>
                <w:szCs w:val="18"/>
              </w:rPr>
            </w:pPr>
            <w:r w:rsidRPr="00C74A6B">
              <w:rPr>
                <w:rFonts w:cs="Arial"/>
                <w:bCs/>
                <w:color w:val="000000"/>
                <w:sz w:val="18"/>
                <w:szCs w:val="18"/>
              </w:rPr>
              <w:t>&lt;1</w:t>
            </w:r>
          </w:p>
        </w:tc>
        <w:tc>
          <w:tcPr>
            <w:tcW w:w="860" w:type="dxa"/>
            <w:shd w:val="clear" w:color="auto" w:fill="auto"/>
            <w:vAlign w:val="center"/>
          </w:tcPr>
          <w:p w14:paraId="1CAC163D" w14:textId="77777777" w:rsidR="00E907D7" w:rsidRPr="00C74A6B" w:rsidRDefault="00E907D7" w:rsidP="00E907D7">
            <w:pPr>
              <w:widowControl/>
              <w:tabs>
                <w:tab w:val="decimal" w:pos="454"/>
              </w:tabs>
              <w:rPr>
                <w:rFonts w:cs="Arial"/>
                <w:bCs/>
                <w:color w:val="000000"/>
                <w:sz w:val="18"/>
                <w:szCs w:val="18"/>
                <w:lang w:eastAsia="en-GB" w:bidi="ar-SA"/>
              </w:rPr>
            </w:pPr>
            <w:r w:rsidRPr="00C74A6B">
              <w:rPr>
                <w:rFonts w:cs="Arial"/>
                <w:bCs/>
                <w:color w:val="000000"/>
                <w:sz w:val="18"/>
                <w:szCs w:val="18"/>
              </w:rPr>
              <w:t>&lt;1</w:t>
            </w:r>
          </w:p>
        </w:tc>
      </w:tr>
      <w:tr w:rsidR="00E907D7" w:rsidRPr="00683BE9" w14:paraId="6A128F8F" w14:textId="77777777" w:rsidTr="00221A11">
        <w:trPr>
          <w:cantSplit/>
        </w:trPr>
        <w:tc>
          <w:tcPr>
            <w:tcW w:w="1276" w:type="dxa"/>
            <w:shd w:val="clear" w:color="auto" w:fill="auto"/>
            <w:vAlign w:val="center"/>
            <w:hideMark/>
          </w:tcPr>
          <w:p w14:paraId="297D9494" w14:textId="77777777" w:rsidR="00E907D7" w:rsidRPr="00C74A6B" w:rsidRDefault="00E907D7" w:rsidP="00C74A6B">
            <w:pPr>
              <w:rPr>
                <w:rFonts w:cs="Arial"/>
                <w:bCs/>
                <w:color w:val="000000"/>
                <w:sz w:val="18"/>
                <w:szCs w:val="18"/>
                <w:lang w:eastAsia="en-GB" w:bidi="ar-SA"/>
              </w:rPr>
            </w:pPr>
            <w:r w:rsidRPr="00C74A6B">
              <w:rPr>
                <w:rFonts w:cs="Arial"/>
                <w:bCs/>
                <w:color w:val="000000"/>
                <w:sz w:val="18"/>
                <w:szCs w:val="18"/>
                <w:lang w:eastAsia="en-GB" w:bidi="ar-SA"/>
              </w:rPr>
              <w:t>13</w:t>
            </w:r>
          </w:p>
        </w:tc>
        <w:tc>
          <w:tcPr>
            <w:tcW w:w="5291" w:type="dxa"/>
            <w:gridSpan w:val="2"/>
            <w:tcBorders>
              <w:bottom w:val="single" w:sz="4" w:space="0" w:color="auto"/>
            </w:tcBorders>
            <w:shd w:val="clear" w:color="auto" w:fill="auto"/>
            <w:vAlign w:val="center"/>
          </w:tcPr>
          <w:p w14:paraId="51B9BAF8" w14:textId="77777777" w:rsidR="00E907D7" w:rsidRPr="00C74A6B" w:rsidRDefault="00E907D7" w:rsidP="00E907D7">
            <w:pPr>
              <w:keepNext/>
              <w:keepLines/>
              <w:widowControl/>
              <w:rPr>
                <w:rFonts w:cs="Arial"/>
                <w:bCs/>
                <w:color w:val="000000"/>
                <w:sz w:val="18"/>
                <w:szCs w:val="18"/>
                <w:lang w:eastAsia="en-GB" w:bidi="ar-SA"/>
              </w:rPr>
            </w:pPr>
            <w:r w:rsidRPr="00C74A6B">
              <w:rPr>
                <w:rFonts w:cs="Arial"/>
                <w:bCs/>
                <w:color w:val="000000"/>
                <w:sz w:val="18"/>
                <w:szCs w:val="18"/>
                <w:lang w:eastAsia="en-GB" w:bidi="ar-SA"/>
              </w:rPr>
              <w:t>All Foods intended for particular dietary uses</w:t>
            </w:r>
          </w:p>
        </w:tc>
        <w:tc>
          <w:tcPr>
            <w:tcW w:w="888" w:type="dxa"/>
            <w:shd w:val="clear" w:color="auto" w:fill="auto"/>
            <w:vAlign w:val="center"/>
          </w:tcPr>
          <w:p w14:paraId="5D46A7B0" w14:textId="77777777" w:rsidR="00E907D7" w:rsidRPr="00C74A6B" w:rsidRDefault="00E907D7" w:rsidP="00E907D7">
            <w:pPr>
              <w:keepNext/>
              <w:keepLines/>
              <w:widowControl/>
              <w:tabs>
                <w:tab w:val="decimal" w:pos="454"/>
              </w:tabs>
              <w:rPr>
                <w:rFonts w:cs="Arial"/>
                <w:bCs/>
                <w:color w:val="000000"/>
                <w:sz w:val="18"/>
                <w:szCs w:val="18"/>
                <w:highlight w:val="yellow"/>
                <w:lang w:eastAsia="en-GB" w:bidi="ar-SA"/>
              </w:rPr>
            </w:pPr>
            <w:r w:rsidRPr="00C74A6B">
              <w:rPr>
                <w:rFonts w:cs="Arial"/>
                <w:bCs/>
                <w:color w:val="000000"/>
                <w:sz w:val="18"/>
                <w:szCs w:val="18"/>
              </w:rPr>
              <w:t>1</w:t>
            </w:r>
          </w:p>
        </w:tc>
        <w:tc>
          <w:tcPr>
            <w:tcW w:w="823" w:type="dxa"/>
            <w:vAlign w:val="center"/>
          </w:tcPr>
          <w:p w14:paraId="7A9C04D8" w14:textId="77777777" w:rsidR="00E907D7" w:rsidRPr="00C74A6B" w:rsidRDefault="00E907D7" w:rsidP="00E907D7">
            <w:pPr>
              <w:keepNext/>
              <w:keepLines/>
              <w:widowControl/>
              <w:tabs>
                <w:tab w:val="decimal" w:pos="454"/>
              </w:tabs>
              <w:rPr>
                <w:rFonts w:cs="Arial"/>
                <w:bCs/>
                <w:color w:val="000000"/>
                <w:sz w:val="18"/>
                <w:szCs w:val="18"/>
                <w:highlight w:val="yellow"/>
              </w:rPr>
            </w:pPr>
            <w:r w:rsidRPr="00C74A6B">
              <w:rPr>
                <w:rFonts w:cs="Arial"/>
                <w:bCs/>
                <w:color w:val="000000"/>
                <w:sz w:val="18"/>
                <w:szCs w:val="18"/>
              </w:rPr>
              <w:t>1</w:t>
            </w:r>
          </w:p>
        </w:tc>
        <w:tc>
          <w:tcPr>
            <w:tcW w:w="843" w:type="dxa"/>
            <w:shd w:val="clear" w:color="auto" w:fill="auto"/>
            <w:vAlign w:val="center"/>
          </w:tcPr>
          <w:p w14:paraId="4E72C09D" w14:textId="77777777" w:rsidR="00E907D7" w:rsidRPr="00C74A6B" w:rsidRDefault="00E907D7" w:rsidP="00E907D7">
            <w:pPr>
              <w:keepNext/>
              <w:keepLines/>
              <w:widowControl/>
              <w:tabs>
                <w:tab w:val="decimal" w:pos="454"/>
              </w:tabs>
              <w:rPr>
                <w:rFonts w:cs="Arial"/>
                <w:bCs/>
                <w:color w:val="000000"/>
                <w:sz w:val="18"/>
                <w:szCs w:val="18"/>
                <w:highlight w:val="yellow"/>
                <w:lang w:eastAsia="en-GB" w:bidi="ar-SA"/>
              </w:rPr>
            </w:pPr>
            <w:r w:rsidRPr="00C74A6B">
              <w:rPr>
                <w:rFonts w:cs="Arial"/>
                <w:bCs/>
                <w:color w:val="000000"/>
                <w:sz w:val="18"/>
                <w:szCs w:val="18"/>
              </w:rPr>
              <w:t>4</w:t>
            </w:r>
          </w:p>
        </w:tc>
        <w:tc>
          <w:tcPr>
            <w:tcW w:w="860" w:type="dxa"/>
            <w:shd w:val="clear" w:color="auto" w:fill="auto"/>
            <w:vAlign w:val="center"/>
          </w:tcPr>
          <w:p w14:paraId="2354217A" w14:textId="77777777" w:rsidR="00E907D7" w:rsidRPr="00C74A6B" w:rsidRDefault="00E907D7" w:rsidP="00E907D7">
            <w:pPr>
              <w:keepNext/>
              <w:keepLines/>
              <w:widowControl/>
              <w:tabs>
                <w:tab w:val="decimal" w:pos="454"/>
              </w:tabs>
              <w:rPr>
                <w:rFonts w:cs="Arial"/>
                <w:bCs/>
                <w:sz w:val="18"/>
                <w:szCs w:val="18"/>
                <w:highlight w:val="yellow"/>
                <w:lang w:eastAsia="en-GB" w:bidi="ar-SA"/>
              </w:rPr>
            </w:pPr>
            <w:r w:rsidRPr="00C74A6B">
              <w:rPr>
                <w:rFonts w:cs="Arial"/>
                <w:bCs/>
                <w:color w:val="000000"/>
                <w:sz w:val="18"/>
                <w:szCs w:val="18"/>
              </w:rPr>
              <w:t>1</w:t>
            </w:r>
          </w:p>
        </w:tc>
        <w:tc>
          <w:tcPr>
            <w:tcW w:w="865" w:type="dxa"/>
            <w:vAlign w:val="center"/>
          </w:tcPr>
          <w:p w14:paraId="6D950203" w14:textId="77777777" w:rsidR="00E907D7" w:rsidRPr="00C74A6B" w:rsidRDefault="00E907D7" w:rsidP="00E907D7">
            <w:pPr>
              <w:keepNext/>
              <w:keepLines/>
              <w:widowControl/>
              <w:tabs>
                <w:tab w:val="decimal" w:pos="454"/>
              </w:tabs>
              <w:rPr>
                <w:rFonts w:cs="Arial"/>
                <w:bCs/>
                <w:color w:val="000000"/>
                <w:sz w:val="18"/>
                <w:szCs w:val="18"/>
                <w:highlight w:val="yellow"/>
              </w:rPr>
            </w:pPr>
            <w:r w:rsidRPr="00C74A6B">
              <w:rPr>
                <w:rFonts w:cs="Arial"/>
                <w:bCs/>
                <w:color w:val="000000"/>
                <w:sz w:val="18"/>
                <w:szCs w:val="18"/>
              </w:rPr>
              <w:t>3</w:t>
            </w:r>
          </w:p>
        </w:tc>
        <w:tc>
          <w:tcPr>
            <w:tcW w:w="843" w:type="dxa"/>
            <w:shd w:val="clear" w:color="auto" w:fill="auto"/>
            <w:vAlign w:val="center"/>
          </w:tcPr>
          <w:p w14:paraId="087B0BE1" w14:textId="77777777" w:rsidR="00E907D7" w:rsidRPr="00C74A6B" w:rsidRDefault="00E907D7" w:rsidP="00E907D7">
            <w:pPr>
              <w:keepNext/>
              <w:keepLines/>
              <w:widowControl/>
              <w:tabs>
                <w:tab w:val="decimal" w:pos="454"/>
              </w:tabs>
              <w:rPr>
                <w:rFonts w:cs="Arial"/>
                <w:bCs/>
                <w:sz w:val="18"/>
                <w:szCs w:val="18"/>
                <w:highlight w:val="yellow"/>
                <w:lang w:eastAsia="en-GB" w:bidi="ar-SA"/>
              </w:rPr>
            </w:pPr>
            <w:r w:rsidRPr="00C74A6B">
              <w:rPr>
                <w:rFonts w:cs="Arial"/>
                <w:bCs/>
                <w:color w:val="000000"/>
                <w:sz w:val="18"/>
                <w:szCs w:val="18"/>
              </w:rPr>
              <w:t>2</w:t>
            </w:r>
          </w:p>
        </w:tc>
        <w:tc>
          <w:tcPr>
            <w:tcW w:w="840" w:type="dxa"/>
            <w:shd w:val="clear" w:color="auto" w:fill="auto"/>
            <w:vAlign w:val="center"/>
          </w:tcPr>
          <w:p w14:paraId="738361AB" w14:textId="77777777" w:rsidR="00E907D7" w:rsidRPr="00C74A6B" w:rsidRDefault="00E907D7" w:rsidP="00E907D7">
            <w:pPr>
              <w:keepNext/>
              <w:keepLines/>
              <w:widowControl/>
              <w:tabs>
                <w:tab w:val="decimal" w:pos="454"/>
              </w:tabs>
              <w:rPr>
                <w:rFonts w:cs="Arial"/>
                <w:bCs/>
                <w:color w:val="000000"/>
                <w:sz w:val="18"/>
                <w:szCs w:val="18"/>
                <w:highlight w:val="yellow"/>
                <w:lang w:eastAsia="en-GB" w:bidi="ar-SA"/>
              </w:rPr>
            </w:pPr>
            <w:r w:rsidRPr="00C74A6B">
              <w:rPr>
                <w:rFonts w:cs="Arial"/>
                <w:bCs/>
                <w:color w:val="000000"/>
                <w:sz w:val="18"/>
                <w:szCs w:val="18"/>
              </w:rPr>
              <w:t>1</w:t>
            </w:r>
          </w:p>
        </w:tc>
        <w:tc>
          <w:tcPr>
            <w:tcW w:w="843" w:type="dxa"/>
            <w:vAlign w:val="center"/>
          </w:tcPr>
          <w:p w14:paraId="1246E066" w14:textId="77777777" w:rsidR="00E907D7" w:rsidRPr="00C74A6B" w:rsidRDefault="00E907D7" w:rsidP="00E907D7">
            <w:pPr>
              <w:keepNext/>
              <w:keepLines/>
              <w:widowControl/>
              <w:tabs>
                <w:tab w:val="decimal" w:pos="454"/>
              </w:tabs>
              <w:rPr>
                <w:rFonts w:cs="Arial"/>
                <w:bCs/>
                <w:color w:val="000000"/>
                <w:sz w:val="18"/>
                <w:szCs w:val="18"/>
                <w:highlight w:val="yellow"/>
              </w:rPr>
            </w:pPr>
            <w:r w:rsidRPr="00C74A6B">
              <w:rPr>
                <w:rFonts w:cs="Arial"/>
                <w:bCs/>
                <w:color w:val="000000"/>
                <w:sz w:val="18"/>
                <w:szCs w:val="18"/>
              </w:rPr>
              <w:t>3</w:t>
            </w:r>
          </w:p>
        </w:tc>
        <w:tc>
          <w:tcPr>
            <w:tcW w:w="860" w:type="dxa"/>
            <w:shd w:val="clear" w:color="auto" w:fill="auto"/>
            <w:vAlign w:val="center"/>
          </w:tcPr>
          <w:p w14:paraId="441B6586" w14:textId="77777777" w:rsidR="00E907D7" w:rsidRPr="00C74A6B" w:rsidRDefault="00E907D7" w:rsidP="00E907D7">
            <w:pPr>
              <w:keepNext/>
              <w:keepLines/>
              <w:widowControl/>
              <w:tabs>
                <w:tab w:val="decimal" w:pos="454"/>
              </w:tabs>
              <w:rPr>
                <w:rFonts w:cs="Arial"/>
                <w:bCs/>
                <w:color w:val="000000"/>
                <w:sz w:val="18"/>
                <w:szCs w:val="18"/>
                <w:highlight w:val="yellow"/>
                <w:lang w:eastAsia="en-GB" w:bidi="ar-SA"/>
              </w:rPr>
            </w:pPr>
            <w:r w:rsidRPr="00C74A6B">
              <w:rPr>
                <w:rFonts w:cs="Arial"/>
                <w:bCs/>
                <w:color w:val="000000"/>
                <w:sz w:val="18"/>
                <w:szCs w:val="18"/>
              </w:rPr>
              <w:t>2</w:t>
            </w:r>
          </w:p>
        </w:tc>
      </w:tr>
      <w:tr w:rsidR="001A319B" w:rsidRPr="00683BE9" w14:paraId="0052FB2B" w14:textId="77777777" w:rsidTr="00C51F8F">
        <w:trPr>
          <w:cantSplit/>
        </w:trPr>
        <w:tc>
          <w:tcPr>
            <w:tcW w:w="1276" w:type="dxa"/>
            <w:tcBorders>
              <w:bottom w:val="single" w:sz="4" w:space="0" w:color="auto"/>
            </w:tcBorders>
            <w:shd w:val="clear" w:color="auto" w:fill="auto"/>
            <w:vAlign w:val="center"/>
            <w:hideMark/>
          </w:tcPr>
          <w:p w14:paraId="698CF654" w14:textId="77777777" w:rsidR="001A319B" w:rsidRPr="00C74A6B" w:rsidRDefault="001A319B" w:rsidP="00C74A6B">
            <w:pPr>
              <w:rPr>
                <w:rFonts w:cs="Arial"/>
                <w:color w:val="000000"/>
                <w:sz w:val="18"/>
                <w:szCs w:val="18"/>
                <w:lang w:eastAsia="en-GB" w:bidi="ar-SA"/>
              </w:rPr>
            </w:pPr>
            <w:r w:rsidRPr="00C74A6B">
              <w:rPr>
                <w:rFonts w:cs="Arial"/>
                <w:color w:val="000000"/>
                <w:sz w:val="18"/>
                <w:szCs w:val="18"/>
                <w:lang w:eastAsia="en-GB" w:bidi="ar-SA"/>
              </w:rPr>
              <w:t>13.3.1</w:t>
            </w:r>
          </w:p>
        </w:tc>
        <w:tc>
          <w:tcPr>
            <w:tcW w:w="5291" w:type="dxa"/>
            <w:gridSpan w:val="2"/>
            <w:shd w:val="clear" w:color="auto" w:fill="auto"/>
            <w:vAlign w:val="center"/>
          </w:tcPr>
          <w:p w14:paraId="384B67D0" w14:textId="44BEA7AC" w:rsidR="001A319B" w:rsidRPr="00C74A6B" w:rsidRDefault="001A319B" w:rsidP="001A319B">
            <w:pPr>
              <w:widowControl/>
              <w:ind w:left="321" w:hanging="321"/>
              <w:rPr>
                <w:rFonts w:cs="Arial"/>
                <w:color w:val="000000" w:themeColor="text1"/>
                <w:sz w:val="18"/>
                <w:szCs w:val="18"/>
                <w:lang w:eastAsia="en-GB" w:bidi="ar-SA"/>
              </w:rPr>
            </w:pPr>
            <w:r>
              <w:rPr>
                <w:rFonts w:cs="Arial"/>
                <w:color w:val="000000"/>
                <w:sz w:val="18"/>
                <w:szCs w:val="18"/>
              </w:rPr>
              <w:tab/>
            </w:r>
            <w:r w:rsidRPr="00C74A6B">
              <w:rPr>
                <w:rFonts w:cs="Arial"/>
                <w:color w:val="000000"/>
                <w:sz w:val="18"/>
                <w:szCs w:val="18"/>
              </w:rPr>
              <w:t>Solid formula meal replacement &amp; formulated supplementary foods</w:t>
            </w:r>
          </w:p>
        </w:tc>
        <w:tc>
          <w:tcPr>
            <w:tcW w:w="888" w:type="dxa"/>
            <w:shd w:val="clear" w:color="auto" w:fill="auto"/>
            <w:vAlign w:val="center"/>
          </w:tcPr>
          <w:p w14:paraId="3FDA6FCD"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0</w:t>
            </w:r>
          </w:p>
        </w:tc>
        <w:tc>
          <w:tcPr>
            <w:tcW w:w="823" w:type="dxa"/>
            <w:shd w:val="clear" w:color="auto" w:fill="auto"/>
            <w:vAlign w:val="center"/>
          </w:tcPr>
          <w:p w14:paraId="39FFF220" w14:textId="77777777" w:rsidR="001A319B" w:rsidRPr="00C74A6B" w:rsidRDefault="001A319B" w:rsidP="00E907D7">
            <w:pPr>
              <w:widowControl/>
              <w:tabs>
                <w:tab w:val="decimal" w:pos="454"/>
              </w:tabs>
              <w:rPr>
                <w:rFonts w:cs="Arial"/>
                <w:color w:val="000000"/>
                <w:sz w:val="18"/>
                <w:szCs w:val="18"/>
                <w:highlight w:val="yellow"/>
              </w:rPr>
            </w:pPr>
            <w:r w:rsidRPr="00C74A6B">
              <w:rPr>
                <w:rFonts w:cs="Arial"/>
                <w:color w:val="000000"/>
                <w:sz w:val="18"/>
                <w:szCs w:val="18"/>
              </w:rPr>
              <w:t>0</w:t>
            </w:r>
          </w:p>
        </w:tc>
        <w:tc>
          <w:tcPr>
            <w:tcW w:w="843" w:type="dxa"/>
            <w:tcBorders>
              <w:bottom w:val="single" w:sz="4" w:space="0" w:color="auto"/>
            </w:tcBorders>
            <w:shd w:val="clear" w:color="auto" w:fill="auto"/>
            <w:vAlign w:val="center"/>
          </w:tcPr>
          <w:p w14:paraId="2AF8899F"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0</w:t>
            </w:r>
          </w:p>
        </w:tc>
        <w:tc>
          <w:tcPr>
            <w:tcW w:w="860" w:type="dxa"/>
            <w:shd w:val="clear" w:color="auto" w:fill="auto"/>
            <w:vAlign w:val="center"/>
          </w:tcPr>
          <w:p w14:paraId="1BC463FE"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&lt;1</w:t>
            </w:r>
          </w:p>
        </w:tc>
        <w:tc>
          <w:tcPr>
            <w:tcW w:w="865" w:type="dxa"/>
            <w:vAlign w:val="center"/>
          </w:tcPr>
          <w:p w14:paraId="583CC8D6" w14:textId="77777777" w:rsidR="001A319B" w:rsidRPr="00C74A6B" w:rsidRDefault="001A319B" w:rsidP="00E907D7">
            <w:pPr>
              <w:widowControl/>
              <w:tabs>
                <w:tab w:val="decimal" w:pos="454"/>
              </w:tabs>
              <w:rPr>
                <w:rFonts w:cs="Arial"/>
                <w:color w:val="000000"/>
                <w:sz w:val="18"/>
                <w:szCs w:val="18"/>
                <w:highlight w:val="yellow"/>
              </w:rPr>
            </w:pPr>
            <w:r w:rsidRPr="00C74A6B">
              <w:rPr>
                <w:rFonts w:cs="Arial"/>
                <w:color w:val="000000"/>
                <w:sz w:val="18"/>
                <w:szCs w:val="18"/>
              </w:rPr>
              <w:t>&lt;1</w:t>
            </w:r>
          </w:p>
        </w:tc>
        <w:tc>
          <w:tcPr>
            <w:tcW w:w="843" w:type="dxa"/>
            <w:shd w:val="clear" w:color="auto" w:fill="auto"/>
            <w:vAlign w:val="center"/>
          </w:tcPr>
          <w:p w14:paraId="2EF1911C"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&lt;1</w:t>
            </w:r>
          </w:p>
        </w:tc>
        <w:tc>
          <w:tcPr>
            <w:tcW w:w="840" w:type="dxa"/>
            <w:shd w:val="clear" w:color="auto" w:fill="auto"/>
            <w:vAlign w:val="center"/>
          </w:tcPr>
          <w:p w14:paraId="0458B113"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&lt;1</w:t>
            </w:r>
          </w:p>
        </w:tc>
        <w:tc>
          <w:tcPr>
            <w:tcW w:w="843" w:type="dxa"/>
            <w:vAlign w:val="center"/>
          </w:tcPr>
          <w:p w14:paraId="598DC778" w14:textId="77777777" w:rsidR="001A319B" w:rsidRPr="00C74A6B" w:rsidRDefault="001A319B" w:rsidP="00E907D7">
            <w:pPr>
              <w:widowControl/>
              <w:tabs>
                <w:tab w:val="decimal" w:pos="454"/>
              </w:tabs>
              <w:rPr>
                <w:rFonts w:cs="Arial"/>
                <w:color w:val="000000"/>
                <w:sz w:val="18"/>
                <w:szCs w:val="18"/>
                <w:highlight w:val="yellow"/>
              </w:rPr>
            </w:pPr>
            <w:r w:rsidRPr="00C74A6B">
              <w:rPr>
                <w:rFonts w:cs="Arial"/>
                <w:color w:val="000000"/>
                <w:sz w:val="18"/>
                <w:szCs w:val="18"/>
              </w:rPr>
              <w:t>&lt;1</w:t>
            </w:r>
          </w:p>
        </w:tc>
        <w:tc>
          <w:tcPr>
            <w:tcW w:w="860" w:type="dxa"/>
            <w:shd w:val="clear" w:color="auto" w:fill="auto"/>
            <w:vAlign w:val="center"/>
          </w:tcPr>
          <w:p w14:paraId="2F2A2ED2"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&lt;1</w:t>
            </w:r>
          </w:p>
        </w:tc>
      </w:tr>
      <w:tr w:rsidR="001A319B" w:rsidRPr="00683BE9" w14:paraId="3AC775EE" w14:textId="77777777" w:rsidTr="00C51F8F">
        <w:trPr>
          <w:cantSplit/>
        </w:trPr>
        <w:tc>
          <w:tcPr>
            <w:tcW w:w="1276" w:type="dxa"/>
            <w:shd w:val="clear" w:color="auto" w:fill="auto"/>
            <w:vAlign w:val="center"/>
            <w:hideMark/>
          </w:tcPr>
          <w:p w14:paraId="0A7A6209" w14:textId="77777777" w:rsidR="001A319B" w:rsidRPr="00C74A6B" w:rsidRDefault="001A319B" w:rsidP="00C74A6B">
            <w:pPr>
              <w:rPr>
                <w:rFonts w:cs="Arial"/>
                <w:color w:val="000000"/>
                <w:sz w:val="18"/>
                <w:szCs w:val="18"/>
                <w:lang w:eastAsia="en-GB" w:bidi="ar-SA"/>
              </w:rPr>
            </w:pPr>
            <w:r w:rsidRPr="00C74A6B">
              <w:rPr>
                <w:rFonts w:cs="Arial"/>
                <w:color w:val="000000"/>
                <w:sz w:val="18"/>
                <w:szCs w:val="18"/>
                <w:lang w:eastAsia="en-GB" w:bidi="ar-SA"/>
              </w:rPr>
              <w:t>13.3.2</w:t>
            </w:r>
          </w:p>
        </w:tc>
        <w:tc>
          <w:tcPr>
            <w:tcW w:w="5291" w:type="dxa"/>
            <w:gridSpan w:val="2"/>
            <w:shd w:val="clear" w:color="auto" w:fill="auto"/>
            <w:vAlign w:val="center"/>
          </w:tcPr>
          <w:p w14:paraId="3AC7078B" w14:textId="76730A11" w:rsidR="001A319B" w:rsidRPr="00C74A6B" w:rsidRDefault="001A319B" w:rsidP="001A319B">
            <w:pPr>
              <w:ind w:left="321" w:hanging="321"/>
              <w:rPr>
                <w:rFonts w:cs="Arial"/>
                <w:color w:val="000000" w:themeColor="text1"/>
                <w:sz w:val="18"/>
                <w:szCs w:val="18"/>
                <w:lang w:eastAsia="en-GB" w:bidi="ar-SA"/>
              </w:rPr>
            </w:pPr>
            <w:r>
              <w:rPr>
                <w:rFonts w:cs="Arial"/>
                <w:color w:val="000000"/>
                <w:sz w:val="18"/>
                <w:szCs w:val="18"/>
              </w:rPr>
              <w:tab/>
            </w:r>
            <w:r w:rsidRPr="00C74A6B">
              <w:rPr>
                <w:rFonts w:cs="Arial"/>
                <w:color w:val="000000"/>
                <w:sz w:val="18"/>
                <w:szCs w:val="18"/>
              </w:rPr>
              <w:t>Liquid formula meal replacement &amp; formulated supplementary foods</w:t>
            </w:r>
          </w:p>
        </w:tc>
        <w:tc>
          <w:tcPr>
            <w:tcW w:w="888" w:type="dxa"/>
            <w:shd w:val="clear" w:color="auto" w:fill="auto"/>
            <w:vAlign w:val="center"/>
          </w:tcPr>
          <w:p w14:paraId="00793901"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1</w:t>
            </w:r>
          </w:p>
        </w:tc>
        <w:tc>
          <w:tcPr>
            <w:tcW w:w="823" w:type="dxa"/>
            <w:shd w:val="clear" w:color="auto" w:fill="auto"/>
            <w:vAlign w:val="center"/>
          </w:tcPr>
          <w:p w14:paraId="458C7A89" w14:textId="77777777" w:rsidR="001A319B" w:rsidRPr="00C74A6B" w:rsidRDefault="001A319B" w:rsidP="00E907D7">
            <w:pPr>
              <w:widowControl/>
              <w:tabs>
                <w:tab w:val="decimal" w:pos="454"/>
              </w:tabs>
              <w:rPr>
                <w:rFonts w:cs="Arial"/>
                <w:color w:val="000000"/>
                <w:sz w:val="18"/>
                <w:szCs w:val="18"/>
                <w:highlight w:val="yellow"/>
              </w:rPr>
            </w:pPr>
            <w:r w:rsidRPr="00C74A6B">
              <w:rPr>
                <w:rFonts w:cs="Arial"/>
                <w:color w:val="000000"/>
                <w:sz w:val="18"/>
                <w:szCs w:val="18"/>
              </w:rPr>
              <w:t>1</w:t>
            </w:r>
          </w:p>
        </w:tc>
        <w:tc>
          <w:tcPr>
            <w:tcW w:w="843" w:type="dxa"/>
            <w:shd w:val="clear" w:color="auto" w:fill="auto"/>
            <w:vAlign w:val="center"/>
          </w:tcPr>
          <w:p w14:paraId="3945A2D4"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4</w:t>
            </w:r>
          </w:p>
        </w:tc>
        <w:tc>
          <w:tcPr>
            <w:tcW w:w="860" w:type="dxa"/>
            <w:shd w:val="clear" w:color="auto" w:fill="auto"/>
            <w:vAlign w:val="center"/>
          </w:tcPr>
          <w:p w14:paraId="3F8461C7"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&lt;1</w:t>
            </w:r>
          </w:p>
        </w:tc>
        <w:tc>
          <w:tcPr>
            <w:tcW w:w="865" w:type="dxa"/>
            <w:vAlign w:val="center"/>
          </w:tcPr>
          <w:p w14:paraId="54A7E310" w14:textId="77777777" w:rsidR="001A319B" w:rsidRPr="00C74A6B" w:rsidRDefault="001A319B" w:rsidP="00E907D7">
            <w:pPr>
              <w:widowControl/>
              <w:tabs>
                <w:tab w:val="decimal" w:pos="454"/>
              </w:tabs>
              <w:rPr>
                <w:rFonts w:cs="Arial"/>
                <w:color w:val="000000"/>
                <w:sz w:val="18"/>
                <w:szCs w:val="18"/>
                <w:highlight w:val="yellow"/>
              </w:rPr>
            </w:pPr>
            <w:r w:rsidRPr="00C74A6B">
              <w:rPr>
                <w:rFonts w:cs="Arial"/>
                <w:color w:val="000000"/>
                <w:sz w:val="18"/>
                <w:szCs w:val="18"/>
              </w:rPr>
              <w:t>&lt;1</w:t>
            </w:r>
          </w:p>
        </w:tc>
        <w:tc>
          <w:tcPr>
            <w:tcW w:w="843" w:type="dxa"/>
            <w:shd w:val="clear" w:color="auto" w:fill="auto"/>
            <w:vAlign w:val="center"/>
          </w:tcPr>
          <w:p w14:paraId="47BEB980"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2</w:t>
            </w:r>
          </w:p>
        </w:tc>
        <w:tc>
          <w:tcPr>
            <w:tcW w:w="840" w:type="dxa"/>
            <w:shd w:val="clear" w:color="auto" w:fill="auto"/>
            <w:vAlign w:val="center"/>
          </w:tcPr>
          <w:p w14:paraId="7ADF316C"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&lt;1</w:t>
            </w:r>
          </w:p>
        </w:tc>
        <w:tc>
          <w:tcPr>
            <w:tcW w:w="843" w:type="dxa"/>
            <w:vAlign w:val="center"/>
          </w:tcPr>
          <w:p w14:paraId="5F77F8D7" w14:textId="77777777" w:rsidR="001A319B" w:rsidRPr="00C74A6B" w:rsidRDefault="001A319B" w:rsidP="00E907D7">
            <w:pPr>
              <w:widowControl/>
              <w:tabs>
                <w:tab w:val="decimal" w:pos="454"/>
              </w:tabs>
              <w:rPr>
                <w:rFonts w:cs="Arial"/>
                <w:color w:val="000000"/>
                <w:sz w:val="18"/>
                <w:szCs w:val="18"/>
                <w:highlight w:val="yellow"/>
              </w:rPr>
            </w:pPr>
            <w:r w:rsidRPr="00C74A6B">
              <w:rPr>
                <w:rFonts w:cs="Arial"/>
                <w:color w:val="000000"/>
                <w:sz w:val="18"/>
                <w:szCs w:val="18"/>
              </w:rPr>
              <w:t>&lt;1</w:t>
            </w:r>
          </w:p>
        </w:tc>
        <w:tc>
          <w:tcPr>
            <w:tcW w:w="860" w:type="dxa"/>
            <w:shd w:val="clear" w:color="auto" w:fill="auto"/>
            <w:vAlign w:val="center"/>
          </w:tcPr>
          <w:p w14:paraId="18922CA5"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2</w:t>
            </w:r>
          </w:p>
        </w:tc>
      </w:tr>
      <w:tr w:rsidR="001A319B" w:rsidRPr="00683BE9" w14:paraId="6B3C8D2D" w14:textId="77777777" w:rsidTr="00C51F8F">
        <w:trPr>
          <w:cantSplit/>
        </w:trPr>
        <w:tc>
          <w:tcPr>
            <w:tcW w:w="1276" w:type="dxa"/>
            <w:shd w:val="clear" w:color="auto" w:fill="auto"/>
            <w:vAlign w:val="center"/>
            <w:hideMark/>
          </w:tcPr>
          <w:p w14:paraId="110409F3" w14:textId="77777777" w:rsidR="001A319B" w:rsidRPr="00C74A6B" w:rsidRDefault="001A319B" w:rsidP="00C74A6B">
            <w:pPr>
              <w:rPr>
                <w:rFonts w:cs="Arial"/>
                <w:color w:val="000000"/>
                <w:sz w:val="18"/>
                <w:szCs w:val="18"/>
                <w:lang w:eastAsia="en-GB" w:bidi="ar-SA"/>
              </w:rPr>
            </w:pPr>
            <w:r w:rsidRPr="00C74A6B">
              <w:rPr>
                <w:rFonts w:cs="Arial"/>
                <w:color w:val="000000"/>
                <w:sz w:val="18"/>
                <w:szCs w:val="18"/>
                <w:lang w:eastAsia="en-GB" w:bidi="ar-SA"/>
              </w:rPr>
              <w:t>13.4.1</w:t>
            </w:r>
          </w:p>
        </w:tc>
        <w:tc>
          <w:tcPr>
            <w:tcW w:w="5291" w:type="dxa"/>
            <w:gridSpan w:val="2"/>
            <w:shd w:val="clear" w:color="auto" w:fill="auto"/>
            <w:vAlign w:val="center"/>
          </w:tcPr>
          <w:p w14:paraId="5467348D" w14:textId="3BF0AD79" w:rsidR="001A319B" w:rsidRPr="00C74A6B" w:rsidRDefault="001A319B" w:rsidP="001A319B">
            <w:pPr>
              <w:ind w:left="321" w:hanging="321"/>
              <w:rPr>
                <w:rFonts w:cs="Arial"/>
                <w:color w:val="000000"/>
                <w:sz w:val="18"/>
                <w:szCs w:val="18"/>
                <w:lang w:eastAsia="en-GB" w:bidi="ar-SA"/>
              </w:rPr>
            </w:pPr>
            <w:r>
              <w:rPr>
                <w:rFonts w:cs="Arial"/>
                <w:color w:val="000000"/>
                <w:sz w:val="18"/>
                <w:szCs w:val="18"/>
                <w:lang w:eastAsia="en-GB" w:bidi="ar-SA"/>
              </w:rPr>
              <w:tab/>
            </w:r>
            <w:r w:rsidRPr="00C74A6B">
              <w:rPr>
                <w:rFonts w:cs="Arial"/>
                <w:color w:val="000000"/>
                <w:sz w:val="18"/>
                <w:szCs w:val="18"/>
                <w:lang w:eastAsia="en-GB" w:bidi="ar-SA"/>
              </w:rPr>
              <w:t>Solid formulated supplementary sports foods</w:t>
            </w:r>
          </w:p>
        </w:tc>
        <w:tc>
          <w:tcPr>
            <w:tcW w:w="888" w:type="dxa"/>
            <w:shd w:val="clear" w:color="auto" w:fill="auto"/>
            <w:vAlign w:val="center"/>
          </w:tcPr>
          <w:p w14:paraId="1657EAAE"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0</w:t>
            </w:r>
          </w:p>
        </w:tc>
        <w:tc>
          <w:tcPr>
            <w:tcW w:w="823" w:type="dxa"/>
            <w:shd w:val="clear" w:color="auto" w:fill="auto"/>
            <w:vAlign w:val="center"/>
          </w:tcPr>
          <w:p w14:paraId="45D2C670" w14:textId="77777777" w:rsidR="001A319B" w:rsidRPr="00C74A6B" w:rsidRDefault="001A319B" w:rsidP="00E907D7">
            <w:pPr>
              <w:widowControl/>
              <w:tabs>
                <w:tab w:val="decimal" w:pos="454"/>
              </w:tabs>
              <w:rPr>
                <w:rFonts w:cs="Arial"/>
                <w:color w:val="000000"/>
                <w:sz w:val="18"/>
                <w:szCs w:val="18"/>
                <w:highlight w:val="yellow"/>
              </w:rPr>
            </w:pPr>
            <w:r w:rsidRPr="00C74A6B">
              <w:rPr>
                <w:rFonts w:cs="Arial"/>
                <w:color w:val="000000"/>
                <w:sz w:val="18"/>
                <w:szCs w:val="18"/>
              </w:rPr>
              <w:t>0</w:t>
            </w:r>
          </w:p>
        </w:tc>
        <w:tc>
          <w:tcPr>
            <w:tcW w:w="843" w:type="dxa"/>
            <w:shd w:val="clear" w:color="auto" w:fill="auto"/>
            <w:vAlign w:val="center"/>
          </w:tcPr>
          <w:p w14:paraId="42139D7D"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0</w:t>
            </w:r>
          </w:p>
        </w:tc>
        <w:tc>
          <w:tcPr>
            <w:tcW w:w="860" w:type="dxa"/>
            <w:shd w:val="clear" w:color="auto" w:fill="auto"/>
            <w:vAlign w:val="center"/>
          </w:tcPr>
          <w:p w14:paraId="058DA658"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&lt;1</w:t>
            </w:r>
          </w:p>
        </w:tc>
        <w:tc>
          <w:tcPr>
            <w:tcW w:w="865" w:type="dxa"/>
            <w:vAlign w:val="center"/>
          </w:tcPr>
          <w:p w14:paraId="263340F5" w14:textId="77777777" w:rsidR="001A319B" w:rsidRPr="00C74A6B" w:rsidRDefault="001A319B" w:rsidP="00E907D7">
            <w:pPr>
              <w:widowControl/>
              <w:tabs>
                <w:tab w:val="decimal" w:pos="454"/>
              </w:tabs>
              <w:rPr>
                <w:rFonts w:cs="Arial"/>
                <w:color w:val="000000"/>
                <w:sz w:val="18"/>
                <w:szCs w:val="18"/>
                <w:highlight w:val="yellow"/>
              </w:rPr>
            </w:pPr>
            <w:r w:rsidRPr="00C74A6B">
              <w:rPr>
                <w:rFonts w:cs="Arial"/>
                <w:color w:val="000000"/>
                <w:sz w:val="18"/>
                <w:szCs w:val="18"/>
              </w:rPr>
              <w:t>&lt;1</w:t>
            </w:r>
          </w:p>
        </w:tc>
        <w:tc>
          <w:tcPr>
            <w:tcW w:w="843" w:type="dxa"/>
            <w:shd w:val="clear" w:color="auto" w:fill="auto"/>
            <w:vAlign w:val="center"/>
          </w:tcPr>
          <w:p w14:paraId="174FB951"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&lt;1</w:t>
            </w:r>
          </w:p>
        </w:tc>
        <w:tc>
          <w:tcPr>
            <w:tcW w:w="840" w:type="dxa"/>
            <w:shd w:val="clear" w:color="auto" w:fill="auto"/>
            <w:vAlign w:val="center"/>
          </w:tcPr>
          <w:p w14:paraId="688528BF"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&lt;1</w:t>
            </w:r>
          </w:p>
        </w:tc>
        <w:tc>
          <w:tcPr>
            <w:tcW w:w="843" w:type="dxa"/>
            <w:vAlign w:val="center"/>
          </w:tcPr>
          <w:p w14:paraId="57791CCC" w14:textId="77777777" w:rsidR="001A319B" w:rsidRPr="00C74A6B" w:rsidRDefault="001A319B" w:rsidP="00E907D7">
            <w:pPr>
              <w:widowControl/>
              <w:tabs>
                <w:tab w:val="decimal" w:pos="454"/>
              </w:tabs>
              <w:rPr>
                <w:rFonts w:cs="Arial"/>
                <w:color w:val="000000"/>
                <w:sz w:val="18"/>
                <w:szCs w:val="18"/>
                <w:highlight w:val="yellow"/>
              </w:rPr>
            </w:pPr>
            <w:r w:rsidRPr="00C74A6B">
              <w:rPr>
                <w:rFonts w:cs="Arial"/>
                <w:color w:val="000000"/>
                <w:sz w:val="18"/>
                <w:szCs w:val="18"/>
              </w:rPr>
              <w:t>&lt;1</w:t>
            </w:r>
          </w:p>
        </w:tc>
        <w:tc>
          <w:tcPr>
            <w:tcW w:w="860" w:type="dxa"/>
            <w:shd w:val="clear" w:color="auto" w:fill="auto"/>
            <w:vAlign w:val="center"/>
          </w:tcPr>
          <w:p w14:paraId="5C52B026"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&lt;1</w:t>
            </w:r>
          </w:p>
        </w:tc>
      </w:tr>
      <w:tr w:rsidR="001A319B" w:rsidRPr="00683BE9" w14:paraId="311880FE" w14:textId="77777777" w:rsidTr="00C51F8F">
        <w:trPr>
          <w:cantSplit/>
        </w:trPr>
        <w:tc>
          <w:tcPr>
            <w:tcW w:w="1276" w:type="dxa"/>
            <w:shd w:val="clear" w:color="auto" w:fill="auto"/>
            <w:vAlign w:val="center"/>
            <w:hideMark/>
          </w:tcPr>
          <w:p w14:paraId="0D00DC5B" w14:textId="77777777" w:rsidR="001A319B" w:rsidRPr="00C74A6B" w:rsidRDefault="001A319B" w:rsidP="00C74A6B">
            <w:pPr>
              <w:rPr>
                <w:rFonts w:cs="Arial"/>
                <w:color w:val="000000"/>
                <w:sz w:val="18"/>
                <w:szCs w:val="18"/>
                <w:lang w:eastAsia="en-GB" w:bidi="ar-SA"/>
              </w:rPr>
            </w:pPr>
            <w:r w:rsidRPr="00C74A6B">
              <w:rPr>
                <w:rFonts w:cs="Arial"/>
                <w:color w:val="000000"/>
                <w:sz w:val="18"/>
                <w:szCs w:val="18"/>
                <w:lang w:eastAsia="en-GB" w:bidi="ar-SA"/>
              </w:rPr>
              <w:t>13.4.2</w:t>
            </w:r>
          </w:p>
        </w:tc>
        <w:tc>
          <w:tcPr>
            <w:tcW w:w="5291" w:type="dxa"/>
            <w:gridSpan w:val="2"/>
            <w:shd w:val="clear" w:color="auto" w:fill="auto"/>
            <w:vAlign w:val="center"/>
          </w:tcPr>
          <w:p w14:paraId="57B4DD45" w14:textId="47193BD6" w:rsidR="001A319B" w:rsidRPr="00C74A6B" w:rsidRDefault="001A319B" w:rsidP="001A319B">
            <w:pPr>
              <w:widowControl/>
              <w:ind w:left="321" w:hanging="321"/>
              <w:rPr>
                <w:rFonts w:cs="Arial"/>
                <w:color w:val="000000"/>
                <w:sz w:val="18"/>
                <w:szCs w:val="18"/>
                <w:lang w:eastAsia="en-GB" w:bidi="ar-SA"/>
              </w:rPr>
            </w:pPr>
            <w:r>
              <w:rPr>
                <w:rFonts w:cs="Arial"/>
                <w:color w:val="000000"/>
                <w:sz w:val="18"/>
                <w:szCs w:val="18"/>
                <w:lang w:eastAsia="en-GB" w:bidi="ar-SA"/>
              </w:rPr>
              <w:tab/>
            </w:r>
            <w:r w:rsidRPr="00C74A6B">
              <w:rPr>
                <w:rFonts w:cs="Arial"/>
                <w:color w:val="000000"/>
                <w:sz w:val="18"/>
                <w:szCs w:val="18"/>
                <w:lang w:eastAsia="en-GB" w:bidi="ar-SA"/>
              </w:rPr>
              <w:t>Liquid formulated supplementary sports foods</w:t>
            </w:r>
          </w:p>
        </w:tc>
        <w:tc>
          <w:tcPr>
            <w:tcW w:w="888" w:type="dxa"/>
            <w:shd w:val="clear" w:color="auto" w:fill="auto"/>
            <w:vAlign w:val="center"/>
          </w:tcPr>
          <w:p w14:paraId="50997FE6"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0</w:t>
            </w:r>
          </w:p>
        </w:tc>
        <w:tc>
          <w:tcPr>
            <w:tcW w:w="823" w:type="dxa"/>
            <w:shd w:val="clear" w:color="auto" w:fill="auto"/>
            <w:vAlign w:val="center"/>
          </w:tcPr>
          <w:p w14:paraId="2BCC809C" w14:textId="77777777" w:rsidR="001A319B" w:rsidRPr="00C74A6B" w:rsidRDefault="001A319B" w:rsidP="00E907D7">
            <w:pPr>
              <w:widowControl/>
              <w:tabs>
                <w:tab w:val="decimal" w:pos="454"/>
              </w:tabs>
              <w:rPr>
                <w:rFonts w:cs="Arial"/>
                <w:color w:val="000000"/>
                <w:sz w:val="18"/>
                <w:szCs w:val="18"/>
                <w:highlight w:val="yellow"/>
              </w:rPr>
            </w:pPr>
            <w:r w:rsidRPr="00C74A6B">
              <w:rPr>
                <w:rFonts w:cs="Arial"/>
                <w:color w:val="000000"/>
                <w:sz w:val="18"/>
                <w:szCs w:val="18"/>
              </w:rPr>
              <w:t>0</w:t>
            </w:r>
          </w:p>
        </w:tc>
        <w:tc>
          <w:tcPr>
            <w:tcW w:w="843" w:type="dxa"/>
            <w:shd w:val="clear" w:color="auto" w:fill="auto"/>
            <w:vAlign w:val="center"/>
          </w:tcPr>
          <w:p w14:paraId="5F6EA348"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0</w:t>
            </w:r>
          </w:p>
        </w:tc>
        <w:tc>
          <w:tcPr>
            <w:tcW w:w="860" w:type="dxa"/>
            <w:shd w:val="clear" w:color="auto" w:fill="auto"/>
            <w:vAlign w:val="center"/>
          </w:tcPr>
          <w:p w14:paraId="327AED5B"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&lt;1</w:t>
            </w:r>
          </w:p>
        </w:tc>
        <w:tc>
          <w:tcPr>
            <w:tcW w:w="865" w:type="dxa"/>
            <w:vAlign w:val="center"/>
          </w:tcPr>
          <w:p w14:paraId="30F07AA0" w14:textId="77777777" w:rsidR="001A319B" w:rsidRPr="00C74A6B" w:rsidRDefault="001A319B" w:rsidP="00E907D7">
            <w:pPr>
              <w:widowControl/>
              <w:tabs>
                <w:tab w:val="decimal" w:pos="454"/>
              </w:tabs>
              <w:rPr>
                <w:rFonts w:cs="Arial"/>
                <w:color w:val="000000"/>
                <w:sz w:val="18"/>
                <w:szCs w:val="18"/>
                <w:highlight w:val="yellow"/>
              </w:rPr>
            </w:pPr>
            <w:r w:rsidRPr="00C74A6B">
              <w:rPr>
                <w:rFonts w:cs="Arial"/>
                <w:color w:val="000000"/>
                <w:sz w:val="18"/>
                <w:szCs w:val="18"/>
              </w:rPr>
              <w:t>2</w:t>
            </w:r>
          </w:p>
        </w:tc>
        <w:tc>
          <w:tcPr>
            <w:tcW w:w="843" w:type="dxa"/>
            <w:shd w:val="clear" w:color="auto" w:fill="auto"/>
            <w:vAlign w:val="center"/>
          </w:tcPr>
          <w:p w14:paraId="149D194E"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&lt;1</w:t>
            </w:r>
          </w:p>
        </w:tc>
        <w:tc>
          <w:tcPr>
            <w:tcW w:w="840" w:type="dxa"/>
            <w:shd w:val="clear" w:color="auto" w:fill="auto"/>
            <w:vAlign w:val="center"/>
          </w:tcPr>
          <w:p w14:paraId="69E07C42"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&lt;1</w:t>
            </w:r>
          </w:p>
        </w:tc>
        <w:tc>
          <w:tcPr>
            <w:tcW w:w="843" w:type="dxa"/>
            <w:vAlign w:val="center"/>
          </w:tcPr>
          <w:p w14:paraId="640BCF49" w14:textId="77777777" w:rsidR="001A319B" w:rsidRPr="00C74A6B" w:rsidRDefault="001A319B" w:rsidP="00E907D7">
            <w:pPr>
              <w:widowControl/>
              <w:tabs>
                <w:tab w:val="decimal" w:pos="454"/>
              </w:tabs>
              <w:rPr>
                <w:rFonts w:cs="Arial"/>
                <w:color w:val="000000"/>
                <w:sz w:val="18"/>
                <w:szCs w:val="18"/>
                <w:highlight w:val="yellow"/>
              </w:rPr>
            </w:pPr>
            <w:r w:rsidRPr="00C74A6B">
              <w:rPr>
                <w:rFonts w:cs="Arial"/>
                <w:color w:val="000000"/>
                <w:sz w:val="18"/>
                <w:szCs w:val="18"/>
              </w:rPr>
              <w:t>2</w:t>
            </w:r>
          </w:p>
        </w:tc>
        <w:tc>
          <w:tcPr>
            <w:tcW w:w="860" w:type="dxa"/>
            <w:shd w:val="clear" w:color="auto" w:fill="auto"/>
            <w:vAlign w:val="center"/>
          </w:tcPr>
          <w:p w14:paraId="341BFF28" w14:textId="77777777" w:rsidR="001A319B" w:rsidRPr="00C74A6B" w:rsidRDefault="001A319B" w:rsidP="00E907D7">
            <w:pPr>
              <w:widowControl/>
              <w:tabs>
                <w:tab w:val="decimal" w:pos="454"/>
              </w:tabs>
              <w:rPr>
                <w:rFonts w:cs="Arial"/>
                <w:color w:val="000000"/>
                <w:sz w:val="18"/>
                <w:szCs w:val="18"/>
                <w:highlight w:val="yellow"/>
                <w:lang w:eastAsia="en-GB" w:bidi="ar-SA"/>
              </w:rPr>
            </w:pPr>
            <w:r w:rsidRPr="00C74A6B">
              <w:rPr>
                <w:rFonts w:cs="Arial"/>
                <w:color w:val="000000"/>
                <w:sz w:val="18"/>
                <w:szCs w:val="18"/>
              </w:rPr>
              <w:t>&lt;1</w:t>
            </w:r>
          </w:p>
        </w:tc>
      </w:tr>
      <w:tr w:rsidR="00E907D7" w:rsidRPr="00683BE9" w14:paraId="41455094" w14:textId="77777777" w:rsidTr="00C51F8F">
        <w:trPr>
          <w:cantSplit/>
        </w:trPr>
        <w:tc>
          <w:tcPr>
            <w:tcW w:w="1276" w:type="dxa"/>
            <w:shd w:val="clear" w:color="auto" w:fill="D9D9D9" w:themeFill="background1" w:themeFillShade="D9"/>
            <w:vAlign w:val="center"/>
            <w:hideMark/>
          </w:tcPr>
          <w:p w14:paraId="7D26F42A" w14:textId="77777777" w:rsidR="00E907D7" w:rsidRPr="00C74A6B" w:rsidRDefault="00E907D7" w:rsidP="00C74A6B">
            <w:pPr>
              <w:rPr>
                <w:rFonts w:cs="Arial"/>
                <w:bCs/>
                <w:color w:val="000000"/>
                <w:sz w:val="18"/>
                <w:szCs w:val="18"/>
                <w:lang w:eastAsia="en-GB" w:bidi="ar-SA"/>
              </w:rPr>
            </w:pPr>
            <w:r w:rsidRPr="00C74A6B">
              <w:rPr>
                <w:rFonts w:cs="Arial"/>
                <w:bCs/>
                <w:color w:val="000000"/>
                <w:sz w:val="18"/>
                <w:szCs w:val="18"/>
                <w:lang w:eastAsia="en-GB" w:bidi="ar-SA"/>
              </w:rPr>
              <w:t>14</w:t>
            </w:r>
          </w:p>
        </w:tc>
        <w:tc>
          <w:tcPr>
            <w:tcW w:w="5291" w:type="dxa"/>
            <w:gridSpan w:val="2"/>
            <w:tcBorders>
              <w:bottom w:val="single" w:sz="4" w:space="0" w:color="auto"/>
            </w:tcBorders>
            <w:shd w:val="clear" w:color="auto" w:fill="D9D9D9" w:themeFill="background1" w:themeFillShade="D9"/>
            <w:vAlign w:val="center"/>
          </w:tcPr>
          <w:p w14:paraId="5A71E771"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Non-alcoholic &amp; alcoholic beverages</w:t>
            </w:r>
          </w:p>
        </w:tc>
        <w:tc>
          <w:tcPr>
            <w:tcW w:w="888" w:type="dxa"/>
            <w:shd w:val="clear" w:color="auto" w:fill="auto"/>
            <w:vAlign w:val="center"/>
          </w:tcPr>
          <w:p w14:paraId="5EC8C160"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c>
          <w:tcPr>
            <w:tcW w:w="823" w:type="dxa"/>
            <w:vAlign w:val="center"/>
          </w:tcPr>
          <w:p w14:paraId="56AF6C38"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&lt;1</w:t>
            </w:r>
          </w:p>
        </w:tc>
        <w:tc>
          <w:tcPr>
            <w:tcW w:w="843" w:type="dxa"/>
            <w:shd w:val="clear" w:color="auto" w:fill="D9D9D9" w:themeFill="background1" w:themeFillShade="D9"/>
            <w:vAlign w:val="center"/>
          </w:tcPr>
          <w:p w14:paraId="22D79336"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33</w:t>
            </w:r>
          </w:p>
        </w:tc>
        <w:tc>
          <w:tcPr>
            <w:tcW w:w="860" w:type="dxa"/>
            <w:shd w:val="clear" w:color="auto" w:fill="auto"/>
            <w:vAlign w:val="center"/>
          </w:tcPr>
          <w:p w14:paraId="4337438D"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&lt;1</w:t>
            </w:r>
          </w:p>
        </w:tc>
        <w:tc>
          <w:tcPr>
            <w:tcW w:w="865" w:type="dxa"/>
            <w:vAlign w:val="center"/>
          </w:tcPr>
          <w:p w14:paraId="3A275642"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&lt;1</w:t>
            </w:r>
          </w:p>
        </w:tc>
        <w:tc>
          <w:tcPr>
            <w:tcW w:w="843" w:type="dxa"/>
            <w:shd w:val="clear" w:color="auto" w:fill="D9D9D9" w:themeFill="background1" w:themeFillShade="D9"/>
            <w:vAlign w:val="center"/>
          </w:tcPr>
          <w:p w14:paraId="1224FA3F" w14:textId="77777777" w:rsidR="00E907D7" w:rsidRPr="00C74A6B" w:rsidRDefault="00E907D7" w:rsidP="00E907D7">
            <w:pPr>
              <w:widowControl/>
              <w:tabs>
                <w:tab w:val="decimal" w:pos="454"/>
              </w:tabs>
              <w:rPr>
                <w:rFonts w:cs="Arial"/>
                <w:bCs/>
                <w:sz w:val="18"/>
                <w:szCs w:val="18"/>
                <w:highlight w:val="yellow"/>
                <w:lang w:eastAsia="en-GB" w:bidi="ar-SA"/>
              </w:rPr>
            </w:pPr>
            <w:r w:rsidRPr="00C74A6B">
              <w:rPr>
                <w:rFonts w:cs="Arial"/>
                <w:bCs/>
                <w:color w:val="000000"/>
                <w:sz w:val="18"/>
                <w:szCs w:val="18"/>
              </w:rPr>
              <w:t>39</w:t>
            </w:r>
          </w:p>
        </w:tc>
        <w:tc>
          <w:tcPr>
            <w:tcW w:w="840" w:type="dxa"/>
            <w:shd w:val="clear" w:color="auto" w:fill="auto"/>
            <w:vAlign w:val="center"/>
          </w:tcPr>
          <w:p w14:paraId="2FA0F551"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&lt;1</w:t>
            </w:r>
          </w:p>
        </w:tc>
        <w:tc>
          <w:tcPr>
            <w:tcW w:w="843" w:type="dxa"/>
            <w:vAlign w:val="center"/>
          </w:tcPr>
          <w:p w14:paraId="4CEFE144" w14:textId="77777777" w:rsidR="00E907D7" w:rsidRPr="00C74A6B" w:rsidRDefault="00E907D7" w:rsidP="00E907D7">
            <w:pPr>
              <w:widowControl/>
              <w:tabs>
                <w:tab w:val="decimal" w:pos="454"/>
              </w:tabs>
              <w:rPr>
                <w:rFonts w:cs="Arial"/>
                <w:bCs/>
                <w:color w:val="000000"/>
                <w:sz w:val="18"/>
                <w:szCs w:val="18"/>
                <w:highlight w:val="yellow"/>
              </w:rPr>
            </w:pPr>
            <w:r w:rsidRPr="00C74A6B">
              <w:rPr>
                <w:rFonts w:cs="Arial"/>
                <w:bCs/>
                <w:color w:val="000000"/>
                <w:sz w:val="18"/>
                <w:szCs w:val="18"/>
              </w:rPr>
              <w:t>&lt;1</w:t>
            </w:r>
          </w:p>
        </w:tc>
        <w:tc>
          <w:tcPr>
            <w:tcW w:w="860" w:type="dxa"/>
            <w:shd w:val="clear" w:color="auto" w:fill="D9D9D9" w:themeFill="background1" w:themeFillShade="D9"/>
            <w:vAlign w:val="center"/>
          </w:tcPr>
          <w:p w14:paraId="29A1DA6D" w14:textId="77777777" w:rsidR="00E907D7" w:rsidRPr="00C74A6B" w:rsidRDefault="00E907D7" w:rsidP="00E907D7">
            <w:pPr>
              <w:widowControl/>
              <w:tabs>
                <w:tab w:val="decimal" w:pos="454"/>
              </w:tabs>
              <w:rPr>
                <w:rFonts w:cs="Arial"/>
                <w:bCs/>
                <w:color w:val="000000"/>
                <w:sz w:val="18"/>
                <w:szCs w:val="18"/>
                <w:highlight w:val="yellow"/>
                <w:lang w:eastAsia="en-GB" w:bidi="ar-SA"/>
              </w:rPr>
            </w:pPr>
            <w:r w:rsidRPr="00C74A6B">
              <w:rPr>
                <w:rFonts w:cs="Arial"/>
                <w:bCs/>
                <w:color w:val="000000"/>
                <w:sz w:val="18"/>
                <w:szCs w:val="18"/>
              </w:rPr>
              <w:t>39</w:t>
            </w:r>
          </w:p>
        </w:tc>
      </w:tr>
      <w:tr w:rsidR="00C51F8F" w:rsidRPr="00683BE9" w14:paraId="3F39FD23" w14:textId="77777777" w:rsidTr="00221A11">
        <w:trPr>
          <w:cantSplit/>
        </w:trPr>
        <w:tc>
          <w:tcPr>
            <w:tcW w:w="1276" w:type="dxa"/>
            <w:shd w:val="clear" w:color="auto" w:fill="D9D9D9" w:themeFill="background1" w:themeFillShade="D9"/>
            <w:vAlign w:val="center"/>
            <w:hideMark/>
          </w:tcPr>
          <w:p w14:paraId="01F1ECE6" w14:textId="77777777" w:rsidR="00C51F8F" w:rsidRPr="00A5378B" w:rsidRDefault="00C51F8F" w:rsidP="00DF510F">
            <w:pPr>
              <w:widowControl/>
              <w:rPr>
                <w:rFonts w:cs="Arial"/>
                <w:color w:val="000000"/>
                <w:sz w:val="18"/>
                <w:szCs w:val="18"/>
                <w:lang w:eastAsia="en-GB" w:bidi="ar-SA"/>
              </w:rPr>
            </w:pPr>
            <w:r w:rsidRPr="00A5378B">
              <w:rPr>
                <w:rFonts w:cs="Arial"/>
                <w:color w:val="000000"/>
                <w:sz w:val="18"/>
                <w:szCs w:val="18"/>
                <w:lang w:eastAsia="en-GB" w:bidi="ar-SA"/>
              </w:rPr>
              <w:t>14.1.2</w:t>
            </w:r>
          </w:p>
        </w:tc>
        <w:tc>
          <w:tcPr>
            <w:tcW w:w="425" w:type="dxa"/>
            <w:tcBorders>
              <w:right w:val="nil"/>
            </w:tcBorders>
            <w:shd w:val="clear" w:color="auto" w:fill="D9D9D9" w:themeFill="background1" w:themeFillShade="D9"/>
            <w:vAlign w:val="center"/>
          </w:tcPr>
          <w:p w14:paraId="3919EEC0" w14:textId="77777777" w:rsidR="00C51F8F" w:rsidRPr="00A5378B" w:rsidRDefault="00C51F8F" w:rsidP="00DF510F">
            <w:pPr>
              <w:widowControl/>
              <w:rPr>
                <w:rFonts w:cs="Arial"/>
                <w:color w:val="000000"/>
                <w:sz w:val="18"/>
                <w:szCs w:val="18"/>
                <w:lang w:eastAsia="en-GB" w:bidi="ar-SA"/>
              </w:rPr>
            </w:pPr>
          </w:p>
        </w:tc>
        <w:tc>
          <w:tcPr>
            <w:tcW w:w="4866" w:type="dxa"/>
            <w:tcBorders>
              <w:left w:val="nil"/>
            </w:tcBorders>
            <w:shd w:val="clear" w:color="auto" w:fill="D9D9D9" w:themeFill="background1" w:themeFillShade="D9"/>
            <w:vAlign w:val="center"/>
            <w:hideMark/>
          </w:tcPr>
          <w:p w14:paraId="32E90243" w14:textId="77777777" w:rsidR="00C51F8F" w:rsidRPr="00A5378B" w:rsidRDefault="00C51F8F" w:rsidP="00DF510F">
            <w:pPr>
              <w:widowControl/>
              <w:rPr>
                <w:rFonts w:cs="Arial"/>
                <w:color w:val="000000"/>
                <w:sz w:val="18"/>
                <w:szCs w:val="18"/>
                <w:lang w:eastAsia="en-GB" w:bidi="ar-SA"/>
              </w:rPr>
            </w:pPr>
            <w:r w:rsidRPr="00A5378B">
              <w:rPr>
                <w:rFonts w:cs="Arial"/>
                <w:color w:val="000000"/>
                <w:sz w:val="18"/>
                <w:szCs w:val="18"/>
                <w:lang w:eastAsia="en-GB" w:bidi="ar-SA"/>
              </w:rPr>
              <w:t>Fruit &amp; vegetable juices &amp; fruit &amp; vegetable juice products</w:t>
            </w:r>
          </w:p>
        </w:tc>
        <w:tc>
          <w:tcPr>
            <w:tcW w:w="888" w:type="dxa"/>
            <w:shd w:val="clear" w:color="auto" w:fill="auto"/>
            <w:vAlign w:val="center"/>
          </w:tcPr>
          <w:p w14:paraId="30088BE6"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52EBBBF0"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D9D9D9" w:themeFill="background1" w:themeFillShade="D9"/>
            <w:vAlign w:val="center"/>
          </w:tcPr>
          <w:p w14:paraId="3895C7AC"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6</w:t>
            </w:r>
          </w:p>
        </w:tc>
        <w:tc>
          <w:tcPr>
            <w:tcW w:w="860" w:type="dxa"/>
            <w:shd w:val="clear" w:color="auto" w:fill="auto"/>
            <w:vAlign w:val="center"/>
          </w:tcPr>
          <w:p w14:paraId="6519D106"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2A74AE38"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D9D9D9" w:themeFill="background1" w:themeFillShade="D9"/>
            <w:vAlign w:val="center"/>
          </w:tcPr>
          <w:p w14:paraId="594C686B"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40" w:type="dxa"/>
            <w:shd w:val="clear" w:color="auto" w:fill="auto"/>
            <w:vAlign w:val="center"/>
          </w:tcPr>
          <w:p w14:paraId="634EB50C"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5D8487F1"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D9D9D9" w:themeFill="background1" w:themeFillShade="D9"/>
            <w:vAlign w:val="center"/>
          </w:tcPr>
          <w:p w14:paraId="406008AF"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r>
      <w:tr w:rsidR="00C51F8F" w:rsidRPr="00683BE9" w14:paraId="09336687" w14:textId="77777777" w:rsidTr="00221A11">
        <w:trPr>
          <w:cantSplit/>
        </w:trPr>
        <w:tc>
          <w:tcPr>
            <w:tcW w:w="1276" w:type="dxa"/>
            <w:shd w:val="clear" w:color="auto" w:fill="D9D9D9" w:themeFill="background1" w:themeFillShade="D9"/>
            <w:vAlign w:val="center"/>
            <w:hideMark/>
          </w:tcPr>
          <w:p w14:paraId="456D4540" w14:textId="77777777" w:rsidR="00C51F8F" w:rsidRPr="00A5378B" w:rsidRDefault="00C51F8F" w:rsidP="00DF510F">
            <w:pPr>
              <w:widowControl/>
              <w:rPr>
                <w:rFonts w:cs="Arial"/>
                <w:color w:val="000000"/>
                <w:sz w:val="18"/>
                <w:szCs w:val="18"/>
                <w:lang w:eastAsia="en-GB" w:bidi="ar-SA"/>
              </w:rPr>
            </w:pPr>
            <w:r w:rsidRPr="00A5378B">
              <w:rPr>
                <w:rFonts w:cs="Arial"/>
                <w:color w:val="000000"/>
                <w:sz w:val="18"/>
                <w:szCs w:val="18"/>
                <w:lang w:eastAsia="en-GB" w:bidi="ar-SA"/>
              </w:rPr>
              <w:t>14.1.3</w:t>
            </w:r>
          </w:p>
        </w:tc>
        <w:tc>
          <w:tcPr>
            <w:tcW w:w="425" w:type="dxa"/>
            <w:tcBorders>
              <w:right w:val="nil"/>
            </w:tcBorders>
            <w:shd w:val="clear" w:color="auto" w:fill="D9D9D9" w:themeFill="background1" w:themeFillShade="D9"/>
            <w:vAlign w:val="center"/>
          </w:tcPr>
          <w:p w14:paraId="0C068CBB" w14:textId="77777777" w:rsidR="00C51F8F" w:rsidRPr="00A5378B" w:rsidRDefault="00C51F8F" w:rsidP="00DF510F">
            <w:pPr>
              <w:widowControl/>
              <w:rPr>
                <w:rFonts w:cs="Arial"/>
                <w:color w:val="000000"/>
                <w:sz w:val="18"/>
                <w:szCs w:val="18"/>
                <w:lang w:eastAsia="en-GB" w:bidi="ar-SA"/>
              </w:rPr>
            </w:pPr>
          </w:p>
        </w:tc>
        <w:tc>
          <w:tcPr>
            <w:tcW w:w="4866" w:type="dxa"/>
            <w:tcBorders>
              <w:left w:val="nil"/>
            </w:tcBorders>
            <w:shd w:val="clear" w:color="auto" w:fill="D9D9D9" w:themeFill="background1" w:themeFillShade="D9"/>
            <w:vAlign w:val="center"/>
            <w:hideMark/>
          </w:tcPr>
          <w:p w14:paraId="7251ABA9" w14:textId="77777777" w:rsidR="00C51F8F" w:rsidRPr="00A5378B" w:rsidRDefault="00C51F8F" w:rsidP="00DF510F">
            <w:pPr>
              <w:widowControl/>
              <w:rPr>
                <w:rFonts w:cs="Arial"/>
                <w:color w:val="000000"/>
                <w:sz w:val="18"/>
                <w:szCs w:val="18"/>
                <w:lang w:eastAsia="en-GB" w:bidi="ar-SA"/>
              </w:rPr>
            </w:pPr>
            <w:r>
              <w:rPr>
                <w:rFonts w:cs="Arial"/>
                <w:color w:val="000000"/>
                <w:sz w:val="18"/>
                <w:szCs w:val="18"/>
              </w:rPr>
              <w:t>Soft drinks</w:t>
            </w:r>
            <w:r w:rsidRPr="00A5378B">
              <w:rPr>
                <w:rFonts w:cs="Arial"/>
                <w:color w:val="000000"/>
                <w:sz w:val="18"/>
                <w:szCs w:val="18"/>
              </w:rPr>
              <w:t xml:space="preserve"> (intensely sweetened soft drinks)</w:t>
            </w:r>
          </w:p>
        </w:tc>
        <w:tc>
          <w:tcPr>
            <w:tcW w:w="888" w:type="dxa"/>
            <w:shd w:val="clear" w:color="auto" w:fill="auto"/>
            <w:vAlign w:val="center"/>
          </w:tcPr>
          <w:p w14:paraId="42336868"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vAlign w:val="center"/>
          </w:tcPr>
          <w:p w14:paraId="49393AEB"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D9D9D9" w:themeFill="background1" w:themeFillShade="D9"/>
            <w:vAlign w:val="center"/>
          </w:tcPr>
          <w:p w14:paraId="33961ABF"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25</w:t>
            </w:r>
          </w:p>
        </w:tc>
        <w:tc>
          <w:tcPr>
            <w:tcW w:w="860" w:type="dxa"/>
            <w:shd w:val="clear" w:color="auto" w:fill="auto"/>
            <w:vAlign w:val="center"/>
          </w:tcPr>
          <w:p w14:paraId="208CCEE8"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5" w:type="dxa"/>
            <w:vAlign w:val="center"/>
          </w:tcPr>
          <w:p w14:paraId="54EA52A0"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D9D9D9" w:themeFill="background1" w:themeFillShade="D9"/>
            <w:vAlign w:val="center"/>
          </w:tcPr>
          <w:p w14:paraId="3C70B4BE"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26</w:t>
            </w:r>
          </w:p>
        </w:tc>
        <w:tc>
          <w:tcPr>
            <w:tcW w:w="840" w:type="dxa"/>
            <w:shd w:val="clear" w:color="auto" w:fill="auto"/>
            <w:vAlign w:val="center"/>
          </w:tcPr>
          <w:p w14:paraId="4AD2B716"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3" w:type="dxa"/>
            <w:vAlign w:val="center"/>
          </w:tcPr>
          <w:p w14:paraId="10C6AD92"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0</w:t>
            </w:r>
          </w:p>
        </w:tc>
        <w:tc>
          <w:tcPr>
            <w:tcW w:w="860" w:type="dxa"/>
            <w:shd w:val="clear" w:color="auto" w:fill="D9D9D9" w:themeFill="background1" w:themeFillShade="D9"/>
            <w:vAlign w:val="center"/>
          </w:tcPr>
          <w:p w14:paraId="30FD8711"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26</w:t>
            </w:r>
          </w:p>
        </w:tc>
      </w:tr>
      <w:tr w:rsidR="00C51F8F" w:rsidRPr="00683BE9" w14:paraId="0F34A0EA" w14:textId="77777777" w:rsidTr="00221A11">
        <w:trPr>
          <w:cantSplit/>
        </w:trPr>
        <w:tc>
          <w:tcPr>
            <w:tcW w:w="1276" w:type="dxa"/>
            <w:shd w:val="clear" w:color="auto" w:fill="D9D9D9" w:themeFill="background1" w:themeFillShade="D9"/>
            <w:vAlign w:val="center"/>
            <w:hideMark/>
          </w:tcPr>
          <w:p w14:paraId="13F10A3C" w14:textId="77777777" w:rsidR="00C51F8F" w:rsidRPr="00A5378B" w:rsidRDefault="00C51F8F" w:rsidP="00DF510F">
            <w:pPr>
              <w:widowControl/>
              <w:rPr>
                <w:rFonts w:cs="Arial"/>
                <w:color w:val="000000"/>
                <w:sz w:val="18"/>
                <w:szCs w:val="18"/>
                <w:lang w:eastAsia="en-GB" w:bidi="ar-SA"/>
              </w:rPr>
            </w:pPr>
            <w:r w:rsidRPr="00A5378B">
              <w:rPr>
                <w:rFonts w:cs="Arial"/>
                <w:color w:val="000000"/>
                <w:sz w:val="18"/>
                <w:szCs w:val="18"/>
                <w:lang w:eastAsia="en-GB" w:bidi="ar-SA"/>
              </w:rPr>
              <w:t>14.1.3.1.1.3</w:t>
            </w:r>
          </w:p>
        </w:tc>
        <w:tc>
          <w:tcPr>
            <w:tcW w:w="425" w:type="dxa"/>
            <w:tcBorders>
              <w:right w:val="nil"/>
            </w:tcBorders>
            <w:shd w:val="clear" w:color="auto" w:fill="D9D9D9" w:themeFill="background1" w:themeFillShade="D9"/>
            <w:vAlign w:val="center"/>
          </w:tcPr>
          <w:p w14:paraId="21225453" w14:textId="77777777" w:rsidR="00C51F8F" w:rsidRPr="00A5378B" w:rsidRDefault="00C51F8F" w:rsidP="00DF510F">
            <w:pPr>
              <w:widowControl/>
              <w:rPr>
                <w:rFonts w:cs="Arial"/>
                <w:color w:val="000000"/>
                <w:sz w:val="18"/>
                <w:szCs w:val="18"/>
                <w:lang w:eastAsia="en-GB" w:bidi="ar-SA"/>
              </w:rPr>
            </w:pPr>
          </w:p>
        </w:tc>
        <w:tc>
          <w:tcPr>
            <w:tcW w:w="4866" w:type="dxa"/>
            <w:tcBorders>
              <w:left w:val="nil"/>
            </w:tcBorders>
            <w:shd w:val="clear" w:color="auto" w:fill="D9D9D9" w:themeFill="background1" w:themeFillShade="D9"/>
            <w:vAlign w:val="center"/>
            <w:hideMark/>
          </w:tcPr>
          <w:p w14:paraId="3D09B44B" w14:textId="77777777" w:rsidR="00C51F8F" w:rsidRPr="00A5378B" w:rsidRDefault="00C51F8F" w:rsidP="00DF510F">
            <w:pPr>
              <w:widowControl/>
              <w:rPr>
                <w:rFonts w:cs="Arial"/>
                <w:color w:val="000000"/>
                <w:sz w:val="18"/>
                <w:szCs w:val="18"/>
                <w:lang w:eastAsia="en-GB" w:bidi="ar-SA"/>
              </w:rPr>
            </w:pPr>
            <w:r w:rsidRPr="00A5378B">
              <w:rPr>
                <w:rFonts w:cs="Arial"/>
                <w:color w:val="000000"/>
                <w:sz w:val="18"/>
                <w:szCs w:val="18"/>
                <w:lang w:eastAsia="en-GB" w:bidi="ar-SA"/>
              </w:rPr>
              <w:t>Energy drinks</w:t>
            </w:r>
          </w:p>
        </w:tc>
        <w:tc>
          <w:tcPr>
            <w:tcW w:w="888" w:type="dxa"/>
            <w:shd w:val="clear" w:color="auto" w:fill="auto"/>
            <w:vAlign w:val="center"/>
          </w:tcPr>
          <w:p w14:paraId="3856674E"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vAlign w:val="center"/>
          </w:tcPr>
          <w:p w14:paraId="65C5EECE"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75673C02"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1</w:t>
            </w:r>
          </w:p>
        </w:tc>
        <w:tc>
          <w:tcPr>
            <w:tcW w:w="860" w:type="dxa"/>
            <w:shd w:val="clear" w:color="auto" w:fill="auto"/>
            <w:vAlign w:val="center"/>
          </w:tcPr>
          <w:p w14:paraId="14761D81"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5" w:type="dxa"/>
            <w:vAlign w:val="center"/>
          </w:tcPr>
          <w:p w14:paraId="12568C3F"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D9D9D9" w:themeFill="background1" w:themeFillShade="D9"/>
            <w:vAlign w:val="center"/>
          </w:tcPr>
          <w:p w14:paraId="1D4F1113"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7</w:t>
            </w:r>
          </w:p>
        </w:tc>
        <w:tc>
          <w:tcPr>
            <w:tcW w:w="840" w:type="dxa"/>
            <w:shd w:val="clear" w:color="auto" w:fill="auto"/>
            <w:vAlign w:val="center"/>
          </w:tcPr>
          <w:p w14:paraId="7D4EC49D"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3" w:type="dxa"/>
            <w:vAlign w:val="center"/>
          </w:tcPr>
          <w:p w14:paraId="51D9BC83" w14:textId="77777777" w:rsidR="00C51F8F" w:rsidRPr="000D4BC4" w:rsidRDefault="00C51F8F" w:rsidP="00DF510F">
            <w:pPr>
              <w:widowControl/>
              <w:tabs>
                <w:tab w:val="decimal" w:pos="454"/>
              </w:tabs>
              <w:rPr>
                <w:rFonts w:cs="Arial"/>
                <w:color w:val="000000"/>
                <w:sz w:val="18"/>
                <w:szCs w:val="18"/>
                <w:highlight w:val="yellow"/>
              </w:rPr>
            </w:pPr>
            <w:r w:rsidRPr="000D4BC4">
              <w:rPr>
                <w:rFonts w:cs="Arial"/>
                <w:color w:val="000000"/>
                <w:sz w:val="18"/>
                <w:szCs w:val="18"/>
              </w:rPr>
              <w:t>0</w:t>
            </w:r>
          </w:p>
        </w:tc>
        <w:tc>
          <w:tcPr>
            <w:tcW w:w="860" w:type="dxa"/>
            <w:shd w:val="clear" w:color="auto" w:fill="D9D9D9" w:themeFill="background1" w:themeFillShade="D9"/>
            <w:vAlign w:val="center"/>
          </w:tcPr>
          <w:p w14:paraId="2921C2A3" w14:textId="77777777" w:rsidR="00C51F8F" w:rsidRPr="000D4BC4" w:rsidRDefault="00C51F8F" w:rsidP="00DF510F">
            <w:pPr>
              <w:widowControl/>
              <w:tabs>
                <w:tab w:val="decimal" w:pos="454"/>
              </w:tabs>
              <w:rPr>
                <w:rFonts w:cs="Arial"/>
                <w:color w:val="000000"/>
                <w:sz w:val="18"/>
                <w:szCs w:val="18"/>
                <w:highlight w:val="yellow"/>
                <w:lang w:eastAsia="en-GB" w:bidi="ar-SA"/>
              </w:rPr>
            </w:pPr>
            <w:r w:rsidRPr="000D4BC4">
              <w:rPr>
                <w:rFonts w:cs="Arial"/>
                <w:color w:val="000000"/>
                <w:sz w:val="18"/>
                <w:szCs w:val="18"/>
              </w:rPr>
              <w:t>6</w:t>
            </w:r>
          </w:p>
        </w:tc>
      </w:tr>
      <w:tr w:rsidR="00C51F8F" w:rsidRPr="00683BE9" w14:paraId="31DE92F0" w14:textId="77777777" w:rsidTr="00DF510F">
        <w:trPr>
          <w:cantSplit/>
        </w:trPr>
        <w:tc>
          <w:tcPr>
            <w:tcW w:w="1276" w:type="dxa"/>
            <w:shd w:val="clear" w:color="auto" w:fill="D9D9D9" w:themeFill="background1" w:themeFillShade="D9"/>
            <w:vAlign w:val="center"/>
            <w:hideMark/>
          </w:tcPr>
          <w:p w14:paraId="2B63D009" w14:textId="77777777" w:rsidR="00C51F8F" w:rsidRPr="00C74A6B" w:rsidRDefault="00C51F8F" w:rsidP="00DF510F">
            <w:pPr>
              <w:rPr>
                <w:rFonts w:cs="Arial"/>
                <w:bCs/>
                <w:color w:val="000000"/>
                <w:sz w:val="18"/>
                <w:szCs w:val="18"/>
                <w:lang w:eastAsia="en-GB" w:bidi="ar-SA"/>
              </w:rPr>
            </w:pPr>
            <w:r w:rsidRPr="00C74A6B">
              <w:rPr>
                <w:rFonts w:cs="Arial"/>
                <w:bCs/>
                <w:color w:val="000000"/>
                <w:sz w:val="18"/>
                <w:szCs w:val="18"/>
                <w:lang w:eastAsia="en-GB" w:bidi="ar-SA"/>
              </w:rPr>
              <w:t>20</w:t>
            </w:r>
          </w:p>
        </w:tc>
        <w:tc>
          <w:tcPr>
            <w:tcW w:w="5291" w:type="dxa"/>
            <w:gridSpan w:val="2"/>
            <w:tcBorders>
              <w:bottom w:val="single" w:sz="4" w:space="0" w:color="auto"/>
            </w:tcBorders>
            <w:shd w:val="clear" w:color="auto" w:fill="D9D9D9" w:themeFill="background1" w:themeFillShade="D9"/>
            <w:vAlign w:val="center"/>
          </w:tcPr>
          <w:p w14:paraId="2F30B147" w14:textId="77777777" w:rsidR="00C51F8F" w:rsidRPr="00C74A6B" w:rsidRDefault="00C51F8F" w:rsidP="00DF510F">
            <w:pPr>
              <w:keepNext/>
              <w:keepLines/>
              <w:widowControl/>
              <w:rPr>
                <w:rFonts w:cs="Arial"/>
                <w:bCs/>
                <w:color w:val="000000"/>
                <w:sz w:val="18"/>
                <w:szCs w:val="18"/>
                <w:lang w:eastAsia="en-GB" w:bidi="ar-SA"/>
              </w:rPr>
            </w:pPr>
            <w:r w:rsidRPr="00C74A6B">
              <w:rPr>
                <w:rFonts w:cs="Arial"/>
                <w:bCs/>
                <w:color w:val="000000"/>
                <w:sz w:val="18"/>
                <w:szCs w:val="18"/>
                <w:lang w:eastAsia="en-GB" w:bidi="ar-SA"/>
              </w:rPr>
              <w:t>All Mixed Foods Commercial</w:t>
            </w:r>
          </w:p>
        </w:tc>
        <w:tc>
          <w:tcPr>
            <w:tcW w:w="888" w:type="dxa"/>
            <w:shd w:val="clear" w:color="auto" w:fill="auto"/>
            <w:vAlign w:val="center"/>
          </w:tcPr>
          <w:p w14:paraId="7A0DB99F" w14:textId="77777777" w:rsidR="00C51F8F" w:rsidRPr="00C74A6B" w:rsidRDefault="00C51F8F" w:rsidP="00DF510F">
            <w:pPr>
              <w:keepNext/>
              <w:keepLines/>
              <w:widowControl/>
              <w:tabs>
                <w:tab w:val="decimal" w:pos="454"/>
              </w:tabs>
              <w:rPr>
                <w:rFonts w:cs="Arial"/>
                <w:bCs/>
                <w:color w:val="000000"/>
                <w:sz w:val="18"/>
                <w:szCs w:val="18"/>
                <w:lang w:eastAsia="en-GB" w:bidi="ar-SA"/>
              </w:rPr>
            </w:pPr>
          </w:p>
        </w:tc>
        <w:tc>
          <w:tcPr>
            <w:tcW w:w="823" w:type="dxa"/>
          </w:tcPr>
          <w:p w14:paraId="7B96F7E1" w14:textId="77777777" w:rsidR="00C51F8F" w:rsidRPr="00C74A6B" w:rsidRDefault="00C51F8F" w:rsidP="00DF510F">
            <w:pPr>
              <w:keepNext/>
              <w:keepLines/>
              <w:widowControl/>
              <w:tabs>
                <w:tab w:val="decimal" w:pos="454"/>
              </w:tabs>
              <w:rPr>
                <w:rFonts w:cs="Arial"/>
                <w:bCs/>
                <w:color w:val="000000"/>
                <w:sz w:val="18"/>
                <w:szCs w:val="18"/>
              </w:rPr>
            </w:pPr>
          </w:p>
        </w:tc>
        <w:tc>
          <w:tcPr>
            <w:tcW w:w="843" w:type="dxa"/>
            <w:shd w:val="clear" w:color="auto" w:fill="D9D9D9" w:themeFill="background1" w:themeFillShade="D9"/>
            <w:vAlign w:val="center"/>
          </w:tcPr>
          <w:p w14:paraId="69B05AF6" w14:textId="77777777" w:rsidR="00C51F8F" w:rsidRPr="00C74A6B" w:rsidRDefault="00C51F8F" w:rsidP="00DF510F">
            <w:pPr>
              <w:keepNext/>
              <w:keepLines/>
              <w:widowControl/>
              <w:tabs>
                <w:tab w:val="decimal" w:pos="454"/>
              </w:tabs>
              <w:rPr>
                <w:rFonts w:cs="Arial"/>
                <w:bCs/>
                <w:color w:val="000000"/>
                <w:sz w:val="18"/>
                <w:szCs w:val="18"/>
                <w:lang w:eastAsia="en-GB" w:bidi="ar-SA"/>
              </w:rPr>
            </w:pPr>
            <w:r w:rsidRPr="00C74A6B">
              <w:rPr>
                <w:rFonts w:cs="Arial"/>
                <w:bCs/>
                <w:color w:val="000000"/>
                <w:sz w:val="18"/>
                <w:szCs w:val="18"/>
              </w:rPr>
              <w:t>18</w:t>
            </w:r>
          </w:p>
        </w:tc>
        <w:tc>
          <w:tcPr>
            <w:tcW w:w="860" w:type="dxa"/>
            <w:shd w:val="clear" w:color="auto" w:fill="auto"/>
            <w:vAlign w:val="center"/>
          </w:tcPr>
          <w:p w14:paraId="2D9E82AF" w14:textId="77777777" w:rsidR="00C51F8F" w:rsidRPr="00C74A6B" w:rsidRDefault="00C51F8F" w:rsidP="00DF510F">
            <w:pPr>
              <w:keepNext/>
              <w:keepLines/>
              <w:widowControl/>
              <w:tabs>
                <w:tab w:val="decimal" w:pos="454"/>
              </w:tabs>
              <w:rPr>
                <w:rFonts w:cs="Arial"/>
                <w:bCs/>
                <w:sz w:val="18"/>
                <w:szCs w:val="18"/>
                <w:lang w:eastAsia="en-GB" w:bidi="ar-SA"/>
              </w:rPr>
            </w:pPr>
          </w:p>
        </w:tc>
        <w:tc>
          <w:tcPr>
            <w:tcW w:w="865" w:type="dxa"/>
          </w:tcPr>
          <w:p w14:paraId="35083BF5" w14:textId="77777777" w:rsidR="00C51F8F" w:rsidRPr="00C74A6B" w:rsidRDefault="00C51F8F" w:rsidP="00DF510F">
            <w:pPr>
              <w:keepNext/>
              <w:keepLines/>
              <w:widowControl/>
              <w:tabs>
                <w:tab w:val="decimal" w:pos="454"/>
              </w:tabs>
              <w:rPr>
                <w:rFonts w:cs="Arial"/>
                <w:bCs/>
                <w:color w:val="000000"/>
                <w:sz w:val="18"/>
                <w:szCs w:val="22"/>
              </w:rPr>
            </w:pPr>
          </w:p>
        </w:tc>
        <w:tc>
          <w:tcPr>
            <w:tcW w:w="843" w:type="dxa"/>
            <w:shd w:val="clear" w:color="auto" w:fill="D9D9D9" w:themeFill="background1" w:themeFillShade="D9"/>
            <w:vAlign w:val="center"/>
          </w:tcPr>
          <w:p w14:paraId="17F0EB51" w14:textId="77777777" w:rsidR="00C51F8F" w:rsidRPr="00C74A6B" w:rsidRDefault="00C51F8F" w:rsidP="00DF510F">
            <w:pPr>
              <w:keepNext/>
              <w:keepLines/>
              <w:widowControl/>
              <w:tabs>
                <w:tab w:val="decimal" w:pos="454"/>
              </w:tabs>
              <w:rPr>
                <w:rFonts w:cs="Arial"/>
                <w:bCs/>
                <w:sz w:val="18"/>
                <w:szCs w:val="18"/>
                <w:lang w:eastAsia="en-GB" w:bidi="ar-SA"/>
              </w:rPr>
            </w:pPr>
            <w:r w:rsidRPr="00C74A6B">
              <w:rPr>
                <w:rFonts w:cs="Arial"/>
                <w:bCs/>
                <w:color w:val="000000"/>
                <w:sz w:val="18"/>
                <w:szCs w:val="22"/>
              </w:rPr>
              <w:t>19</w:t>
            </w:r>
          </w:p>
        </w:tc>
        <w:tc>
          <w:tcPr>
            <w:tcW w:w="840" w:type="dxa"/>
            <w:shd w:val="clear" w:color="auto" w:fill="auto"/>
            <w:vAlign w:val="center"/>
          </w:tcPr>
          <w:p w14:paraId="10803694" w14:textId="77777777" w:rsidR="00C51F8F" w:rsidRPr="00C74A6B" w:rsidRDefault="00C51F8F" w:rsidP="00DF510F">
            <w:pPr>
              <w:keepNext/>
              <w:keepLines/>
              <w:widowControl/>
              <w:tabs>
                <w:tab w:val="decimal" w:pos="454"/>
              </w:tabs>
              <w:rPr>
                <w:rFonts w:cs="Arial"/>
                <w:bCs/>
                <w:color w:val="000000"/>
                <w:sz w:val="18"/>
                <w:szCs w:val="18"/>
                <w:lang w:eastAsia="en-GB" w:bidi="ar-SA"/>
              </w:rPr>
            </w:pPr>
          </w:p>
        </w:tc>
        <w:tc>
          <w:tcPr>
            <w:tcW w:w="843" w:type="dxa"/>
          </w:tcPr>
          <w:p w14:paraId="21BA8F6E" w14:textId="77777777" w:rsidR="00C51F8F" w:rsidRPr="00C74A6B" w:rsidRDefault="00C51F8F" w:rsidP="00DF510F">
            <w:pPr>
              <w:keepNext/>
              <w:keepLines/>
              <w:widowControl/>
              <w:tabs>
                <w:tab w:val="decimal" w:pos="454"/>
              </w:tabs>
              <w:rPr>
                <w:rFonts w:cs="Arial"/>
                <w:bCs/>
                <w:color w:val="000000"/>
                <w:sz w:val="18"/>
                <w:szCs w:val="22"/>
              </w:rPr>
            </w:pPr>
          </w:p>
        </w:tc>
        <w:tc>
          <w:tcPr>
            <w:tcW w:w="860" w:type="dxa"/>
            <w:shd w:val="clear" w:color="auto" w:fill="D9D9D9" w:themeFill="background1" w:themeFillShade="D9"/>
            <w:vAlign w:val="center"/>
          </w:tcPr>
          <w:p w14:paraId="0D1D2344" w14:textId="77777777" w:rsidR="00C51F8F" w:rsidRPr="00C74A6B" w:rsidRDefault="00C51F8F" w:rsidP="00DF510F">
            <w:pPr>
              <w:keepNext/>
              <w:keepLines/>
              <w:widowControl/>
              <w:tabs>
                <w:tab w:val="decimal" w:pos="454"/>
              </w:tabs>
              <w:rPr>
                <w:rFonts w:cs="Arial"/>
                <w:bCs/>
                <w:color w:val="000000"/>
                <w:sz w:val="18"/>
                <w:szCs w:val="18"/>
                <w:lang w:eastAsia="en-GB" w:bidi="ar-SA"/>
              </w:rPr>
            </w:pPr>
            <w:r w:rsidRPr="00C74A6B">
              <w:rPr>
                <w:rFonts w:cs="Arial"/>
                <w:bCs/>
                <w:color w:val="000000"/>
                <w:sz w:val="18"/>
                <w:szCs w:val="22"/>
              </w:rPr>
              <w:t>18</w:t>
            </w:r>
          </w:p>
        </w:tc>
      </w:tr>
      <w:tr w:rsidR="00C51F8F" w:rsidRPr="00683BE9" w14:paraId="09CF4FDA" w14:textId="77777777" w:rsidTr="00221A11">
        <w:trPr>
          <w:cantSplit/>
        </w:trPr>
        <w:tc>
          <w:tcPr>
            <w:tcW w:w="1276" w:type="dxa"/>
            <w:tcBorders>
              <w:bottom w:val="single" w:sz="4" w:space="0" w:color="auto"/>
            </w:tcBorders>
            <w:shd w:val="clear" w:color="auto" w:fill="D9D9D9" w:themeFill="background1" w:themeFillShade="D9"/>
            <w:vAlign w:val="center"/>
          </w:tcPr>
          <w:p w14:paraId="420AD256" w14:textId="77777777" w:rsidR="00C51F8F" w:rsidRPr="004340AE" w:rsidRDefault="00C51F8F" w:rsidP="00DF510F">
            <w:pPr>
              <w:widowControl/>
              <w:rPr>
                <w:rFonts w:cs="Arial"/>
                <w:color w:val="000000"/>
                <w:sz w:val="18"/>
                <w:szCs w:val="18"/>
                <w:lang w:eastAsia="en-GB" w:bidi="ar-SA"/>
              </w:rPr>
            </w:pPr>
            <w:r w:rsidRPr="004340AE">
              <w:rPr>
                <w:rFonts w:cs="Arial"/>
                <w:color w:val="000000"/>
                <w:sz w:val="18"/>
                <w:szCs w:val="18"/>
                <w:lang w:eastAsia="en-GB" w:bidi="ar-SA"/>
              </w:rPr>
              <w:t>20.3.1</w:t>
            </w:r>
          </w:p>
        </w:tc>
        <w:tc>
          <w:tcPr>
            <w:tcW w:w="425" w:type="dxa"/>
            <w:tcBorders>
              <w:bottom w:val="single" w:sz="4" w:space="0" w:color="auto"/>
              <w:right w:val="nil"/>
            </w:tcBorders>
            <w:shd w:val="clear" w:color="auto" w:fill="D9D9D9" w:themeFill="background1" w:themeFillShade="D9"/>
            <w:vAlign w:val="center"/>
          </w:tcPr>
          <w:p w14:paraId="3434176B" w14:textId="77777777" w:rsidR="00C51F8F" w:rsidRPr="004340AE" w:rsidRDefault="00C51F8F" w:rsidP="00DF510F">
            <w:pPr>
              <w:widowControl/>
              <w:rPr>
                <w:rFonts w:cs="Arial"/>
                <w:color w:val="000000"/>
                <w:sz w:val="18"/>
                <w:szCs w:val="18"/>
                <w:lang w:eastAsia="en-GB" w:bidi="ar-SA"/>
              </w:rPr>
            </w:pPr>
          </w:p>
        </w:tc>
        <w:tc>
          <w:tcPr>
            <w:tcW w:w="4866" w:type="dxa"/>
            <w:tcBorders>
              <w:left w:val="nil"/>
              <w:bottom w:val="single" w:sz="4" w:space="0" w:color="auto"/>
            </w:tcBorders>
            <w:shd w:val="clear" w:color="auto" w:fill="D9D9D9" w:themeFill="background1" w:themeFillShade="D9"/>
            <w:vAlign w:val="center"/>
          </w:tcPr>
          <w:p w14:paraId="4D73261B" w14:textId="77777777" w:rsidR="00C51F8F" w:rsidRPr="004340AE" w:rsidRDefault="00C51F8F" w:rsidP="00DF510F">
            <w:pPr>
              <w:widowControl/>
              <w:rPr>
                <w:rFonts w:cs="Arial"/>
                <w:color w:val="000000"/>
                <w:sz w:val="18"/>
                <w:szCs w:val="18"/>
                <w:lang w:eastAsia="en-GB" w:bidi="ar-SA"/>
              </w:rPr>
            </w:pPr>
            <w:r>
              <w:rPr>
                <w:rFonts w:cs="Arial"/>
                <w:color w:val="000000"/>
                <w:sz w:val="18"/>
                <w:szCs w:val="18"/>
                <w:lang w:eastAsia="en-GB" w:bidi="ar-SA"/>
              </w:rPr>
              <w:t>Ready-to-eat muesli</w:t>
            </w:r>
          </w:p>
        </w:tc>
        <w:tc>
          <w:tcPr>
            <w:tcW w:w="888" w:type="dxa"/>
            <w:tcBorders>
              <w:bottom w:val="single" w:sz="4" w:space="0" w:color="auto"/>
            </w:tcBorders>
            <w:shd w:val="clear" w:color="auto" w:fill="auto"/>
            <w:vAlign w:val="center"/>
          </w:tcPr>
          <w:p w14:paraId="5589C987" w14:textId="77777777" w:rsidR="00C51F8F" w:rsidRPr="000D4BC4" w:rsidRDefault="00C51F8F" w:rsidP="00DF510F">
            <w:pPr>
              <w:widowControl/>
              <w:tabs>
                <w:tab w:val="decimal" w:pos="454"/>
              </w:tabs>
              <w:rPr>
                <w:rFonts w:cs="Arial"/>
                <w:color w:val="000000"/>
                <w:sz w:val="18"/>
                <w:szCs w:val="18"/>
                <w:lang w:eastAsia="en-GB" w:bidi="ar-SA"/>
              </w:rPr>
            </w:pPr>
          </w:p>
        </w:tc>
        <w:tc>
          <w:tcPr>
            <w:tcW w:w="823" w:type="dxa"/>
            <w:tcBorders>
              <w:bottom w:val="single" w:sz="4" w:space="0" w:color="auto"/>
            </w:tcBorders>
            <w:shd w:val="clear" w:color="auto" w:fill="auto"/>
          </w:tcPr>
          <w:p w14:paraId="22051337" w14:textId="77777777" w:rsidR="00C51F8F" w:rsidRPr="000D4BC4" w:rsidRDefault="00C51F8F" w:rsidP="00DF510F">
            <w:pPr>
              <w:widowControl/>
              <w:tabs>
                <w:tab w:val="decimal" w:pos="454"/>
              </w:tabs>
              <w:rPr>
                <w:rFonts w:cs="Arial"/>
                <w:color w:val="000000"/>
                <w:sz w:val="18"/>
                <w:szCs w:val="18"/>
              </w:rPr>
            </w:pPr>
          </w:p>
        </w:tc>
        <w:tc>
          <w:tcPr>
            <w:tcW w:w="843" w:type="dxa"/>
            <w:tcBorders>
              <w:bottom w:val="single" w:sz="4" w:space="0" w:color="auto"/>
            </w:tcBorders>
            <w:shd w:val="clear" w:color="auto" w:fill="auto"/>
            <w:vAlign w:val="center"/>
          </w:tcPr>
          <w:p w14:paraId="37BEF049" w14:textId="77777777" w:rsidR="00C51F8F" w:rsidRPr="000D4BC4" w:rsidRDefault="00C51F8F" w:rsidP="00DF510F">
            <w:pPr>
              <w:widowControl/>
              <w:tabs>
                <w:tab w:val="decimal" w:pos="454"/>
              </w:tabs>
              <w:rPr>
                <w:rFonts w:cs="Arial"/>
                <w:color w:val="000000"/>
                <w:sz w:val="18"/>
                <w:szCs w:val="18"/>
                <w:lang w:eastAsia="en-GB" w:bidi="ar-SA"/>
              </w:rPr>
            </w:pPr>
            <w:r w:rsidRPr="000D4BC4">
              <w:rPr>
                <w:rFonts w:cs="Arial"/>
                <w:color w:val="000000"/>
                <w:sz w:val="18"/>
                <w:szCs w:val="18"/>
              </w:rPr>
              <w:t>3</w:t>
            </w:r>
          </w:p>
        </w:tc>
        <w:tc>
          <w:tcPr>
            <w:tcW w:w="860" w:type="dxa"/>
            <w:tcBorders>
              <w:bottom w:val="single" w:sz="4" w:space="0" w:color="auto"/>
            </w:tcBorders>
            <w:shd w:val="clear" w:color="auto" w:fill="auto"/>
            <w:vAlign w:val="center"/>
          </w:tcPr>
          <w:p w14:paraId="3314E90D" w14:textId="77777777" w:rsidR="00C51F8F" w:rsidRPr="000D4BC4" w:rsidRDefault="00C51F8F" w:rsidP="00DF510F">
            <w:pPr>
              <w:widowControl/>
              <w:tabs>
                <w:tab w:val="decimal" w:pos="454"/>
              </w:tabs>
              <w:rPr>
                <w:rFonts w:cs="Arial"/>
                <w:color w:val="000000"/>
                <w:sz w:val="18"/>
                <w:szCs w:val="18"/>
                <w:lang w:eastAsia="en-GB" w:bidi="ar-SA"/>
              </w:rPr>
            </w:pPr>
          </w:p>
        </w:tc>
        <w:tc>
          <w:tcPr>
            <w:tcW w:w="865" w:type="dxa"/>
            <w:tcBorders>
              <w:bottom w:val="single" w:sz="4" w:space="0" w:color="auto"/>
            </w:tcBorders>
            <w:shd w:val="clear" w:color="auto" w:fill="auto"/>
          </w:tcPr>
          <w:p w14:paraId="443D6AF8" w14:textId="77777777" w:rsidR="00C51F8F" w:rsidRPr="000D4BC4" w:rsidRDefault="00C51F8F" w:rsidP="00DF510F">
            <w:pPr>
              <w:widowControl/>
              <w:tabs>
                <w:tab w:val="decimal" w:pos="454"/>
              </w:tabs>
              <w:rPr>
                <w:rFonts w:cs="Arial"/>
                <w:color w:val="000000"/>
                <w:sz w:val="18"/>
                <w:szCs w:val="18"/>
              </w:rPr>
            </w:pPr>
          </w:p>
        </w:tc>
        <w:tc>
          <w:tcPr>
            <w:tcW w:w="843" w:type="dxa"/>
            <w:tcBorders>
              <w:bottom w:val="single" w:sz="4" w:space="0" w:color="auto"/>
            </w:tcBorders>
            <w:shd w:val="clear" w:color="auto" w:fill="D9D9D9" w:themeFill="background1" w:themeFillShade="D9"/>
            <w:vAlign w:val="center"/>
          </w:tcPr>
          <w:p w14:paraId="033D7E5E" w14:textId="77777777" w:rsidR="00C51F8F" w:rsidRPr="000D4BC4" w:rsidRDefault="00C51F8F" w:rsidP="00DF510F">
            <w:pPr>
              <w:widowControl/>
              <w:tabs>
                <w:tab w:val="decimal" w:pos="454"/>
              </w:tabs>
              <w:rPr>
                <w:rFonts w:cs="Arial"/>
                <w:color w:val="000000"/>
                <w:sz w:val="18"/>
                <w:szCs w:val="18"/>
                <w:lang w:eastAsia="en-GB" w:bidi="ar-SA"/>
              </w:rPr>
            </w:pPr>
            <w:r w:rsidRPr="000D4BC4">
              <w:rPr>
                <w:rFonts w:cs="Arial"/>
                <w:color w:val="000000"/>
                <w:sz w:val="18"/>
                <w:szCs w:val="18"/>
                <w:lang w:eastAsia="en-GB" w:bidi="ar-SA"/>
              </w:rPr>
              <w:t>10</w:t>
            </w:r>
          </w:p>
        </w:tc>
        <w:tc>
          <w:tcPr>
            <w:tcW w:w="840" w:type="dxa"/>
            <w:tcBorders>
              <w:bottom w:val="single" w:sz="4" w:space="0" w:color="auto"/>
            </w:tcBorders>
            <w:shd w:val="clear" w:color="auto" w:fill="auto"/>
            <w:vAlign w:val="center"/>
          </w:tcPr>
          <w:p w14:paraId="6925A08E" w14:textId="77777777" w:rsidR="00C51F8F" w:rsidRPr="000D4BC4" w:rsidRDefault="00C51F8F" w:rsidP="00DF510F">
            <w:pPr>
              <w:widowControl/>
              <w:tabs>
                <w:tab w:val="decimal" w:pos="454"/>
              </w:tabs>
              <w:rPr>
                <w:rFonts w:cs="Arial"/>
                <w:color w:val="000000"/>
                <w:sz w:val="18"/>
                <w:szCs w:val="18"/>
                <w:lang w:eastAsia="en-GB" w:bidi="ar-SA"/>
              </w:rPr>
            </w:pPr>
          </w:p>
        </w:tc>
        <w:tc>
          <w:tcPr>
            <w:tcW w:w="843" w:type="dxa"/>
            <w:tcBorders>
              <w:bottom w:val="single" w:sz="4" w:space="0" w:color="auto"/>
            </w:tcBorders>
            <w:shd w:val="clear" w:color="auto" w:fill="auto"/>
          </w:tcPr>
          <w:p w14:paraId="638D6192" w14:textId="77777777" w:rsidR="00C51F8F" w:rsidRPr="000D4BC4" w:rsidRDefault="00C51F8F" w:rsidP="00DF510F">
            <w:pPr>
              <w:widowControl/>
              <w:tabs>
                <w:tab w:val="decimal" w:pos="454"/>
              </w:tabs>
              <w:rPr>
                <w:rFonts w:cs="Arial"/>
                <w:color w:val="000000"/>
                <w:sz w:val="18"/>
                <w:szCs w:val="18"/>
              </w:rPr>
            </w:pPr>
          </w:p>
        </w:tc>
        <w:tc>
          <w:tcPr>
            <w:tcW w:w="860" w:type="dxa"/>
            <w:tcBorders>
              <w:bottom w:val="single" w:sz="4" w:space="0" w:color="auto"/>
            </w:tcBorders>
            <w:shd w:val="clear" w:color="auto" w:fill="D9D9D9" w:themeFill="background1" w:themeFillShade="D9"/>
            <w:vAlign w:val="center"/>
          </w:tcPr>
          <w:p w14:paraId="41E503CB" w14:textId="77777777" w:rsidR="00C51F8F" w:rsidRPr="000D4BC4" w:rsidRDefault="00C51F8F" w:rsidP="00DF510F">
            <w:pPr>
              <w:widowControl/>
              <w:tabs>
                <w:tab w:val="decimal" w:pos="454"/>
              </w:tabs>
              <w:rPr>
                <w:rFonts w:cs="Arial"/>
                <w:color w:val="000000"/>
                <w:sz w:val="18"/>
                <w:szCs w:val="18"/>
                <w:lang w:eastAsia="en-GB" w:bidi="ar-SA"/>
              </w:rPr>
            </w:pPr>
            <w:r w:rsidRPr="000D4BC4">
              <w:rPr>
                <w:rFonts w:cs="Arial"/>
                <w:color w:val="000000"/>
                <w:sz w:val="18"/>
                <w:szCs w:val="18"/>
                <w:lang w:eastAsia="en-GB" w:bidi="ar-SA"/>
              </w:rPr>
              <w:t>10</w:t>
            </w:r>
          </w:p>
        </w:tc>
      </w:tr>
      <w:tr w:rsidR="00C51F8F" w:rsidRPr="00610078" w14:paraId="395C097C" w14:textId="77777777" w:rsidTr="00221A11">
        <w:trPr>
          <w:cantSplit/>
        </w:trPr>
        <w:tc>
          <w:tcPr>
            <w:tcW w:w="1276" w:type="dxa"/>
            <w:shd w:val="clear" w:color="auto" w:fill="D9D9D9" w:themeFill="background1" w:themeFillShade="D9"/>
            <w:vAlign w:val="center"/>
            <w:hideMark/>
          </w:tcPr>
          <w:p w14:paraId="446D4018" w14:textId="77777777" w:rsidR="00C51F8F" w:rsidRPr="004340AE" w:rsidRDefault="00C51F8F" w:rsidP="00DF510F">
            <w:pPr>
              <w:widowControl/>
              <w:rPr>
                <w:rFonts w:cs="Arial"/>
                <w:color w:val="000000"/>
                <w:sz w:val="18"/>
                <w:szCs w:val="18"/>
                <w:lang w:eastAsia="en-GB" w:bidi="ar-SA"/>
              </w:rPr>
            </w:pPr>
            <w:r w:rsidRPr="004340AE">
              <w:rPr>
                <w:rFonts w:cs="Arial"/>
                <w:color w:val="000000"/>
                <w:sz w:val="18"/>
                <w:szCs w:val="18"/>
                <w:lang w:eastAsia="en-GB" w:bidi="ar-SA"/>
              </w:rPr>
              <w:t>20.2.2.3</w:t>
            </w:r>
          </w:p>
        </w:tc>
        <w:tc>
          <w:tcPr>
            <w:tcW w:w="425" w:type="dxa"/>
            <w:tcBorders>
              <w:right w:val="nil"/>
            </w:tcBorders>
            <w:shd w:val="clear" w:color="auto" w:fill="D9D9D9" w:themeFill="background1" w:themeFillShade="D9"/>
            <w:vAlign w:val="center"/>
          </w:tcPr>
          <w:p w14:paraId="2E40A872" w14:textId="77777777" w:rsidR="00C51F8F" w:rsidRPr="004340AE" w:rsidRDefault="00C51F8F" w:rsidP="00DF510F">
            <w:pPr>
              <w:widowControl/>
              <w:rPr>
                <w:rFonts w:cs="Arial"/>
                <w:color w:val="000000"/>
                <w:sz w:val="18"/>
                <w:szCs w:val="18"/>
                <w:lang w:eastAsia="en-GB" w:bidi="ar-SA"/>
              </w:rPr>
            </w:pPr>
          </w:p>
        </w:tc>
        <w:tc>
          <w:tcPr>
            <w:tcW w:w="4866" w:type="dxa"/>
            <w:tcBorders>
              <w:left w:val="nil"/>
            </w:tcBorders>
            <w:shd w:val="clear" w:color="auto" w:fill="D9D9D9" w:themeFill="background1" w:themeFillShade="D9"/>
            <w:vAlign w:val="center"/>
            <w:hideMark/>
          </w:tcPr>
          <w:p w14:paraId="018ADB16" w14:textId="77777777" w:rsidR="00C51F8F" w:rsidRPr="004340AE" w:rsidRDefault="00C51F8F" w:rsidP="00DF510F">
            <w:pPr>
              <w:widowControl/>
              <w:rPr>
                <w:rFonts w:cs="Arial"/>
                <w:color w:val="000000"/>
                <w:sz w:val="18"/>
                <w:szCs w:val="18"/>
                <w:lang w:eastAsia="en-GB" w:bidi="ar-SA"/>
              </w:rPr>
            </w:pPr>
            <w:r w:rsidRPr="004340AE">
              <w:rPr>
                <w:rFonts w:cs="Arial"/>
                <w:color w:val="000000"/>
                <w:sz w:val="18"/>
                <w:szCs w:val="18"/>
                <w:lang w:eastAsia="en-GB" w:bidi="ar-SA"/>
              </w:rPr>
              <w:t>Cereal products, bars</w:t>
            </w:r>
          </w:p>
        </w:tc>
        <w:tc>
          <w:tcPr>
            <w:tcW w:w="888" w:type="dxa"/>
            <w:shd w:val="clear" w:color="auto" w:fill="auto"/>
            <w:vAlign w:val="center"/>
          </w:tcPr>
          <w:p w14:paraId="47037AE9" w14:textId="77777777" w:rsidR="00C51F8F" w:rsidRPr="000D4BC4" w:rsidRDefault="00C51F8F" w:rsidP="00DF510F">
            <w:pPr>
              <w:widowControl/>
              <w:tabs>
                <w:tab w:val="decimal" w:pos="454"/>
              </w:tabs>
              <w:rPr>
                <w:rFonts w:cs="Arial"/>
                <w:color w:val="000000"/>
                <w:sz w:val="18"/>
                <w:szCs w:val="18"/>
                <w:lang w:eastAsia="en-GB" w:bidi="ar-SA"/>
              </w:rPr>
            </w:pPr>
          </w:p>
        </w:tc>
        <w:tc>
          <w:tcPr>
            <w:tcW w:w="823" w:type="dxa"/>
          </w:tcPr>
          <w:p w14:paraId="6B8F2505" w14:textId="77777777" w:rsidR="00C51F8F" w:rsidRPr="000D4BC4" w:rsidRDefault="00C51F8F" w:rsidP="00DF510F">
            <w:pPr>
              <w:widowControl/>
              <w:tabs>
                <w:tab w:val="decimal" w:pos="454"/>
              </w:tabs>
              <w:rPr>
                <w:rFonts w:cs="Arial"/>
                <w:color w:val="000000"/>
                <w:sz w:val="18"/>
                <w:szCs w:val="18"/>
              </w:rPr>
            </w:pPr>
          </w:p>
        </w:tc>
        <w:tc>
          <w:tcPr>
            <w:tcW w:w="843" w:type="dxa"/>
            <w:shd w:val="clear" w:color="auto" w:fill="D9D9D9" w:themeFill="background1" w:themeFillShade="D9"/>
            <w:vAlign w:val="center"/>
          </w:tcPr>
          <w:p w14:paraId="6D8C1717" w14:textId="77777777" w:rsidR="00C51F8F" w:rsidRPr="000D4BC4" w:rsidRDefault="00C51F8F" w:rsidP="00DF510F">
            <w:pPr>
              <w:widowControl/>
              <w:tabs>
                <w:tab w:val="decimal" w:pos="454"/>
              </w:tabs>
              <w:rPr>
                <w:rFonts w:cs="Arial"/>
                <w:color w:val="000000"/>
                <w:sz w:val="18"/>
                <w:szCs w:val="18"/>
                <w:lang w:eastAsia="en-GB" w:bidi="ar-SA"/>
              </w:rPr>
            </w:pPr>
            <w:r w:rsidRPr="000D4BC4">
              <w:rPr>
                <w:rFonts w:cs="Arial"/>
                <w:color w:val="000000"/>
                <w:sz w:val="18"/>
                <w:szCs w:val="18"/>
              </w:rPr>
              <w:t>15</w:t>
            </w:r>
          </w:p>
        </w:tc>
        <w:tc>
          <w:tcPr>
            <w:tcW w:w="860" w:type="dxa"/>
            <w:shd w:val="clear" w:color="auto" w:fill="auto"/>
            <w:vAlign w:val="center"/>
          </w:tcPr>
          <w:p w14:paraId="325ECB50" w14:textId="77777777" w:rsidR="00C51F8F" w:rsidRPr="000D4BC4" w:rsidRDefault="00C51F8F" w:rsidP="00DF510F">
            <w:pPr>
              <w:widowControl/>
              <w:tabs>
                <w:tab w:val="decimal" w:pos="454"/>
              </w:tabs>
              <w:rPr>
                <w:rFonts w:cs="Arial"/>
                <w:color w:val="000000"/>
                <w:sz w:val="18"/>
                <w:szCs w:val="18"/>
                <w:lang w:eastAsia="en-GB" w:bidi="ar-SA"/>
              </w:rPr>
            </w:pPr>
          </w:p>
        </w:tc>
        <w:tc>
          <w:tcPr>
            <w:tcW w:w="865" w:type="dxa"/>
          </w:tcPr>
          <w:p w14:paraId="79AA7C93" w14:textId="77777777" w:rsidR="00C51F8F" w:rsidRPr="000D4BC4" w:rsidRDefault="00C51F8F" w:rsidP="00DF510F">
            <w:pPr>
              <w:widowControl/>
              <w:tabs>
                <w:tab w:val="decimal" w:pos="454"/>
              </w:tabs>
              <w:rPr>
                <w:rFonts w:cs="Arial"/>
                <w:color w:val="000000"/>
                <w:sz w:val="18"/>
                <w:szCs w:val="18"/>
              </w:rPr>
            </w:pPr>
          </w:p>
        </w:tc>
        <w:tc>
          <w:tcPr>
            <w:tcW w:w="843" w:type="dxa"/>
            <w:shd w:val="clear" w:color="auto" w:fill="D9D9D9" w:themeFill="background1" w:themeFillShade="D9"/>
            <w:vAlign w:val="center"/>
          </w:tcPr>
          <w:p w14:paraId="1C79FC4E" w14:textId="77777777" w:rsidR="00C51F8F" w:rsidRPr="000D4BC4" w:rsidRDefault="00C51F8F" w:rsidP="00DF510F">
            <w:pPr>
              <w:widowControl/>
              <w:tabs>
                <w:tab w:val="decimal" w:pos="454"/>
              </w:tabs>
              <w:rPr>
                <w:rFonts w:cs="Arial"/>
                <w:color w:val="000000"/>
                <w:sz w:val="18"/>
                <w:szCs w:val="18"/>
                <w:lang w:eastAsia="en-GB" w:bidi="ar-SA"/>
              </w:rPr>
            </w:pPr>
            <w:r w:rsidRPr="000D4BC4">
              <w:rPr>
                <w:rFonts w:cs="Arial"/>
                <w:color w:val="000000"/>
                <w:sz w:val="18"/>
                <w:szCs w:val="18"/>
              </w:rPr>
              <w:t>7</w:t>
            </w:r>
          </w:p>
        </w:tc>
        <w:tc>
          <w:tcPr>
            <w:tcW w:w="840" w:type="dxa"/>
            <w:shd w:val="clear" w:color="auto" w:fill="auto"/>
            <w:vAlign w:val="center"/>
          </w:tcPr>
          <w:p w14:paraId="0ED0FB34" w14:textId="77777777" w:rsidR="00C51F8F" w:rsidRPr="000D4BC4" w:rsidRDefault="00C51F8F" w:rsidP="00DF510F">
            <w:pPr>
              <w:widowControl/>
              <w:tabs>
                <w:tab w:val="decimal" w:pos="454"/>
              </w:tabs>
              <w:rPr>
                <w:rFonts w:cs="Arial"/>
                <w:color w:val="000000"/>
                <w:sz w:val="18"/>
                <w:szCs w:val="18"/>
                <w:lang w:eastAsia="en-GB" w:bidi="ar-SA"/>
              </w:rPr>
            </w:pPr>
          </w:p>
        </w:tc>
        <w:tc>
          <w:tcPr>
            <w:tcW w:w="843" w:type="dxa"/>
          </w:tcPr>
          <w:p w14:paraId="0241BC95" w14:textId="77777777" w:rsidR="00C51F8F" w:rsidRPr="000D4BC4" w:rsidRDefault="00C51F8F" w:rsidP="00DF510F">
            <w:pPr>
              <w:widowControl/>
              <w:tabs>
                <w:tab w:val="decimal" w:pos="454"/>
              </w:tabs>
              <w:rPr>
                <w:rFonts w:cs="Arial"/>
                <w:color w:val="000000"/>
                <w:sz w:val="18"/>
                <w:szCs w:val="18"/>
              </w:rPr>
            </w:pPr>
          </w:p>
        </w:tc>
        <w:tc>
          <w:tcPr>
            <w:tcW w:w="860" w:type="dxa"/>
            <w:shd w:val="clear" w:color="auto" w:fill="D9D9D9" w:themeFill="background1" w:themeFillShade="D9"/>
            <w:vAlign w:val="center"/>
          </w:tcPr>
          <w:p w14:paraId="2EEC4692" w14:textId="77777777" w:rsidR="00C51F8F" w:rsidRPr="000D4BC4" w:rsidRDefault="00C51F8F" w:rsidP="00DF510F">
            <w:pPr>
              <w:widowControl/>
              <w:tabs>
                <w:tab w:val="decimal" w:pos="454"/>
              </w:tabs>
              <w:rPr>
                <w:rFonts w:cs="Arial"/>
                <w:color w:val="000000"/>
                <w:sz w:val="18"/>
                <w:szCs w:val="18"/>
                <w:lang w:eastAsia="en-GB" w:bidi="ar-SA"/>
              </w:rPr>
            </w:pPr>
            <w:r w:rsidRPr="000D4BC4">
              <w:rPr>
                <w:rFonts w:cs="Arial"/>
                <w:color w:val="000000"/>
                <w:sz w:val="18"/>
                <w:szCs w:val="18"/>
              </w:rPr>
              <w:t>7</w:t>
            </w:r>
          </w:p>
        </w:tc>
      </w:tr>
    </w:tbl>
    <w:p w14:paraId="500368CF" w14:textId="77777777" w:rsidR="00E907D7" w:rsidRDefault="00E907D7" w:rsidP="00E907D7">
      <w:pPr>
        <w:pStyle w:val="FSBullet"/>
        <w:rPr>
          <w:sz w:val="18"/>
          <w:szCs w:val="18"/>
        </w:rPr>
      </w:pPr>
      <w:r w:rsidRPr="00FC372E">
        <w:rPr>
          <w:sz w:val="18"/>
          <w:szCs w:val="18"/>
        </w:rPr>
        <w:t>* 2002 New Zealand National Children’s Nutrition Survey (2002 NZNNS) 5-14 years; 2008/09 New Zealand Adult Nutrition Survey (2008 NZANS) 15 years and above.</w:t>
      </w:r>
    </w:p>
    <w:p w14:paraId="2DD89FFF" w14:textId="77777777" w:rsidR="00E907D7" w:rsidRDefault="00E907D7" w:rsidP="00E907D7">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ontributing food categories and food groups for New Zealand population groups for the Baseline and Consumer Behaviour scenarios using Day 1 of the 2008 NZ NNS. Major contributors (greater than or equal to 5% contribution) are also listed."/>
      </w:tblPr>
      <w:tblGrid>
        <w:gridCol w:w="1270"/>
        <w:gridCol w:w="756"/>
        <w:gridCol w:w="29"/>
        <w:gridCol w:w="216"/>
        <w:gridCol w:w="2083"/>
        <w:gridCol w:w="807"/>
        <w:gridCol w:w="807"/>
        <w:gridCol w:w="809"/>
        <w:gridCol w:w="812"/>
        <w:gridCol w:w="809"/>
        <w:gridCol w:w="840"/>
        <w:gridCol w:w="809"/>
        <w:gridCol w:w="765"/>
        <w:gridCol w:w="826"/>
        <w:gridCol w:w="846"/>
        <w:gridCol w:w="846"/>
        <w:gridCol w:w="672"/>
      </w:tblGrid>
      <w:tr w:rsidR="00E907D7" w:rsidRPr="00B83846" w14:paraId="1CDD3401" w14:textId="77777777" w:rsidTr="00221A11">
        <w:trPr>
          <w:cantSplit/>
          <w:tblHeader/>
        </w:trPr>
        <w:tc>
          <w:tcPr>
            <w:tcW w:w="14002" w:type="dxa"/>
            <w:gridSpan w:val="17"/>
            <w:tcBorders>
              <w:top w:val="nil"/>
              <w:left w:val="nil"/>
              <w:bottom w:val="nil"/>
              <w:right w:val="nil"/>
            </w:tcBorders>
          </w:tcPr>
          <w:p w14:paraId="6A7EC876" w14:textId="0EA9DDAE" w:rsidR="00E907D7" w:rsidRPr="00B83846" w:rsidRDefault="00E907D7" w:rsidP="00A05C00">
            <w:pPr>
              <w:pStyle w:val="FSTableTitle"/>
            </w:pPr>
            <w:bookmarkStart w:id="113" w:name="_Ref512528943"/>
            <w:r w:rsidRPr="00B83846">
              <w:t>Table A</w:t>
            </w:r>
            <w:r w:rsidR="00A05C00">
              <w:t>3</w:t>
            </w:r>
            <w:r>
              <w:t>.</w:t>
            </w:r>
            <w:r w:rsidR="00BE485E">
              <w:rPr>
                <w:noProof/>
              </w:rPr>
              <w:fldChar w:fldCharType="begin"/>
            </w:r>
            <w:r w:rsidR="00BE485E">
              <w:rPr>
                <w:noProof/>
              </w:rPr>
              <w:instrText xml:space="preserve"> SEQ Table_A \* ARABIC \s 1 </w:instrText>
            </w:r>
            <w:r w:rsidR="00BE485E">
              <w:rPr>
                <w:noProof/>
              </w:rPr>
              <w:fldChar w:fldCharType="separate"/>
            </w:r>
            <w:r w:rsidR="00872715">
              <w:rPr>
                <w:noProof/>
              </w:rPr>
              <w:t>7</w:t>
            </w:r>
            <w:r w:rsidR="00BE485E">
              <w:rPr>
                <w:noProof/>
              </w:rPr>
              <w:fldChar w:fldCharType="end"/>
            </w:r>
            <w:bookmarkEnd w:id="113"/>
            <w:r w:rsidRPr="00B83846">
              <w:t>: Food contributors to L-carnitine dietary intakes for New Zealand, based on Day 1 of the NNSs for specific population groups</w:t>
            </w:r>
            <w:r w:rsidRPr="00710F0F">
              <w:rPr>
                <w:vertAlign w:val="superscript"/>
              </w:rPr>
              <w:t>₼</w:t>
            </w:r>
          </w:p>
        </w:tc>
      </w:tr>
      <w:tr w:rsidR="00A406E7" w:rsidRPr="00B83846" w14:paraId="3EEF9764" w14:textId="77777777" w:rsidTr="00221A11">
        <w:trPr>
          <w:cantSplit/>
          <w:tblHeader/>
        </w:trPr>
        <w:tc>
          <w:tcPr>
            <w:tcW w:w="1270" w:type="dxa"/>
            <w:tcBorders>
              <w:bottom w:val="nil"/>
            </w:tcBorders>
            <w:shd w:val="clear" w:color="auto" w:fill="auto"/>
            <w:vAlign w:val="center"/>
            <w:hideMark/>
          </w:tcPr>
          <w:p w14:paraId="6D20DBBC"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Food Code</w:t>
            </w:r>
          </w:p>
        </w:tc>
        <w:tc>
          <w:tcPr>
            <w:tcW w:w="3084" w:type="dxa"/>
            <w:gridSpan w:val="4"/>
            <w:tcBorders>
              <w:bottom w:val="nil"/>
            </w:tcBorders>
            <w:shd w:val="clear" w:color="auto" w:fill="auto"/>
            <w:vAlign w:val="center"/>
            <w:hideMark/>
          </w:tcPr>
          <w:p w14:paraId="209A9F2E"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Food Group</w:t>
            </w:r>
          </w:p>
        </w:tc>
        <w:tc>
          <w:tcPr>
            <w:tcW w:w="2423" w:type="dxa"/>
            <w:gridSpan w:val="3"/>
            <w:shd w:val="clear" w:color="auto" w:fill="auto"/>
            <w:vAlign w:val="center"/>
            <w:hideMark/>
          </w:tcPr>
          <w:p w14:paraId="66D96021"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Elderly</w:t>
            </w:r>
          </w:p>
        </w:tc>
        <w:tc>
          <w:tcPr>
            <w:tcW w:w="2461" w:type="dxa"/>
            <w:gridSpan w:val="3"/>
            <w:shd w:val="clear" w:color="auto" w:fill="auto"/>
            <w:vAlign w:val="center"/>
            <w:hideMark/>
          </w:tcPr>
          <w:p w14:paraId="3C49C993"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People who consume sports food/ beverages</w:t>
            </w:r>
          </w:p>
        </w:tc>
        <w:tc>
          <w:tcPr>
            <w:tcW w:w="2400" w:type="dxa"/>
            <w:gridSpan w:val="3"/>
            <w:shd w:val="clear" w:color="auto" w:fill="auto"/>
            <w:vAlign w:val="center"/>
            <w:hideMark/>
          </w:tcPr>
          <w:p w14:paraId="75C6E258"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People who consume Wt management/ meal replacement products</w:t>
            </w:r>
          </w:p>
        </w:tc>
        <w:tc>
          <w:tcPr>
            <w:tcW w:w="2364" w:type="dxa"/>
            <w:gridSpan w:val="3"/>
            <w:shd w:val="clear" w:color="auto" w:fill="auto"/>
            <w:vAlign w:val="center"/>
            <w:hideMark/>
          </w:tcPr>
          <w:p w14:paraId="69E630EB"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People who don’t eat meat</w:t>
            </w:r>
          </w:p>
        </w:tc>
      </w:tr>
      <w:tr w:rsidR="00A406E7" w:rsidRPr="00B83846" w14:paraId="0FBEE8D8" w14:textId="77777777" w:rsidTr="00221A11">
        <w:trPr>
          <w:cantSplit/>
          <w:tblHeader/>
        </w:trPr>
        <w:tc>
          <w:tcPr>
            <w:tcW w:w="1270" w:type="dxa"/>
            <w:tcBorders>
              <w:top w:val="nil"/>
              <w:bottom w:val="nil"/>
            </w:tcBorders>
            <w:shd w:val="clear" w:color="auto" w:fill="auto"/>
            <w:vAlign w:val="center"/>
            <w:hideMark/>
          </w:tcPr>
          <w:p w14:paraId="088FA003" w14:textId="77777777" w:rsidR="00E907D7" w:rsidRPr="00B83846" w:rsidRDefault="00E907D7" w:rsidP="00E907D7">
            <w:pPr>
              <w:widowControl/>
              <w:rPr>
                <w:rFonts w:cs="Arial"/>
                <w:b/>
                <w:bCs/>
                <w:color w:val="000000"/>
                <w:sz w:val="18"/>
                <w:szCs w:val="18"/>
                <w:lang w:eastAsia="en-GB" w:bidi="ar-SA"/>
              </w:rPr>
            </w:pPr>
          </w:p>
        </w:tc>
        <w:tc>
          <w:tcPr>
            <w:tcW w:w="756" w:type="dxa"/>
            <w:tcBorders>
              <w:top w:val="nil"/>
              <w:bottom w:val="nil"/>
              <w:right w:val="nil"/>
            </w:tcBorders>
            <w:shd w:val="clear" w:color="auto" w:fill="auto"/>
            <w:vAlign w:val="center"/>
            <w:hideMark/>
          </w:tcPr>
          <w:p w14:paraId="08FA4DEA" w14:textId="77777777" w:rsidR="00E907D7" w:rsidRPr="00B83846" w:rsidRDefault="00E907D7" w:rsidP="00E907D7">
            <w:pPr>
              <w:widowControl/>
              <w:rPr>
                <w:rFonts w:cs="Arial"/>
                <w:b/>
                <w:bCs/>
                <w:color w:val="000000"/>
                <w:sz w:val="18"/>
                <w:szCs w:val="18"/>
                <w:lang w:eastAsia="en-GB" w:bidi="ar-SA"/>
              </w:rPr>
            </w:pPr>
          </w:p>
        </w:tc>
        <w:tc>
          <w:tcPr>
            <w:tcW w:w="245" w:type="dxa"/>
            <w:gridSpan w:val="2"/>
            <w:tcBorders>
              <w:top w:val="nil"/>
              <w:left w:val="nil"/>
              <w:bottom w:val="nil"/>
              <w:right w:val="nil"/>
            </w:tcBorders>
            <w:shd w:val="clear" w:color="auto" w:fill="auto"/>
            <w:vAlign w:val="center"/>
            <w:hideMark/>
          </w:tcPr>
          <w:p w14:paraId="058BADAD" w14:textId="77777777" w:rsidR="00E907D7" w:rsidRPr="00B83846" w:rsidRDefault="00E907D7" w:rsidP="00E907D7">
            <w:pPr>
              <w:widowControl/>
              <w:rPr>
                <w:rFonts w:cs="Arial"/>
                <w:b/>
                <w:bCs/>
                <w:color w:val="000000"/>
                <w:sz w:val="18"/>
                <w:szCs w:val="18"/>
                <w:lang w:eastAsia="en-GB" w:bidi="ar-SA"/>
              </w:rPr>
            </w:pPr>
          </w:p>
        </w:tc>
        <w:tc>
          <w:tcPr>
            <w:tcW w:w="2083" w:type="dxa"/>
            <w:tcBorders>
              <w:top w:val="nil"/>
              <w:left w:val="nil"/>
              <w:bottom w:val="nil"/>
            </w:tcBorders>
          </w:tcPr>
          <w:p w14:paraId="5A928B01" w14:textId="77777777" w:rsidR="00E907D7" w:rsidRPr="00B83846" w:rsidRDefault="00E907D7" w:rsidP="00E907D7">
            <w:pPr>
              <w:widowControl/>
              <w:jc w:val="center"/>
              <w:rPr>
                <w:rFonts w:cs="Arial"/>
                <w:b/>
                <w:bCs/>
                <w:color w:val="000000"/>
                <w:sz w:val="18"/>
                <w:szCs w:val="18"/>
                <w:lang w:eastAsia="en-GB" w:bidi="ar-SA"/>
              </w:rPr>
            </w:pPr>
          </w:p>
        </w:tc>
        <w:tc>
          <w:tcPr>
            <w:tcW w:w="2423" w:type="dxa"/>
            <w:gridSpan w:val="3"/>
            <w:shd w:val="clear" w:color="auto" w:fill="auto"/>
            <w:vAlign w:val="center"/>
            <w:hideMark/>
          </w:tcPr>
          <w:p w14:paraId="42EB984E"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71 years and above</w:t>
            </w:r>
          </w:p>
        </w:tc>
        <w:tc>
          <w:tcPr>
            <w:tcW w:w="2461" w:type="dxa"/>
            <w:gridSpan w:val="3"/>
            <w:shd w:val="clear" w:color="auto" w:fill="auto"/>
            <w:vAlign w:val="center"/>
            <w:hideMark/>
          </w:tcPr>
          <w:p w14:paraId="633EB43D"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15 years and above</w:t>
            </w:r>
          </w:p>
        </w:tc>
        <w:tc>
          <w:tcPr>
            <w:tcW w:w="2400" w:type="dxa"/>
            <w:gridSpan w:val="3"/>
            <w:shd w:val="clear" w:color="auto" w:fill="auto"/>
            <w:vAlign w:val="center"/>
            <w:hideMark/>
          </w:tcPr>
          <w:p w14:paraId="77956212"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15 years and above</w:t>
            </w:r>
          </w:p>
        </w:tc>
        <w:tc>
          <w:tcPr>
            <w:tcW w:w="2364" w:type="dxa"/>
            <w:gridSpan w:val="3"/>
            <w:shd w:val="clear" w:color="auto" w:fill="auto"/>
            <w:vAlign w:val="center"/>
            <w:hideMark/>
          </w:tcPr>
          <w:p w14:paraId="38E04B8B"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15 years and above</w:t>
            </w:r>
          </w:p>
        </w:tc>
      </w:tr>
      <w:tr w:rsidR="00A406E7" w:rsidRPr="00B83846" w14:paraId="45B23C12" w14:textId="77777777" w:rsidTr="00221A11">
        <w:trPr>
          <w:cantSplit/>
          <w:trHeight w:val="1134"/>
          <w:tblHeader/>
        </w:trPr>
        <w:tc>
          <w:tcPr>
            <w:tcW w:w="1270" w:type="dxa"/>
            <w:tcBorders>
              <w:top w:val="nil"/>
            </w:tcBorders>
            <w:shd w:val="clear" w:color="auto" w:fill="auto"/>
            <w:vAlign w:val="center"/>
          </w:tcPr>
          <w:p w14:paraId="29F755AD" w14:textId="77777777" w:rsidR="00E907D7" w:rsidRPr="00B83846" w:rsidRDefault="00E907D7" w:rsidP="00E907D7">
            <w:pPr>
              <w:widowControl/>
              <w:rPr>
                <w:rFonts w:cs="Arial"/>
                <w:b/>
                <w:bCs/>
                <w:color w:val="000000"/>
                <w:sz w:val="18"/>
                <w:szCs w:val="18"/>
                <w:lang w:eastAsia="en-GB" w:bidi="ar-SA"/>
              </w:rPr>
            </w:pPr>
          </w:p>
        </w:tc>
        <w:tc>
          <w:tcPr>
            <w:tcW w:w="3084" w:type="dxa"/>
            <w:gridSpan w:val="4"/>
            <w:tcBorders>
              <w:top w:val="nil"/>
            </w:tcBorders>
            <w:shd w:val="clear" w:color="auto" w:fill="auto"/>
            <w:vAlign w:val="center"/>
          </w:tcPr>
          <w:p w14:paraId="109E91F6" w14:textId="77777777" w:rsidR="00E907D7" w:rsidRPr="00B83846" w:rsidRDefault="00E907D7" w:rsidP="00E907D7">
            <w:pPr>
              <w:widowControl/>
              <w:rPr>
                <w:rFonts w:cs="Arial"/>
                <w:b/>
                <w:bCs/>
                <w:color w:val="000000"/>
                <w:sz w:val="18"/>
                <w:szCs w:val="18"/>
                <w:lang w:eastAsia="en-GB" w:bidi="ar-SA"/>
              </w:rPr>
            </w:pPr>
          </w:p>
        </w:tc>
        <w:tc>
          <w:tcPr>
            <w:tcW w:w="807" w:type="dxa"/>
            <w:shd w:val="clear" w:color="auto" w:fill="auto"/>
            <w:textDirection w:val="btLr"/>
            <w:vAlign w:val="center"/>
            <w:hideMark/>
          </w:tcPr>
          <w:p w14:paraId="2E52421E"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807" w:type="dxa"/>
            <w:textDirection w:val="btLr"/>
          </w:tcPr>
          <w:p w14:paraId="24BF31C5"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809" w:type="dxa"/>
            <w:shd w:val="clear" w:color="auto" w:fill="auto"/>
            <w:textDirection w:val="btLr"/>
            <w:vAlign w:val="center"/>
            <w:hideMark/>
          </w:tcPr>
          <w:p w14:paraId="55E5273C"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812" w:type="dxa"/>
            <w:shd w:val="clear" w:color="auto" w:fill="auto"/>
            <w:textDirection w:val="btLr"/>
            <w:vAlign w:val="center"/>
            <w:hideMark/>
          </w:tcPr>
          <w:p w14:paraId="531F0C60"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809" w:type="dxa"/>
            <w:textDirection w:val="btLr"/>
          </w:tcPr>
          <w:p w14:paraId="692AA812"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840" w:type="dxa"/>
            <w:shd w:val="clear" w:color="auto" w:fill="auto"/>
            <w:textDirection w:val="btLr"/>
            <w:vAlign w:val="center"/>
            <w:hideMark/>
          </w:tcPr>
          <w:p w14:paraId="247EBBA4"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809" w:type="dxa"/>
            <w:tcBorders>
              <w:bottom w:val="single" w:sz="4" w:space="0" w:color="auto"/>
            </w:tcBorders>
            <w:shd w:val="clear" w:color="auto" w:fill="auto"/>
            <w:textDirection w:val="btLr"/>
            <w:vAlign w:val="center"/>
            <w:hideMark/>
          </w:tcPr>
          <w:p w14:paraId="2CF15B25"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765" w:type="dxa"/>
            <w:tcBorders>
              <w:bottom w:val="single" w:sz="4" w:space="0" w:color="auto"/>
            </w:tcBorders>
            <w:textDirection w:val="btLr"/>
          </w:tcPr>
          <w:p w14:paraId="424268BE"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826" w:type="dxa"/>
            <w:tcBorders>
              <w:bottom w:val="single" w:sz="4" w:space="0" w:color="auto"/>
            </w:tcBorders>
            <w:shd w:val="clear" w:color="auto" w:fill="auto"/>
            <w:textDirection w:val="btLr"/>
            <w:vAlign w:val="center"/>
            <w:hideMark/>
          </w:tcPr>
          <w:p w14:paraId="08B913BF"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846" w:type="dxa"/>
            <w:shd w:val="clear" w:color="auto" w:fill="auto"/>
            <w:textDirection w:val="btLr"/>
            <w:vAlign w:val="center"/>
            <w:hideMark/>
          </w:tcPr>
          <w:p w14:paraId="3F374E3E"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846" w:type="dxa"/>
            <w:textDirection w:val="btLr"/>
          </w:tcPr>
          <w:p w14:paraId="47C181C8"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672" w:type="dxa"/>
            <w:shd w:val="clear" w:color="auto" w:fill="auto"/>
            <w:textDirection w:val="btLr"/>
            <w:vAlign w:val="center"/>
            <w:hideMark/>
          </w:tcPr>
          <w:p w14:paraId="659CA6A7"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r>
      <w:tr w:rsidR="00A406E7" w:rsidRPr="00C74A6B" w14:paraId="03DB250F" w14:textId="77777777" w:rsidTr="00221A11">
        <w:trPr>
          <w:cantSplit/>
        </w:trPr>
        <w:tc>
          <w:tcPr>
            <w:tcW w:w="1270" w:type="dxa"/>
            <w:shd w:val="clear" w:color="auto" w:fill="D9D9D9" w:themeFill="background1" w:themeFillShade="D9"/>
            <w:vAlign w:val="center"/>
            <w:hideMark/>
          </w:tcPr>
          <w:p w14:paraId="61B74B7D"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1</w:t>
            </w:r>
          </w:p>
        </w:tc>
        <w:tc>
          <w:tcPr>
            <w:tcW w:w="3084" w:type="dxa"/>
            <w:gridSpan w:val="4"/>
            <w:tcBorders>
              <w:bottom w:val="single" w:sz="4" w:space="0" w:color="auto"/>
            </w:tcBorders>
            <w:shd w:val="clear" w:color="auto" w:fill="D9D9D9" w:themeFill="background1" w:themeFillShade="D9"/>
            <w:vAlign w:val="center"/>
            <w:hideMark/>
          </w:tcPr>
          <w:p w14:paraId="4FD7E927"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Dairy products (excluding butter &amp; butter fats)</w:t>
            </w:r>
          </w:p>
        </w:tc>
        <w:tc>
          <w:tcPr>
            <w:tcW w:w="807" w:type="dxa"/>
            <w:shd w:val="clear" w:color="auto" w:fill="D9D9D9" w:themeFill="background1" w:themeFillShade="D9"/>
            <w:vAlign w:val="center"/>
          </w:tcPr>
          <w:p w14:paraId="291868D7"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17</w:t>
            </w:r>
          </w:p>
        </w:tc>
        <w:tc>
          <w:tcPr>
            <w:tcW w:w="807" w:type="dxa"/>
            <w:tcBorders>
              <w:bottom w:val="single" w:sz="4" w:space="0" w:color="auto"/>
            </w:tcBorders>
            <w:shd w:val="clear" w:color="auto" w:fill="D9D9D9" w:themeFill="background1" w:themeFillShade="D9"/>
            <w:vAlign w:val="center"/>
          </w:tcPr>
          <w:p w14:paraId="287ADA9F"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17</w:t>
            </w:r>
          </w:p>
        </w:tc>
        <w:tc>
          <w:tcPr>
            <w:tcW w:w="809" w:type="dxa"/>
            <w:shd w:val="clear" w:color="auto" w:fill="D9D9D9" w:themeFill="background1" w:themeFillShade="D9"/>
            <w:vAlign w:val="center"/>
          </w:tcPr>
          <w:p w14:paraId="0C21C96D"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29</w:t>
            </w:r>
          </w:p>
        </w:tc>
        <w:tc>
          <w:tcPr>
            <w:tcW w:w="812" w:type="dxa"/>
            <w:tcBorders>
              <w:bottom w:val="single" w:sz="4" w:space="0" w:color="auto"/>
            </w:tcBorders>
            <w:shd w:val="clear" w:color="auto" w:fill="D9D9D9" w:themeFill="background1" w:themeFillShade="D9"/>
            <w:vAlign w:val="center"/>
          </w:tcPr>
          <w:p w14:paraId="07390EE7"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17</w:t>
            </w:r>
          </w:p>
        </w:tc>
        <w:tc>
          <w:tcPr>
            <w:tcW w:w="809" w:type="dxa"/>
            <w:tcBorders>
              <w:bottom w:val="single" w:sz="4" w:space="0" w:color="auto"/>
            </w:tcBorders>
            <w:shd w:val="clear" w:color="auto" w:fill="D9D9D9" w:themeFill="background1" w:themeFillShade="D9"/>
            <w:vAlign w:val="center"/>
          </w:tcPr>
          <w:p w14:paraId="32FD5F27"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8</w:t>
            </w:r>
          </w:p>
        </w:tc>
        <w:tc>
          <w:tcPr>
            <w:tcW w:w="840" w:type="dxa"/>
            <w:shd w:val="clear" w:color="auto" w:fill="D9D9D9" w:themeFill="background1" w:themeFillShade="D9"/>
            <w:vAlign w:val="center"/>
          </w:tcPr>
          <w:p w14:paraId="3D382D97"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15</w:t>
            </w:r>
          </w:p>
        </w:tc>
        <w:tc>
          <w:tcPr>
            <w:tcW w:w="809" w:type="dxa"/>
            <w:tcBorders>
              <w:bottom w:val="single" w:sz="4" w:space="0" w:color="auto"/>
            </w:tcBorders>
            <w:shd w:val="clear" w:color="auto" w:fill="D9D9D9" w:themeFill="background1" w:themeFillShade="D9"/>
            <w:vAlign w:val="center"/>
          </w:tcPr>
          <w:p w14:paraId="2F39CC34"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17</w:t>
            </w:r>
          </w:p>
        </w:tc>
        <w:tc>
          <w:tcPr>
            <w:tcW w:w="765" w:type="dxa"/>
            <w:tcBorders>
              <w:bottom w:val="single" w:sz="4" w:space="0" w:color="auto"/>
            </w:tcBorders>
            <w:shd w:val="clear" w:color="auto" w:fill="D9D9D9" w:themeFill="background1" w:themeFillShade="D9"/>
            <w:vAlign w:val="center"/>
          </w:tcPr>
          <w:p w14:paraId="575BB244"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10</w:t>
            </w:r>
          </w:p>
        </w:tc>
        <w:tc>
          <w:tcPr>
            <w:tcW w:w="826" w:type="dxa"/>
            <w:shd w:val="clear" w:color="auto" w:fill="D9D9D9" w:themeFill="background1" w:themeFillShade="D9"/>
            <w:vAlign w:val="center"/>
          </w:tcPr>
          <w:p w14:paraId="73D2D090"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14</w:t>
            </w:r>
          </w:p>
        </w:tc>
        <w:tc>
          <w:tcPr>
            <w:tcW w:w="846" w:type="dxa"/>
            <w:shd w:val="clear" w:color="auto" w:fill="D9D9D9" w:themeFill="background1" w:themeFillShade="D9"/>
            <w:vAlign w:val="center"/>
          </w:tcPr>
          <w:p w14:paraId="799819CC"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75</w:t>
            </w:r>
          </w:p>
        </w:tc>
        <w:tc>
          <w:tcPr>
            <w:tcW w:w="846" w:type="dxa"/>
            <w:tcBorders>
              <w:bottom w:val="single" w:sz="4" w:space="0" w:color="auto"/>
            </w:tcBorders>
            <w:shd w:val="clear" w:color="auto" w:fill="D9D9D9" w:themeFill="background1" w:themeFillShade="D9"/>
            <w:vAlign w:val="center"/>
          </w:tcPr>
          <w:p w14:paraId="5B22A01E"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75</w:t>
            </w:r>
          </w:p>
        </w:tc>
        <w:tc>
          <w:tcPr>
            <w:tcW w:w="672" w:type="dxa"/>
            <w:shd w:val="clear" w:color="auto" w:fill="D9D9D9" w:themeFill="background1" w:themeFillShade="D9"/>
            <w:vAlign w:val="center"/>
          </w:tcPr>
          <w:p w14:paraId="5A658639"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26</w:t>
            </w:r>
          </w:p>
        </w:tc>
      </w:tr>
      <w:tr w:rsidR="00A406E7" w:rsidRPr="00B83846" w14:paraId="3F84F1C3" w14:textId="77777777" w:rsidTr="00221A11">
        <w:trPr>
          <w:cantSplit/>
        </w:trPr>
        <w:tc>
          <w:tcPr>
            <w:tcW w:w="1270" w:type="dxa"/>
            <w:shd w:val="clear" w:color="auto" w:fill="D9D9D9" w:themeFill="background1" w:themeFillShade="D9"/>
            <w:vAlign w:val="center"/>
            <w:hideMark/>
          </w:tcPr>
          <w:p w14:paraId="7508ACB5"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1</w:t>
            </w:r>
          </w:p>
        </w:tc>
        <w:tc>
          <w:tcPr>
            <w:tcW w:w="756" w:type="dxa"/>
            <w:tcBorders>
              <w:right w:val="nil"/>
            </w:tcBorders>
            <w:shd w:val="clear" w:color="auto" w:fill="D9D9D9" w:themeFill="background1" w:themeFillShade="D9"/>
            <w:vAlign w:val="center"/>
            <w:hideMark/>
          </w:tcPr>
          <w:p w14:paraId="68D68207" w14:textId="77777777" w:rsidR="00C51F8F" w:rsidRPr="00B83846" w:rsidRDefault="00C51F8F" w:rsidP="00221A11">
            <w:pPr>
              <w:widowControl/>
              <w:rPr>
                <w:rFonts w:cs="Arial"/>
                <w:color w:val="000000"/>
                <w:sz w:val="18"/>
                <w:szCs w:val="18"/>
                <w:lang w:eastAsia="en-GB" w:bidi="ar-SA"/>
              </w:rPr>
            </w:pPr>
          </w:p>
        </w:tc>
        <w:tc>
          <w:tcPr>
            <w:tcW w:w="2328" w:type="dxa"/>
            <w:gridSpan w:val="3"/>
            <w:tcBorders>
              <w:left w:val="nil"/>
            </w:tcBorders>
            <w:shd w:val="clear" w:color="auto" w:fill="D9D9D9" w:themeFill="background1" w:themeFillShade="D9"/>
            <w:vAlign w:val="center"/>
            <w:hideMark/>
          </w:tcPr>
          <w:p w14:paraId="08474480" w14:textId="77777777" w:rsidR="00C51F8F" w:rsidRPr="00B83846" w:rsidRDefault="00C51F8F" w:rsidP="00221A11">
            <w:pPr>
              <w:widowControl/>
              <w:rPr>
                <w:rFonts w:cs="Arial"/>
                <w:color w:val="000000"/>
                <w:sz w:val="18"/>
                <w:szCs w:val="18"/>
                <w:lang w:eastAsia="en-GB" w:bidi="ar-SA"/>
              </w:rPr>
            </w:pPr>
            <w:r w:rsidRPr="00B83846">
              <w:rPr>
                <w:rFonts w:cs="Arial"/>
                <w:color w:val="000000"/>
                <w:sz w:val="18"/>
                <w:szCs w:val="18"/>
                <w:lang w:eastAsia="en-GB" w:bidi="ar-SA"/>
              </w:rPr>
              <w:t>Plain milk</w:t>
            </w:r>
          </w:p>
        </w:tc>
        <w:tc>
          <w:tcPr>
            <w:tcW w:w="807" w:type="dxa"/>
            <w:shd w:val="clear" w:color="auto" w:fill="D9D9D9" w:themeFill="background1" w:themeFillShade="D9"/>
            <w:vAlign w:val="center"/>
          </w:tcPr>
          <w:p w14:paraId="311BA2F1" w14:textId="13DF7D54"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13</w:t>
            </w:r>
          </w:p>
        </w:tc>
        <w:tc>
          <w:tcPr>
            <w:tcW w:w="807" w:type="dxa"/>
            <w:shd w:val="clear" w:color="auto" w:fill="D9D9D9" w:themeFill="background1" w:themeFillShade="D9"/>
            <w:vAlign w:val="center"/>
          </w:tcPr>
          <w:p w14:paraId="0C46B31F" w14:textId="77777777" w:rsidR="00C51F8F" w:rsidRPr="00A20B5B" w:rsidRDefault="00C51F8F" w:rsidP="00DF510F">
            <w:pPr>
              <w:widowControl/>
              <w:tabs>
                <w:tab w:val="decimal" w:pos="397"/>
              </w:tabs>
              <w:rPr>
                <w:rFonts w:cs="Arial"/>
                <w:color w:val="000000"/>
                <w:sz w:val="18"/>
                <w:szCs w:val="18"/>
              </w:rPr>
            </w:pPr>
            <w:r w:rsidRPr="005056E3">
              <w:rPr>
                <w:rFonts w:cs="Arial"/>
                <w:color w:val="000000"/>
                <w:sz w:val="18"/>
                <w:szCs w:val="18"/>
              </w:rPr>
              <w:t>13</w:t>
            </w:r>
          </w:p>
        </w:tc>
        <w:tc>
          <w:tcPr>
            <w:tcW w:w="809" w:type="dxa"/>
            <w:shd w:val="clear" w:color="auto" w:fill="auto"/>
            <w:vAlign w:val="center"/>
          </w:tcPr>
          <w:p w14:paraId="0F526F40"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2</w:t>
            </w:r>
          </w:p>
        </w:tc>
        <w:tc>
          <w:tcPr>
            <w:tcW w:w="812" w:type="dxa"/>
            <w:tcBorders>
              <w:right w:val="single" w:sz="4" w:space="0" w:color="auto"/>
            </w:tcBorders>
            <w:shd w:val="clear" w:color="auto" w:fill="D9D9D9" w:themeFill="background1" w:themeFillShade="D9"/>
            <w:vAlign w:val="center"/>
          </w:tcPr>
          <w:p w14:paraId="6882AC8F"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14</w:t>
            </w:r>
          </w:p>
        </w:tc>
        <w:tc>
          <w:tcPr>
            <w:tcW w:w="809" w:type="dxa"/>
            <w:tcBorders>
              <w:left w:val="single" w:sz="4" w:space="0" w:color="auto"/>
            </w:tcBorders>
            <w:shd w:val="clear" w:color="auto" w:fill="D9D9D9" w:themeFill="background1" w:themeFillShade="D9"/>
            <w:vAlign w:val="center"/>
          </w:tcPr>
          <w:p w14:paraId="7822E0A2" w14:textId="77777777" w:rsidR="00C51F8F" w:rsidRPr="00A20B5B" w:rsidRDefault="00C51F8F" w:rsidP="00DF510F">
            <w:pPr>
              <w:widowControl/>
              <w:tabs>
                <w:tab w:val="decimal" w:pos="397"/>
              </w:tabs>
              <w:rPr>
                <w:rFonts w:cs="Arial"/>
                <w:sz w:val="18"/>
                <w:szCs w:val="18"/>
              </w:rPr>
            </w:pPr>
            <w:r w:rsidRPr="005056E3">
              <w:rPr>
                <w:rFonts w:cs="Arial"/>
                <w:sz w:val="18"/>
                <w:szCs w:val="18"/>
              </w:rPr>
              <w:t>7</w:t>
            </w:r>
          </w:p>
        </w:tc>
        <w:tc>
          <w:tcPr>
            <w:tcW w:w="840" w:type="dxa"/>
            <w:shd w:val="clear" w:color="auto" w:fill="auto"/>
            <w:vAlign w:val="center"/>
          </w:tcPr>
          <w:p w14:paraId="6D109C43"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2</w:t>
            </w:r>
          </w:p>
        </w:tc>
        <w:tc>
          <w:tcPr>
            <w:tcW w:w="809" w:type="dxa"/>
            <w:tcBorders>
              <w:right w:val="single" w:sz="4" w:space="0" w:color="auto"/>
            </w:tcBorders>
            <w:shd w:val="clear" w:color="auto" w:fill="D9D9D9" w:themeFill="background1" w:themeFillShade="D9"/>
            <w:vAlign w:val="center"/>
          </w:tcPr>
          <w:p w14:paraId="3147A875"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15</w:t>
            </w:r>
          </w:p>
        </w:tc>
        <w:tc>
          <w:tcPr>
            <w:tcW w:w="765" w:type="dxa"/>
            <w:tcBorders>
              <w:left w:val="single" w:sz="4" w:space="0" w:color="auto"/>
            </w:tcBorders>
            <w:shd w:val="clear" w:color="auto" w:fill="D9D9D9" w:themeFill="background1" w:themeFillShade="D9"/>
            <w:vAlign w:val="center"/>
          </w:tcPr>
          <w:p w14:paraId="25165C8F" w14:textId="77777777" w:rsidR="00C51F8F" w:rsidRPr="00A20B5B" w:rsidRDefault="00C51F8F" w:rsidP="00DF510F">
            <w:pPr>
              <w:widowControl/>
              <w:tabs>
                <w:tab w:val="decimal" w:pos="397"/>
              </w:tabs>
              <w:rPr>
                <w:rFonts w:cs="Arial"/>
                <w:sz w:val="18"/>
                <w:szCs w:val="18"/>
              </w:rPr>
            </w:pPr>
            <w:r w:rsidRPr="005056E3">
              <w:rPr>
                <w:rFonts w:cs="Arial"/>
                <w:sz w:val="18"/>
                <w:szCs w:val="18"/>
              </w:rPr>
              <w:t>8</w:t>
            </w:r>
          </w:p>
        </w:tc>
        <w:tc>
          <w:tcPr>
            <w:tcW w:w="826" w:type="dxa"/>
            <w:tcBorders>
              <w:bottom w:val="single" w:sz="4" w:space="0" w:color="auto"/>
            </w:tcBorders>
            <w:shd w:val="clear" w:color="auto" w:fill="auto"/>
            <w:vAlign w:val="center"/>
          </w:tcPr>
          <w:p w14:paraId="65E99B6F"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2</w:t>
            </w:r>
          </w:p>
        </w:tc>
        <w:tc>
          <w:tcPr>
            <w:tcW w:w="846" w:type="dxa"/>
            <w:shd w:val="clear" w:color="auto" w:fill="D9D9D9" w:themeFill="background1" w:themeFillShade="D9"/>
            <w:vAlign w:val="center"/>
          </w:tcPr>
          <w:p w14:paraId="4DFCE816"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43</w:t>
            </w:r>
          </w:p>
        </w:tc>
        <w:tc>
          <w:tcPr>
            <w:tcW w:w="846" w:type="dxa"/>
            <w:shd w:val="clear" w:color="auto" w:fill="D9D9D9" w:themeFill="background1" w:themeFillShade="D9"/>
            <w:vAlign w:val="center"/>
          </w:tcPr>
          <w:p w14:paraId="7A606A02" w14:textId="77777777" w:rsidR="00C51F8F" w:rsidRPr="00A20B5B" w:rsidRDefault="00C51F8F" w:rsidP="00DF510F">
            <w:pPr>
              <w:widowControl/>
              <w:tabs>
                <w:tab w:val="decimal" w:pos="397"/>
              </w:tabs>
              <w:rPr>
                <w:rFonts w:cs="Arial"/>
                <w:sz w:val="18"/>
                <w:szCs w:val="18"/>
              </w:rPr>
            </w:pPr>
            <w:r w:rsidRPr="005056E3">
              <w:rPr>
                <w:rFonts w:cs="Arial"/>
                <w:sz w:val="18"/>
                <w:szCs w:val="18"/>
              </w:rPr>
              <w:t>43</w:t>
            </w:r>
          </w:p>
        </w:tc>
        <w:tc>
          <w:tcPr>
            <w:tcW w:w="672" w:type="dxa"/>
            <w:shd w:val="clear" w:color="auto" w:fill="auto"/>
            <w:vAlign w:val="center"/>
          </w:tcPr>
          <w:p w14:paraId="5FCFBCA5"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1</w:t>
            </w:r>
          </w:p>
        </w:tc>
      </w:tr>
      <w:tr w:rsidR="00A406E7" w:rsidRPr="00B83846" w14:paraId="4E0EC8F1" w14:textId="77777777" w:rsidTr="00221A11">
        <w:trPr>
          <w:cantSplit/>
        </w:trPr>
        <w:tc>
          <w:tcPr>
            <w:tcW w:w="1270" w:type="dxa"/>
            <w:shd w:val="clear" w:color="auto" w:fill="D9D9D9" w:themeFill="background1" w:themeFillShade="D9"/>
            <w:vAlign w:val="center"/>
            <w:hideMark/>
          </w:tcPr>
          <w:p w14:paraId="6A3BAE4A"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1.1.2</w:t>
            </w:r>
          </w:p>
        </w:tc>
        <w:tc>
          <w:tcPr>
            <w:tcW w:w="756" w:type="dxa"/>
            <w:tcBorders>
              <w:right w:val="nil"/>
            </w:tcBorders>
            <w:shd w:val="clear" w:color="auto" w:fill="D9D9D9" w:themeFill="background1" w:themeFillShade="D9"/>
            <w:vAlign w:val="center"/>
          </w:tcPr>
          <w:p w14:paraId="0E9A2EAB" w14:textId="77777777" w:rsidR="00C51F8F" w:rsidRPr="00B83846" w:rsidRDefault="00C51F8F" w:rsidP="00221A11">
            <w:pPr>
              <w:widowControl/>
              <w:rPr>
                <w:rFonts w:cs="Arial"/>
                <w:color w:val="000000"/>
                <w:sz w:val="18"/>
                <w:szCs w:val="18"/>
                <w:lang w:eastAsia="en-GB" w:bidi="ar-SA"/>
              </w:rPr>
            </w:pPr>
          </w:p>
        </w:tc>
        <w:tc>
          <w:tcPr>
            <w:tcW w:w="2328" w:type="dxa"/>
            <w:gridSpan w:val="3"/>
            <w:tcBorders>
              <w:left w:val="nil"/>
            </w:tcBorders>
            <w:shd w:val="clear" w:color="auto" w:fill="D9D9D9" w:themeFill="background1" w:themeFillShade="D9"/>
            <w:vAlign w:val="center"/>
            <w:hideMark/>
          </w:tcPr>
          <w:p w14:paraId="4BFD0B2C" w14:textId="77777777" w:rsidR="00C51F8F" w:rsidRPr="00B83846" w:rsidRDefault="00C51F8F" w:rsidP="00221A11">
            <w:pPr>
              <w:widowControl/>
              <w:rPr>
                <w:rFonts w:cs="Arial"/>
                <w:color w:val="000000"/>
                <w:sz w:val="18"/>
                <w:szCs w:val="18"/>
                <w:lang w:eastAsia="en-GB" w:bidi="ar-SA"/>
              </w:rPr>
            </w:pPr>
            <w:r w:rsidRPr="00B83846">
              <w:rPr>
                <w:rFonts w:cs="Arial"/>
                <w:color w:val="000000"/>
                <w:sz w:val="18"/>
                <w:szCs w:val="18"/>
                <w:lang w:eastAsia="en-GB" w:bidi="ar-SA"/>
              </w:rPr>
              <w:t>Liquid milk products &amp; flavoured liquid milk</w:t>
            </w:r>
          </w:p>
        </w:tc>
        <w:tc>
          <w:tcPr>
            <w:tcW w:w="807" w:type="dxa"/>
            <w:shd w:val="clear" w:color="auto" w:fill="auto"/>
            <w:vAlign w:val="center"/>
          </w:tcPr>
          <w:p w14:paraId="45A2618A"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1</w:t>
            </w:r>
          </w:p>
        </w:tc>
        <w:tc>
          <w:tcPr>
            <w:tcW w:w="807" w:type="dxa"/>
            <w:vAlign w:val="center"/>
          </w:tcPr>
          <w:p w14:paraId="0184BAB6" w14:textId="77777777" w:rsidR="00C51F8F" w:rsidRPr="00A20B5B" w:rsidRDefault="00C51F8F" w:rsidP="00DF510F">
            <w:pPr>
              <w:widowControl/>
              <w:tabs>
                <w:tab w:val="decimal" w:pos="397"/>
              </w:tabs>
              <w:rPr>
                <w:rFonts w:cs="Arial"/>
                <w:color w:val="000000"/>
                <w:sz w:val="18"/>
                <w:szCs w:val="18"/>
              </w:rPr>
            </w:pPr>
            <w:r w:rsidRPr="005056E3">
              <w:rPr>
                <w:rFonts w:cs="Arial"/>
                <w:color w:val="000000"/>
                <w:sz w:val="18"/>
                <w:szCs w:val="18"/>
              </w:rPr>
              <w:t>1</w:t>
            </w:r>
          </w:p>
        </w:tc>
        <w:tc>
          <w:tcPr>
            <w:tcW w:w="809" w:type="dxa"/>
            <w:shd w:val="clear" w:color="auto" w:fill="D9D9D9" w:themeFill="background1" w:themeFillShade="D9"/>
            <w:vAlign w:val="center"/>
          </w:tcPr>
          <w:p w14:paraId="5BFB87D8"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14</w:t>
            </w:r>
          </w:p>
        </w:tc>
        <w:tc>
          <w:tcPr>
            <w:tcW w:w="812" w:type="dxa"/>
            <w:shd w:val="clear" w:color="auto" w:fill="auto"/>
            <w:vAlign w:val="center"/>
          </w:tcPr>
          <w:p w14:paraId="5B975E5B"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809" w:type="dxa"/>
            <w:vAlign w:val="center"/>
          </w:tcPr>
          <w:p w14:paraId="590BBC26" w14:textId="77777777" w:rsidR="00C51F8F" w:rsidRPr="00A20B5B" w:rsidRDefault="00C51F8F" w:rsidP="00DF510F">
            <w:pPr>
              <w:widowControl/>
              <w:tabs>
                <w:tab w:val="decimal" w:pos="397"/>
              </w:tabs>
              <w:rPr>
                <w:rFonts w:cs="Arial"/>
                <w:sz w:val="18"/>
                <w:szCs w:val="18"/>
              </w:rPr>
            </w:pPr>
            <w:r w:rsidRPr="005056E3">
              <w:rPr>
                <w:rFonts w:cs="Arial"/>
                <w:sz w:val="18"/>
                <w:szCs w:val="18"/>
              </w:rPr>
              <w:t>&lt;1</w:t>
            </w:r>
          </w:p>
        </w:tc>
        <w:tc>
          <w:tcPr>
            <w:tcW w:w="840" w:type="dxa"/>
            <w:shd w:val="clear" w:color="auto" w:fill="D9D9D9" w:themeFill="background1" w:themeFillShade="D9"/>
            <w:vAlign w:val="center"/>
          </w:tcPr>
          <w:p w14:paraId="323DD7A5"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8</w:t>
            </w:r>
          </w:p>
        </w:tc>
        <w:tc>
          <w:tcPr>
            <w:tcW w:w="809" w:type="dxa"/>
            <w:shd w:val="clear" w:color="auto" w:fill="auto"/>
            <w:vAlign w:val="center"/>
          </w:tcPr>
          <w:p w14:paraId="0986A69E"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65" w:type="dxa"/>
            <w:vAlign w:val="center"/>
          </w:tcPr>
          <w:p w14:paraId="0DB2AE6E" w14:textId="77777777" w:rsidR="00C51F8F" w:rsidRPr="00A20B5B" w:rsidRDefault="00C51F8F" w:rsidP="00DF510F">
            <w:pPr>
              <w:widowControl/>
              <w:tabs>
                <w:tab w:val="decimal" w:pos="397"/>
              </w:tabs>
              <w:rPr>
                <w:rFonts w:cs="Arial"/>
                <w:sz w:val="18"/>
                <w:szCs w:val="18"/>
              </w:rPr>
            </w:pPr>
            <w:r w:rsidRPr="005056E3">
              <w:rPr>
                <w:rFonts w:cs="Arial"/>
                <w:sz w:val="18"/>
                <w:szCs w:val="18"/>
              </w:rPr>
              <w:t>&lt;1</w:t>
            </w:r>
          </w:p>
        </w:tc>
        <w:tc>
          <w:tcPr>
            <w:tcW w:w="826" w:type="dxa"/>
            <w:shd w:val="clear" w:color="auto" w:fill="D9D9D9" w:themeFill="background1" w:themeFillShade="D9"/>
            <w:vAlign w:val="center"/>
          </w:tcPr>
          <w:p w14:paraId="1ADA59D3"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8</w:t>
            </w:r>
          </w:p>
        </w:tc>
        <w:tc>
          <w:tcPr>
            <w:tcW w:w="846" w:type="dxa"/>
            <w:shd w:val="clear" w:color="auto" w:fill="D9D9D9" w:themeFill="background1" w:themeFillShade="D9"/>
            <w:vAlign w:val="center"/>
          </w:tcPr>
          <w:p w14:paraId="45B4BF68"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8</w:t>
            </w:r>
          </w:p>
        </w:tc>
        <w:tc>
          <w:tcPr>
            <w:tcW w:w="846" w:type="dxa"/>
            <w:shd w:val="clear" w:color="auto" w:fill="D9D9D9" w:themeFill="background1" w:themeFillShade="D9"/>
            <w:vAlign w:val="center"/>
          </w:tcPr>
          <w:p w14:paraId="421FC4C2" w14:textId="77777777" w:rsidR="00C51F8F" w:rsidRPr="00A20B5B" w:rsidRDefault="00C51F8F" w:rsidP="00DF510F">
            <w:pPr>
              <w:widowControl/>
              <w:tabs>
                <w:tab w:val="decimal" w:pos="397"/>
              </w:tabs>
              <w:rPr>
                <w:rFonts w:cs="Arial"/>
                <w:sz w:val="18"/>
                <w:szCs w:val="18"/>
              </w:rPr>
            </w:pPr>
            <w:r w:rsidRPr="005056E3">
              <w:rPr>
                <w:rFonts w:cs="Arial"/>
                <w:sz w:val="18"/>
                <w:szCs w:val="18"/>
              </w:rPr>
              <w:t>8</w:t>
            </w:r>
          </w:p>
        </w:tc>
        <w:tc>
          <w:tcPr>
            <w:tcW w:w="672" w:type="dxa"/>
            <w:shd w:val="clear" w:color="auto" w:fill="D9D9D9" w:themeFill="background1" w:themeFillShade="D9"/>
            <w:vAlign w:val="center"/>
          </w:tcPr>
          <w:p w14:paraId="57CC275C" w14:textId="5D443BCC"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11</w:t>
            </w:r>
          </w:p>
        </w:tc>
      </w:tr>
      <w:tr w:rsidR="00221A11" w:rsidRPr="00B83846" w14:paraId="2CB051BE" w14:textId="77777777" w:rsidTr="00221A11">
        <w:trPr>
          <w:cantSplit/>
        </w:trPr>
        <w:tc>
          <w:tcPr>
            <w:tcW w:w="1270" w:type="dxa"/>
            <w:shd w:val="clear" w:color="auto" w:fill="D9D9D9" w:themeFill="background1" w:themeFillShade="D9"/>
            <w:vAlign w:val="center"/>
            <w:hideMark/>
          </w:tcPr>
          <w:p w14:paraId="24E1E2AF"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1.2.2</w:t>
            </w:r>
          </w:p>
        </w:tc>
        <w:tc>
          <w:tcPr>
            <w:tcW w:w="756" w:type="dxa"/>
            <w:tcBorders>
              <w:right w:val="nil"/>
            </w:tcBorders>
            <w:shd w:val="clear" w:color="auto" w:fill="D9D9D9" w:themeFill="background1" w:themeFillShade="D9"/>
            <w:vAlign w:val="center"/>
          </w:tcPr>
          <w:p w14:paraId="08C2130B" w14:textId="77777777" w:rsidR="00C51F8F" w:rsidRPr="00B83846" w:rsidRDefault="00C51F8F" w:rsidP="00221A11">
            <w:pPr>
              <w:widowControl/>
              <w:rPr>
                <w:rFonts w:cs="Arial"/>
                <w:color w:val="000000"/>
                <w:sz w:val="18"/>
                <w:szCs w:val="18"/>
                <w:lang w:eastAsia="en-GB" w:bidi="ar-SA"/>
              </w:rPr>
            </w:pPr>
          </w:p>
        </w:tc>
        <w:tc>
          <w:tcPr>
            <w:tcW w:w="2328" w:type="dxa"/>
            <w:gridSpan w:val="3"/>
            <w:tcBorders>
              <w:left w:val="nil"/>
            </w:tcBorders>
            <w:shd w:val="clear" w:color="auto" w:fill="D9D9D9" w:themeFill="background1" w:themeFillShade="D9"/>
            <w:vAlign w:val="center"/>
            <w:hideMark/>
          </w:tcPr>
          <w:p w14:paraId="18613AB5" w14:textId="77777777" w:rsidR="00C51F8F" w:rsidRPr="00B83846" w:rsidRDefault="00C51F8F" w:rsidP="00221A11">
            <w:pPr>
              <w:widowControl/>
              <w:rPr>
                <w:rFonts w:cs="Arial"/>
                <w:color w:val="000000"/>
                <w:sz w:val="18"/>
                <w:szCs w:val="18"/>
                <w:lang w:eastAsia="en-GB" w:bidi="ar-SA"/>
              </w:rPr>
            </w:pPr>
            <w:r w:rsidRPr="00B83846">
              <w:rPr>
                <w:rFonts w:cs="Arial"/>
                <w:color w:val="000000"/>
                <w:sz w:val="18"/>
                <w:szCs w:val="18"/>
                <w:lang w:eastAsia="en-GB" w:bidi="ar-SA"/>
              </w:rPr>
              <w:t>Fermented &amp; rennetted milk products, flavoured</w:t>
            </w:r>
          </w:p>
        </w:tc>
        <w:tc>
          <w:tcPr>
            <w:tcW w:w="807" w:type="dxa"/>
            <w:shd w:val="clear" w:color="auto" w:fill="auto"/>
            <w:vAlign w:val="center"/>
          </w:tcPr>
          <w:p w14:paraId="6515DD96"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1</w:t>
            </w:r>
          </w:p>
        </w:tc>
        <w:tc>
          <w:tcPr>
            <w:tcW w:w="807" w:type="dxa"/>
            <w:vAlign w:val="center"/>
          </w:tcPr>
          <w:p w14:paraId="12E2A74D" w14:textId="77777777" w:rsidR="00C51F8F" w:rsidRPr="00A20B5B" w:rsidRDefault="00C51F8F" w:rsidP="00DF510F">
            <w:pPr>
              <w:widowControl/>
              <w:tabs>
                <w:tab w:val="decimal" w:pos="397"/>
              </w:tabs>
              <w:rPr>
                <w:rFonts w:cs="Arial"/>
                <w:color w:val="000000"/>
                <w:sz w:val="18"/>
                <w:szCs w:val="18"/>
              </w:rPr>
            </w:pPr>
            <w:r w:rsidRPr="005056E3">
              <w:rPr>
                <w:rFonts w:cs="Arial"/>
                <w:color w:val="000000"/>
                <w:sz w:val="18"/>
                <w:szCs w:val="18"/>
              </w:rPr>
              <w:t>1</w:t>
            </w:r>
          </w:p>
        </w:tc>
        <w:tc>
          <w:tcPr>
            <w:tcW w:w="809" w:type="dxa"/>
            <w:shd w:val="clear" w:color="auto" w:fill="D9D9D9" w:themeFill="background1" w:themeFillShade="D9"/>
            <w:vAlign w:val="center"/>
          </w:tcPr>
          <w:p w14:paraId="1C38E65A"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9</w:t>
            </w:r>
          </w:p>
        </w:tc>
        <w:tc>
          <w:tcPr>
            <w:tcW w:w="812" w:type="dxa"/>
            <w:shd w:val="clear" w:color="auto" w:fill="auto"/>
            <w:vAlign w:val="center"/>
          </w:tcPr>
          <w:p w14:paraId="4DE9D912"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809" w:type="dxa"/>
            <w:vAlign w:val="center"/>
          </w:tcPr>
          <w:p w14:paraId="1F39613B" w14:textId="77777777" w:rsidR="00C51F8F" w:rsidRPr="00A20B5B" w:rsidRDefault="00C51F8F" w:rsidP="00DF510F">
            <w:pPr>
              <w:widowControl/>
              <w:tabs>
                <w:tab w:val="decimal" w:pos="397"/>
              </w:tabs>
              <w:rPr>
                <w:rFonts w:cs="Arial"/>
                <w:sz w:val="18"/>
                <w:szCs w:val="18"/>
              </w:rPr>
            </w:pPr>
            <w:r w:rsidRPr="005056E3">
              <w:rPr>
                <w:rFonts w:cs="Arial"/>
                <w:sz w:val="18"/>
                <w:szCs w:val="18"/>
              </w:rPr>
              <w:t>&lt;1</w:t>
            </w:r>
          </w:p>
        </w:tc>
        <w:tc>
          <w:tcPr>
            <w:tcW w:w="840" w:type="dxa"/>
            <w:shd w:val="clear" w:color="auto" w:fill="auto"/>
            <w:vAlign w:val="center"/>
          </w:tcPr>
          <w:p w14:paraId="7753D82A"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3</w:t>
            </w:r>
          </w:p>
        </w:tc>
        <w:tc>
          <w:tcPr>
            <w:tcW w:w="809" w:type="dxa"/>
            <w:shd w:val="clear" w:color="auto" w:fill="auto"/>
            <w:vAlign w:val="center"/>
          </w:tcPr>
          <w:p w14:paraId="6698CB40"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65" w:type="dxa"/>
            <w:vAlign w:val="center"/>
          </w:tcPr>
          <w:p w14:paraId="0EBA4A2B" w14:textId="77777777" w:rsidR="00C51F8F" w:rsidRPr="00A20B5B" w:rsidRDefault="00C51F8F" w:rsidP="00DF510F">
            <w:pPr>
              <w:widowControl/>
              <w:tabs>
                <w:tab w:val="decimal" w:pos="397"/>
              </w:tabs>
              <w:rPr>
                <w:rFonts w:cs="Arial"/>
                <w:sz w:val="18"/>
                <w:szCs w:val="18"/>
              </w:rPr>
            </w:pPr>
            <w:r w:rsidRPr="005056E3">
              <w:rPr>
                <w:rFonts w:cs="Arial"/>
                <w:sz w:val="18"/>
                <w:szCs w:val="18"/>
              </w:rPr>
              <w:t>&lt;1</w:t>
            </w:r>
          </w:p>
        </w:tc>
        <w:tc>
          <w:tcPr>
            <w:tcW w:w="826" w:type="dxa"/>
            <w:shd w:val="clear" w:color="auto" w:fill="auto"/>
            <w:vAlign w:val="center"/>
          </w:tcPr>
          <w:p w14:paraId="1BBC0706"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3</w:t>
            </w:r>
          </w:p>
        </w:tc>
        <w:tc>
          <w:tcPr>
            <w:tcW w:w="846" w:type="dxa"/>
            <w:shd w:val="clear" w:color="auto" w:fill="D9D9D9" w:themeFill="background1" w:themeFillShade="D9"/>
            <w:vAlign w:val="center"/>
          </w:tcPr>
          <w:p w14:paraId="17663BE3"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7</w:t>
            </w:r>
          </w:p>
        </w:tc>
        <w:tc>
          <w:tcPr>
            <w:tcW w:w="846" w:type="dxa"/>
            <w:shd w:val="clear" w:color="auto" w:fill="D9D9D9" w:themeFill="background1" w:themeFillShade="D9"/>
            <w:vAlign w:val="center"/>
          </w:tcPr>
          <w:p w14:paraId="48142A9D" w14:textId="77777777" w:rsidR="00C51F8F" w:rsidRPr="00A20B5B" w:rsidRDefault="00C51F8F" w:rsidP="00DF510F">
            <w:pPr>
              <w:widowControl/>
              <w:tabs>
                <w:tab w:val="decimal" w:pos="397"/>
              </w:tabs>
              <w:rPr>
                <w:rFonts w:cs="Arial"/>
                <w:sz w:val="18"/>
                <w:szCs w:val="18"/>
              </w:rPr>
            </w:pPr>
            <w:r w:rsidRPr="005056E3">
              <w:rPr>
                <w:rFonts w:cs="Arial"/>
                <w:sz w:val="18"/>
                <w:szCs w:val="18"/>
              </w:rPr>
              <w:t>7</w:t>
            </w:r>
          </w:p>
        </w:tc>
        <w:tc>
          <w:tcPr>
            <w:tcW w:w="672" w:type="dxa"/>
            <w:shd w:val="clear" w:color="auto" w:fill="D9D9D9" w:themeFill="background1" w:themeFillShade="D9"/>
            <w:vAlign w:val="center"/>
          </w:tcPr>
          <w:p w14:paraId="48B396E3" w14:textId="15DAF86A"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10</w:t>
            </w:r>
          </w:p>
        </w:tc>
      </w:tr>
      <w:tr w:rsidR="00221A11" w:rsidRPr="00B83846" w14:paraId="34359D6D" w14:textId="77777777" w:rsidTr="00221A11">
        <w:trPr>
          <w:cantSplit/>
        </w:trPr>
        <w:tc>
          <w:tcPr>
            <w:tcW w:w="1270" w:type="dxa"/>
            <w:shd w:val="clear" w:color="auto" w:fill="D9D9D9" w:themeFill="background1" w:themeFillShade="D9"/>
            <w:vAlign w:val="center"/>
            <w:hideMark/>
          </w:tcPr>
          <w:p w14:paraId="1326038B"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1.5.1</w:t>
            </w:r>
          </w:p>
        </w:tc>
        <w:tc>
          <w:tcPr>
            <w:tcW w:w="756" w:type="dxa"/>
            <w:tcBorders>
              <w:right w:val="nil"/>
            </w:tcBorders>
            <w:shd w:val="clear" w:color="auto" w:fill="D9D9D9" w:themeFill="background1" w:themeFillShade="D9"/>
            <w:vAlign w:val="center"/>
          </w:tcPr>
          <w:p w14:paraId="3462ACD6" w14:textId="77777777" w:rsidR="00C51F8F" w:rsidRPr="00B83846" w:rsidRDefault="00C51F8F" w:rsidP="00221A11">
            <w:pPr>
              <w:widowControl/>
              <w:rPr>
                <w:rFonts w:cs="Arial"/>
                <w:color w:val="000000"/>
                <w:sz w:val="18"/>
                <w:szCs w:val="18"/>
                <w:lang w:eastAsia="en-GB" w:bidi="ar-SA"/>
              </w:rPr>
            </w:pPr>
          </w:p>
        </w:tc>
        <w:tc>
          <w:tcPr>
            <w:tcW w:w="2328" w:type="dxa"/>
            <w:gridSpan w:val="3"/>
            <w:tcBorders>
              <w:left w:val="nil"/>
            </w:tcBorders>
            <w:shd w:val="clear" w:color="auto" w:fill="D9D9D9" w:themeFill="background1" w:themeFillShade="D9"/>
            <w:vAlign w:val="center"/>
            <w:hideMark/>
          </w:tcPr>
          <w:p w14:paraId="488D5034" w14:textId="77777777" w:rsidR="00C51F8F" w:rsidRPr="00B83846" w:rsidRDefault="00C51F8F" w:rsidP="00221A11">
            <w:pPr>
              <w:widowControl/>
              <w:rPr>
                <w:rFonts w:cs="Arial"/>
                <w:color w:val="000000"/>
                <w:sz w:val="18"/>
                <w:szCs w:val="18"/>
                <w:lang w:eastAsia="en-GB" w:bidi="ar-SA"/>
              </w:rPr>
            </w:pPr>
            <w:r w:rsidRPr="00B83846">
              <w:rPr>
                <w:rFonts w:cs="Arial"/>
                <w:color w:val="000000"/>
                <w:sz w:val="18"/>
                <w:szCs w:val="18"/>
                <w:lang w:eastAsia="en-GB" w:bidi="ar-SA"/>
              </w:rPr>
              <w:t>Dried milk, milk powder</w:t>
            </w:r>
          </w:p>
        </w:tc>
        <w:tc>
          <w:tcPr>
            <w:tcW w:w="807" w:type="dxa"/>
            <w:shd w:val="clear" w:color="auto" w:fill="auto"/>
            <w:vAlign w:val="center"/>
          </w:tcPr>
          <w:p w14:paraId="704AB926"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807" w:type="dxa"/>
            <w:vAlign w:val="center"/>
          </w:tcPr>
          <w:p w14:paraId="7DADD3F9" w14:textId="77777777" w:rsidR="00C51F8F" w:rsidRPr="00A20B5B" w:rsidRDefault="00C51F8F" w:rsidP="00DF510F">
            <w:pPr>
              <w:widowControl/>
              <w:tabs>
                <w:tab w:val="decimal" w:pos="397"/>
              </w:tabs>
              <w:rPr>
                <w:rFonts w:cs="Arial"/>
                <w:color w:val="000000"/>
                <w:sz w:val="18"/>
                <w:szCs w:val="18"/>
              </w:rPr>
            </w:pPr>
            <w:r w:rsidRPr="005056E3">
              <w:rPr>
                <w:rFonts w:cs="Arial"/>
                <w:color w:val="000000"/>
                <w:sz w:val="18"/>
                <w:szCs w:val="18"/>
              </w:rPr>
              <w:t>&lt;1</w:t>
            </w:r>
          </w:p>
        </w:tc>
        <w:tc>
          <w:tcPr>
            <w:tcW w:w="809" w:type="dxa"/>
            <w:shd w:val="clear" w:color="auto" w:fill="auto"/>
            <w:vAlign w:val="center"/>
          </w:tcPr>
          <w:p w14:paraId="10A9EA53"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812" w:type="dxa"/>
            <w:shd w:val="clear" w:color="auto" w:fill="auto"/>
            <w:vAlign w:val="center"/>
          </w:tcPr>
          <w:p w14:paraId="618F3729"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809" w:type="dxa"/>
            <w:vAlign w:val="center"/>
          </w:tcPr>
          <w:p w14:paraId="4E4404E6" w14:textId="77777777" w:rsidR="00C51F8F" w:rsidRPr="00A20B5B" w:rsidRDefault="00C51F8F" w:rsidP="00DF510F">
            <w:pPr>
              <w:widowControl/>
              <w:tabs>
                <w:tab w:val="decimal" w:pos="397"/>
              </w:tabs>
              <w:rPr>
                <w:rFonts w:cs="Arial"/>
                <w:sz w:val="18"/>
                <w:szCs w:val="18"/>
              </w:rPr>
            </w:pPr>
            <w:r w:rsidRPr="005056E3">
              <w:rPr>
                <w:rFonts w:cs="Arial"/>
                <w:sz w:val="18"/>
                <w:szCs w:val="18"/>
              </w:rPr>
              <w:t>&lt;1</w:t>
            </w:r>
          </w:p>
        </w:tc>
        <w:tc>
          <w:tcPr>
            <w:tcW w:w="840" w:type="dxa"/>
            <w:shd w:val="clear" w:color="auto" w:fill="auto"/>
            <w:vAlign w:val="center"/>
          </w:tcPr>
          <w:p w14:paraId="227CBFB4"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809" w:type="dxa"/>
            <w:shd w:val="clear" w:color="auto" w:fill="auto"/>
            <w:vAlign w:val="center"/>
          </w:tcPr>
          <w:p w14:paraId="26D30F32"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65" w:type="dxa"/>
            <w:vAlign w:val="center"/>
          </w:tcPr>
          <w:p w14:paraId="09FAAA7D" w14:textId="77777777" w:rsidR="00C51F8F" w:rsidRPr="00A20B5B" w:rsidRDefault="00C51F8F" w:rsidP="00DF510F">
            <w:pPr>
              <w:widowControl/>
              <w:tabs>
                <w:tab w:val="decimal" w:pos="397"/>
              </w:tabs>
              <w:rPr>
                <w:rFonts w:cs="Arial"/>
                <w:sz w:val="18"/>
                <w:szCs w:val="18"/>
              </w:rPr>
            </w:pPr>
            <w:r w:rsidRPr="005056E3">
              <w:rPr>
                <w:rFonts w:cs="Arial"/>
                <w:sz w:val="18"/>
                <w:szCs w:val="18"/>
              </w:rPr>
              <w:t>&lt;1</w:t>
            </w:r>
          </w:p>
        </w:tc>
        <w:tc>
          <w:tcPr>
            <w:tcW w:w="826" w:type="dxa"/>
            <w:shd w:val="clear" w:color="auto" w:fill="auto"/>
            <w:vAlign w:val="center"/>
          </w:tcPr>
          <w:p w14:paraId="706B2F29"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846" w:type="dxa"/>
            <w:shd w:val="clear" w:color="auto" w:fill="D9D9D9" w:themeFill="background1" w:themeFillShade="D9"/>
            <w:vAlign w:val="center"/>
          </w:tcPr>
          <w:p w14:paraId="5AFD291C"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10</w:t>
            </w:r>
          </w:p>
        </w:tc>
        <w:tc>
          <w:tcPr>
            <w:tcW w:w="846" w:type="dxa"/>
            <w:shd w:val="clear" w:color="auto" w:fill="D9D9D9" w:themeFill="background1" w:themeFillShade="D9"/>
            <w:vAlign w:val="center"/>
          </w:tcPr>
          <w:p w14:paraId="3D1F02B2" w14:textId="77777777" w:rsidR="00C51F8F" w:rsidRPr="00A20B5B" w:rsidRDefault="00C51F8F" w:rsidP="00DF510F">
            <w:pPr>
              <w:widowControl/>
              <w:tabs>
                <w:tab w:val="decimal" w:pos="397"/>
              </w:tabs>
              <w:rPr>
                <w:rFonts w:cs="Arial"/>
                <w:sz w:val="18"/>
                <w:szCs w:val="18"/>
              </w:rPr>
            </w:pPr>
            <w:r w:rsidRPr="005056E3">
              <w:rPr>
                <w:rFonts w:cs="Arial"/>
                <w:sz w:val="18"/>
                <w:szCs w:val="18"/>
              </w:rPr>
              <w:t>10</w:t>
            </w:r>
          </w:p>
        </w:tc>
        <w:tc>
          <w:tcPr>
            <w:tcW w:w="672" w:type="dxa"/>
            <w:shd w:val="clear" w:color="auto" w:fill="auto"/>
            <w:vAlign w:val="center"/>
          </w:tcPr>
          <w:p w14:paraId="69B7333D" w14:textId="27A6DC9F"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&lt;1</w:t>
            </w:r>
          </w:p>
        </w:tc>
      </w:tr>
      <w:tr w:rsidR="00A406E7" w:rsidRPr="00C74A6B" w14:paraId="7DA3FBFB" w14:textId="77777777" w:rsidTr="00221A11">
        <w:trPr>
          <w:cantSplit/>
        </w:trPr>
        <w:tc>
          <w:tcPr>
            <w:tcW w:w="1270" w:type="dxa"/>
            <w:shd w:val="clear" w:color="auto" w:fill="auto"/>
            <w:vAlign w:val="center"/>
            <w:hideMark/>
          </w:tcPr>
          <w:p w14:paraId="02D34881"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2</w:t>
            </w:r>
          </w:p>
        </w:tc>
        <w:tc>
          <w:tcPr>
            <w:tcW w:w="3084" w:type="dxa"/>
            <w:gridSpan w:val="4"/>
            <w:tcBorders>
              <w:bottom w:val="single" w:sz="4" w:space="0" w:color="auto"/>
            </w:tcBorders>
            <w:shd w:val="clear" w:color="auto" w:fill="auto"/>
            <w:vAlign w:val="center"/>
          </w:tcPr>
          <w:p w14:paraId="7E911DC1"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Edible oils &amp; oil emulsions</w:t>
            </w:r>
          </w:p>
        </w:tc>
        <w:tc>
          <w:tcPr>
            <w:tcW w:w="807" w:type="dxa"/>
            <w:shd w:val="clear" w:color="auto" w:fill="auto"/>
            <w:vAlign w:val="center"/>
          </w:tcPr>
          <w:p w14:paraId="202F6B5B" w14:textId="77777777" w:rsidR="00E907D7" w:rsidRPr="00C74A6B" w:rsidRDefault="00E907D7" w:rsidP="00E907D7">
            <w:pPr>
              <w:widowControl/>
              <w:tabs>
                <w:tab w:val="decimal" w:pos="397"/>
              </w:tabs>
              <w:rPr>
                <w:rFonts w:cs="Arial"/>
                <w:bCs/>
                <w:sz w:val="18"/>
                <w:szCs w:val="18"/>
                <w:lang w:eastAsia="en-GB" w:bidi="ar-SA"/>
              </w:rPr>
            </w:pPr>
            <w:r w:rsidRPr="00C74A6B">
              <w:rPr>
                <w:rFonts w:cs="Arial"/>
                <w:bCs/>
                <w:color w:val="000000"/>
                <w:sz w:val="18"/>
                <w:szCs w:val="22"/>
              </w:rPr>
              <w:t>&lt;1</w:t>
            </w:r>
          </w:p>
        </w:tc>
        <w:tc>
          <w:tcPr>
            <w:tcW w:w="807" w:type="dxa"/>
            <w:vAlign w:val="center"/>
          </w:tcPr>
          <w:p w14:paraId="56363E60" w14:textId="77777777" w:rsidR="00E907D7" w:rsidRPr="00C74A6B" w:rsidRDefault="00E907D7" w:rsidP="00E907D7">
            <w:pPr>
              <w:widowControl/>
              <w:tabs>
                <w:tab w:val="decimal" w:pos="397"/>
              </w:tabs>
              <w:rPr>
                <w:rFonts w:cs="Arial"/>
                <w:bCs/>
                <w:color w:val="000000"/>
                <w:sz w:val="18"/>
                <w:szCs w:val="22"/>
              </w:rPr>
            </w:pPr>
            <w:r w:rsidRPr="00C74A6B">
              <w:rPr>
                <w:rFonts w:cs="Arial"/>
                <w:bCs/>
                <w:color w:val="000000"/>
                <w:sz w:val="18"/>
                <w:szCs w:val="22"/>
              </w:rPr>
              <w:t>&lt;1</w:t>
            </w:r>
          </w:p>
        </w:tc>
        <w:tc>
          <w:tcPr>
            <w:tcW w:w="809" w:type="dxa"/>
            <w:shd w:val="clear" w:color="auto" w:fill="auto"/>
            <w:vAlign w:val="center"/>
          </w:tcPr>
          <w:p w14:paraId="7A03CB2D" w14:textId="77777777" w:rsidR="00E907D7" w:rsidRPr="00C74A6B" w:rsidRDefault="00E907D7" w:rsidP="00E907D7">
            <w:pPr>
              <w:widowControl/>
              <w:tabs>
                <w:tab w:val="decimal" w:pos="397"/>
              </w:tabs>
              <w:rPr>
                <w:rFonts w:cs="Arial"/>
                <w:bCs/>
                <w:sz w:val="18"/>
                <w:szCs w:val="18"/>
                <w:lang w:eastAsia="en-GB" w:bidi="ar-SA"/>
              </w:rPr>
            </w:pPr>
            <w:r w:rsidRPr="00C74A6B">
              <w:rPr>
                <w:rFonts w:cs="Arial"/>
                <w:bCs/>
                <w:color w:val="000000"/>
                <w:sz w:val="18"/>
                <w:szCs w:val="22"/>
              </w:rPr>
              <w:t>&lt;1</w:t>
            </w:r>
          </w:p>
        </w:tc>
        <w:tc>
          <w:tcPr>
            <w:tcW w:w="812" w:type="dxa"/>
            <w:shd w:val="clear" w:color="auto" w:fill="auto"/>
            <w:vAlign w:val="center"/>
          </w:tcPr>
          <w:p w14:paraId="7E968989"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22"/>
              </w:rPr>
              <w:t>&lt;1</w:t>
            </w:r>
          </w:p>
        </w:tc>
        <w:tc>
          <w:tcPr>
            <w:tcW w:w="809" w:type="dxa"/>
            <w:vAlign w:val="center"/>
          </w:tcPr>
          <w:p w14:paraId="70274746" w14:textId="77777777" w:rsidR="00E907D7" w:rsidRPr="00C74A6B" w:rsidRDefault="00E907D7" w:rsidP="00E907D7">
            <w:pPr>
              <w:widowControl/>
              <w:tabs>
                <w:tab w:val="decimal" w:pos="397"/>
              </w:tabs>
              <w:rPr>
                <w:rFonts w:cs="Arial"/>
                <w:bCs/>
                <w:color w:val="000000"/>
                <w:sz w:val="18"/>
                <w:szCs w:val="22"/>
              </w:rPr>
            </w:pPr>
            <w:r w:rsidRPr="00C74A6B">
              <w:rPr>
                <w:rFonts w:cs="Arial"/>
                <w:bCs/>
                <w:color w:val="000000"/>
                <w:sz w:val="18"/>
                <w:szCs w:val="22"/>
              </w:rPr>
              <w:t>&lt;1</w:t>
            </w:r>
          </w:p>
        </w:tc>
        <w:tc>
          <w:tcPr>
            <w:tcW w:w="840" w:type="dxa"/>
            <w:shd w:val="clear" w:color="auto" w:fill="auto"/>
            <w:vAlign w:val="center"/>
          </w:tcPr>
          <w:p w14:paraId="2DE64809"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22"/>
              </w:rPr>
              <w:t>&lt;1</w:t>
            </w:r>
          </w:p>
        </w:tc>
        <w:tc>
          <w:tcPr>
            <w:tcW w:w="809" w:type="dxa"/>
            <w:shd w:val="clear" w:color="auto" w:fill="auto"/>
            <w:vAlign w:val="center"/>
          </w:tcPr>
          <w:p w14:paraId="766641A1"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22"/>
              </w:rPr>
              <w:t>&lt;1</w:t>
            </w:r>
          </w:p>
        </w:tc>
        <w:tc>
          <w:tcPr>
            <w:tcW w:w="765" w:type="dxa"/>
            <w:vAlign w:val="center"/>
          </w:tcPr>
          <w:p w14:paraId="4BF0BED0" w14:textId="77777777" w:rsidR="00E907D7" w:rsidRPr="00C74A6B" w:rsidRDefault="00E907D7" w:rsidP="00E907D7">
            <w:pPr>
              <w:widowControl/>
              <w:tabs>
                <w:tab w:val="decimal" w:pos="397"/>
              </w:tabs>
              <w:rPr>
                <w:rFonts w:cs="Arial"/>
                <w:bCs/>
                <w:color w:val="000000"/>
                <w:sz w:val="18"/>
                <w:szCs w:val="22"/>
              </w:rPr>
            </w:pPr>
            <w:r w:rsidRPr="00C74A6B">
              <w:rPr>
                <w:rFonts w:cs="Arial"/>
                <w:bCs/>
                <w:color w:val="000000"/>
                <w:sz w:val="18"/>
                <w:szCs w:val="22"/>
              </w:rPr>
              <w:t>&lt;1</w:t>
            </w:r>
          </w:p>
        </w:tc>
        <w:tc>
          <w:tcPr>
            <w:tcW w:w="826" w:type="dxa"/>
            <w:shd w:val="clear" w:color="auto" w:fill="auto"/>
            <w:vAlign w:val="center"/>
          </w:tcPr>
          <w:p w14:paraId="6DD51F2E"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22"/>
              </w:rPr>
              <w:t>&lt;1</w:t>
            </w:r>
          </w:p>
        </w:tc>
        <w:tc>
          <w:tcPr>
            <w:tcW w:w="846" w:type="dxa"/>
            <w:shd w:val="clear" w:color="auto" w:fill="auto"/>
            <w:vAlign w:val="center"/>
          </w:tcPr>
          <w:p w14:paraId="241A1DF3"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22"/>
              </w:rPr>
              <w:t>&lt;1</w:t>
            </w:r>
          </w:p>
        </w:tc>
        <w:tc>
          <w:tcPr>
            <w:tcW w:w="846" w:type="dxa"/>
            <w:vAlign w:val="center"/>
          </w:tcPr>
          <w:p w14:paraId="18FBBF08" w14:textId="77777777" w:rsidR="00E907D7" w:rsidRPr="00C74A6B" w:rsidRDefault="00E907D7" w:rsidP="00E907D7">
            <w:pPr>
              <w:widowControl/>
              <w:tabs>
                <w:tab w:val="decimal" w:pos="397"/>
              </w:tabs>
              <w:rPr>
                <w:rFonts w:cs="Arial"/>
                <w:bCs/>
                <w:color w:val="000000"/>
                <w:sz w:val="18"/>
                <w:szCs w:val="22"/>
              </w:rPr>
            </w:pPr>
            <w:r w:rsidRPr="00C74A6B">
              <w:rPr>
                <w:rFonts w:cs="Arial"/>
                <w:bCs/>
                <w:color w:val="000000"/>
                <w:sz w:val="18"/>
                <w:szCs w:val="22"/>
              </w:rPr>
              <w:t>&lt;1</w:t>
            </w:r>
          </w:p>
        </w:tc>
        <w:tc>
          <w:tcPr>
            <w:tcW w:w="672" w:type="dxa"/>
            <w:shd w:val="clear" w:color="auto" w:fill="auto"/>
            <w:vAlign w:val="center"/>
          </w:tcPr>
          <w:p w14:paraId="0CDC61E3"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22"/>
              </w:rPr>
              <w:t>&lt;1</w:t>
            </w:r>
          </w:p>
        </w:tc>
      </w:tr>
      <w:tr w:rsidR="00A406E7" w:rsidRPr="00C74A6B" w14:paraId="4C926780" w14:textId="77777777" w:rsidTr="00221A11">
        <w:trPr>
          <w:cantSplit/>
        </w:trPr>
        <w:tc>
          <w:tcPr>
            <w:tcW w:w="1270" w:type="dxa"/>
            <w:shd w:val="clear" w:color="auto" w:fill="auto"/>
            <w:vAlign w:val="center"/>
            <w:hideMark/>
          </w:tcPr>
          <w:p w14:paraId="1DE2CC60" w14:textId="77777777" w:rsidR="00E907D7" w:rsidRPr="00C74A6B" w:rsidRDefault="00E907D7" w:rsidP="00E907D7">
            <w:pPr>
              <w:keepNext/>
              <w:keepLines/>
              <w:widowControl/>
              <w:rPr>
                <w:rFonts w:cs="Arial"/>
                <w:bCs/>
                <w:color w:val="000000"/>
                <w:sz w:val="18"/>
                <w:szCs w:val="18"/>
                <w:lang w:eastAsia="en-GB" w:bidi="ar-SA"/>
              </w:rPr>
            </w:pPr>
            <w:r w:rsidRPr="00C74A6B">
              <w:rPr>
                <w:rFonts w:cs="Arial"/>
                <w:bCs/>
                <w:color w:val="000000"/>
                <w:sz w:val="18"/>
                <w:szCs w:val="18"/>
                <w:lang w:eastAsia="en-GB" w:bidi="ar-SA"/>
              </w:rPr>
              <w:t>3</w:t>
            </w:r>
          </w:p>
        </w:tc>
        <w:tc>
          <w:tcPr>
            <w:tcW w:w="3084" w:type="dxa"/>
            <w:gridSpan w:val="4"/>
            <w:shd w:val="clear" w:color="auto" w:fill="auto"/>
            <w:vAlign w:val="center"/>
          </w:tcPr>
          <w:p w14:paraId="20C73E57" w14:textId="77777777" w:rsidR="00E907D7" w:rsidRPr="00C74A6B" w:rsidRDefault="00E907D7" w:rsidP="00E907D7">
            <w:pPr>
              <w:keepNext/>
              <w:keepLines/>
              <w:widowControl/>
              <w:rPr>
                <w:rFonts w:cs="Arial"/>
                <w:bCs/>
                <w:color w:val="000000"/>
                <w:sz w:val="18"/>
                <w:szCs w:val="18"/>
                <w:lang w:eastAsia="en-GB" w:bidi="ar-SA"/>
              </w:rPr>
            </w:pPr>
            <w:r w:rsidRPr="00C74A6B">
              <w:rPr>
                <w:rFonts w:cs="Arial"/>
                <w:bCs/>
                <w:color w:val="000000"/>
                <w:sz w:val="18"/>
                <w:szCs w:val="18"/>
                <w:lang w:eastAsia="en-GB" w:bidi="ar-SA"/>
              </w:rPr>
              <w:t>All Ice cream &amp; edible ices</w:t>
            </w:r>
          </w:p>
        </w:tc>
        <w:tc>
          <w:tcPr>
            <w:tcW w:w="807" w:type="dxa"/>
            <w:shd w:val="clear" w:color="auto" w:fill="auto"/>
            <w:vAlign w:val="center"/>
          </w:tcPr>
          <w:p w14:paraId="16AF63AE" w14:textId="77777777" w:rsidR="00E907D7" w:rsidRPr="00C74A6B" w:rsidRDefault="00E907D7" w:rsidP="00E907D7">
            <w:pPr>
              <w:keepNext/>
              <w:keepLines/>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07" w:type="dxa"/>
            <w:vAlign w:val="center"/>
          </w:tcPr>
          <w:p w14:paraId="618FB60B" w14:textId="77777777" w:rsidR="00E907D7" w:rsidRPr="00C74A6B" w:rsidRDefault="00E907D7" w:rsidP="00E907D7">
            <w:pPr>
              <w:keepNext/>
              <w:keepLines/>
              <w:widowControl/>
              <w:tabs>
                <w:tab w:val="decimal" w:pos="397"/>
              </w:tabs>
              <w:rPr>
                <w:rFonts w:cs="Arial"/>
                <w:bCs/>
                <w:color w:val="000000"/>
                <w:sz w:val="18"/>
                <w:szCs w:val="18"/>
              </w:rPr>
            </w:pPr>
            <w:r w:rsidRPr="00C74A6B">
              <w:rPr>
                <w:rFonts w:cs="Arial"/>
                <w:bCs/>
                <w:color w:val="000000"/>
                <w:sz w:val="18"/>
                <w:szCs w:val="18"/>
              </w:rPr>
              <w:t>&lt;1</w:t>
            </w:r>
          </w:p>
        </w:tc>
        <w:tc>
          <w:tcPr>
            <w:tcW w:w="809" w:type="dxa"/>
            <w:shd w:val="clear" w:color="auto" w:fill="auto"/>
            <w:vAlign w:val="center"/>
          </w:tcPr>
          <w:p w14:paraId="6147A7CD" w14:textId="77777777" w:rsidR="00E907D7" w:rsidRPr="00C74A6B" w:rsidRDefault="00E907D7" w:rsidP="00E907D7">
            <w:pPr>
              <w:keepNext/>
              <w:keepLines/>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12" w:type="dxa"/>
            <w:shd w:val="clear" w:color="auto" w:fill="auto"/>
            <w:vAlign w:val="center"/>
          </w:tcPr>
          <w:p w14:paraId="14FD3B37" w14:textId="77777777" w:rsidR="00E907D7" w:rsidRPr="00C74A6B" w:rsidRDefault="00E907D7" w:rsidP="00E907D7">
            <w:pPr>
              <w:keepNext/>
              <w:keepLines/>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09" w:type="dxa"/>
            <w:vAlign w:val="center"/>
          </w:tcPr>
          <w:p w14:paraId="51D57B5B" w14:textId="77777777" w:rsidR="00E907D7" w:rsidRPr="00C74A6B" w:rsidRDefault="00E907D7" w:rsidP="00E907D7">
            <w:pPr>
              <w:keepNext/>
              <w:keepLines/>
              <w:widowControl/>
              <w:tabs>
                <w:tab w:val="decimal" w:pos="397"/>
              </w:tabs>
              <w:rPr>
                <w:rFonts w:cs="Arial"/>
                <w:bCs/>
                <w:color w:val="000000"/>
                <w:sz w:val="18"/>
                <w:szCs w:val="18"/>
              </w:rPr>
            </w:pPr>
            <w:r w:rsidRPr="00C74A6B">
              <w:rPr>
                <w:rFonts w:cs="Arial"/>
                <w:bCs/>
                <w:color w:val="000000"/>
                <w:sz w:val="18"/>
                <w:szCs w:val="18"/>
              </w:rPr>
              <w:t>&lt;1</w:t>
            </w:r>
          </w:p>
        </w:tc>
        <w:tc>
          <w:tcPr>
            <w:tcW w:w="840" w:type="dxa"/>
            <w:shd w:val="clear" w:color="auto" w:fill="auto"/>
            <w:vAlign w:val="center"/>
          </w:tcPr>
          <w:p w14:paraId="05EA2BC0" w14:textId="77777777" w:rsidR="00E907D7" w:rsidRPr="00C74A6B" w:rsidRDefault="00E907D7" w:rsidP="00E907D7">
            <w:pPr>
              <w:keepNext/>
              <w:keepLines/>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09" w:type="dxa"/>
            <w:shd w:val="clear" w:color="auto" w:fill="auto"/>
            <w:vAlign w:val="center"/>
          </w:tcPr>
          <w:p w14:paraId="039D287D" w14:textId="77777777" w:rsidR="00E907D7" w:rsidRPr="00C74A6B" w:rsidRDefault="00E907D7" w:rsidP="00E907D7">
            <w:pPr>
              <w:keepNext/>
              <w:keepLines/>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765" w:type="dxa"/>
            <w:vAlign w:val="center"/>
          </w:tcPr>
          <w:p w14:paraId="3F26FEAE" w14:textId="77777777" w:rsidR="00E907D7" w:rsidRPr="00C74A6B" w:rsidRDefault="00E907D7" w:rsidP="00E907D7">
            <w:pPr>
              <w:keepNext/>
              <w:keepLines/>
              <w:widowControl/>
              <w:tabs>
                <w:tab w:val="decimal" w:pos="397"/>
              </w:tabs>
              <w:rPr>
                <w:rFonts w:cs="Arial"/>
                <w:bCs/>
                <w:color w:val="000000"/>
                <w:sz w:val="18"/>
                <w:szCs w:val="18"/>
              </w:rPr>
            </w:pPr>
            <w:r w:rsidRPr="00C74A6B">
              <w:rPr>
                <w:rFonts w:cs="Arial"/>
                <w:bCs/>
                <w:color w:val="000000"/>
                <w:sz w:val="18"/>
                <w:szCs w:val="18"/>
              </w:rPr>
              <w:t>&lt;1</w:t>
            </w:r>
          </w:p>
        </w:tc>
        <w:tc>
          <w:tcPr>
            <w:tcW w:w="826" w:type="dxa"/>
            <w:shd w:val="clear" w:color="auto" w:fill="auto"/>
            <w:vAlign w:val="center"/>
          </w:tcPr>
          <w:p w14:paraId="560526B0" w14:textId="77777777" w:rsidR="00E907D7" w:rsidRPr="00C74A6B" w:rsidRDefault="00E907D7" w:rsidP="00E907D7">
            <w:pPr>
              <w:keepNext/>
              <w:keepLines/>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46" w:type="dxa"/>
            <w:shd w:val="clear" w:color="auto" w:fill="auto"/>
            <w:vAlign w:val="center"/>
          </w:tcPr>
          <w:p w14:paraId="1EAA00BC" w14:textId="77777777" w:rsidR="00E907D7" w:rsidRPr="00C74A6B" w:rsidRDefault="00E907D7" w:rsidP="00E907D7">
            <w:pPr>
              <w:keepNext/>
              <w:keepLines/>
              <w:widowControl/>
              <w:tabs>
                <w:tab w:val="decimal" w:pos="397"/>
              </w:tabs>
              <w:rPr>
                <w:rFonts w:cs="Arial"/>
                <w:bCs/>
                <w:color w:val="000000"/>
                <w:sz w:val="18"/>
                <w:szCs w:val="18"/>
                <w:lang w:eastAsia="en-GB" w:bidi="ar-SA"/>
              </w:rPr>
            </w:pPr>
            <w:r w:rsidRPr="00C74A6B">
              <w:rPr>
                <w:rFonts w:cs="Arial"/>
                <w:bCs/>
                <w:color w:val="000000"/>
                <w:sz w:val="18"/>
                <w:szCs w:val="18"/>
              </w:rPr>
              <w:t>1</w:t>
            </w:r>
          </w:p>
        </w:tc>
        <w:tc>
          <w:tcPr>
            <w:tcW w:w="846" w:type="dxa"/>
            <w:vAlign w:val="center"/>
          </w:tcPr>
          <w:p w14:paraId="7AEAFB1E" w14:textId="77777777" w:rsidR="00E907D7" w:rsidRPr="00C74A6B" w:rsidRDefault="00E907D7" w:rsidP="00E907D7">
            <w:pPr>
              <w:keepNext/>
              <w:keepLines/>
              <w:widowControl/>
              <w:tabs>
                <w:tab w:val="decimal" w:pos="397"/>
              </w:tabs>
              <w:rPr>
                <w:rFonts w:cs="Arial"/>
                <w:bCs/>
                <w:color w:val="000000"/>
                <w:sz w:val="18"/>
                <w:szCs w:val="18"/>
              </w:rPr>
            </w:pPr>
            <w:r w:rsidRPr="00C74A6B">
              <w:rPr>
                <w:rFonts w:cs="Arial"/>
                <w:bCs/>
                <w:color w:val="000000"/>
                <w:sz w:val="18"/>
                <w:szCs w:val="18"/>
              </w:rPr>
              <w:t>1</w:t>
            </w:r>
          </w:p>
        </w:tc>
        <w:tc>
          <w:tcPr>
            <w:tcW w:w="672" w:type="dxa"/>
            <w:shd w:val="clear" w:color="auto" w:fill="auto"/>
            <w:vAlign w:val="center"/>
          </w:tcPr>
          <w:p w14:paraId="23B0B166" w14:textId="77777777" w:rsidR="00E907D7" w:rsidRPr="00C74A6B" w:rsidRDefault="00E907D7" w:rsidP="00E907D7">
            <w:pPr>
              <w:keepNext/>
              <w:keepLines/>
              <w:widowControl/>
              <w:tabs>
                <w:tab w:val="decimal" w:pos="397"/>
              </w:tabs>
              <w:rPr>
                <w:rFonts w:cs="Arial"/>
                <w:bCs/>
                <w:color w:val="000000"/>
                <w:sz w:val="18"/>
                <w:szCs w:val="18"/>
                <w:lang w:eastAsia="en-GB" w:bidi="ar-SA"/>
              </w:rPr>
            </w:pPr>
            <w:r w:rsidRPr="00C74A6B">
              <w:rPr>
                <w:rFonts w:cs="Arial"/>
                <w:bCs/>
                <w:color w:val="000000"/>
                <w:sz w:val="18"/>
                <w:szCs w:val="18"/>
              </w:rPr>
              <w:t>&lt;1</w:t>
            </w:r>
          </w:p>
        </w:tc>
      </w:tr>
      <w:tr w:rsidR="00A406E7" w:rsidRPr="00C74A6B" w14:paraId="3149DCED" w14:textId="77777777" w:rsidTr="00221A11">
        <w:trPr>
          <w:cantSplit/>
        </w:trPr>
        <w:tc>
          <w:tcPr>
            <w:tcW w:w="1270" w:type="dxa"/>
            <w:shd w:val="clear" w:color="auto" w:fill="D9D9D9" w:themeFill="background1" w:themeFillShade="D9"/>
            <w:vAlign w:val="center"/>
            <w:hideMark/>
          </w:tcPr>
          <w:p w14:paraId="0C269748"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4</w:t>
            </w:r>
          </w:p>
        </w:tc>
        <w:tc>
          <w:tcPr>
            <w:tcW w:w="3084" w:type="dxa"/>
            <w:gridSpan w:val="4"/>
            <w:tcBorders>
              <w:bottom w:val="single" w:sz="4" w:space="0" w:color="auto"/>
            </w:tcBorders>
            <w:shd w:val="clear" w:color="auto" w:fill="D9D9D9" w:themeFill="background1" w:themeFillShade="D9"/>
            <w:vAlign w:val="center"/>
          </w:tcPr>
          <w:p w14:paraId="3F866DE9"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Fruit &amp; vegetables (including fungi/ nuts/ seeds/ herbs/ spices)</w:t>
            </w:r>
          </w:p>
        </w:tc>
        <w:tc>
          <w:tcPr>
            <w:tcW w:w="807" w:type="dxa"/>
            <w:shd w:val="clear" w:color="auto" w:fill="auto"/>
            <w:vAlign w:val="center"/>
          </w:tcPr>
          <w:p w14:paraId="23336BCC"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3</w:t>
            </w:r>
          </w:p>
        </w:tc>
        <w:tc>
          <w:tcPr>
            <w:tcW w:w="807" w:type="dxa"/>
            <w:vAlign w:val="center"/>
          </w:tcPr>
          <w:p w14:paraId="06BB3705"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3</w:t>
            </w:r>
          </w:p>
        </w:tc>
        <w:tc>
          <w:tcPr>
            <w:tcW w:w="809" w:type="dxa"/>
            <w:shd w:val="clear" w:color="auto" w:fill="auto"/>
            <w:vAlign w:val="center"/>
          </w:tcPr>
          <w:p w14:paraId="573A8059"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12" w:type="dxa"/>
            <w:shd w:val="clear" w:color="auto" w:fill="auto"/>
            <w:vAlign w:val="center"/>
          </w:tcPr>
          <w:p w14:paraId="7A5AC5BF"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2</w:t>
            </w:r>
          </w:p>
        </w:tc>
        <w:tc>
          <w:tcPr>
            <w:tcW w:w="809" w:type="dxa"/>
            <w:vAlign w:val="center"/>
          </w:tcPr>
          <w:p w14:paraId="0761346A"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&lt;1</w:t>
            </w:r>
          </w:p>
        </w:tc>
        <w:tc>
          <w:tcPr>
            <w:tcW w:w="840" w:type="dxa"/>
            <w:shd w:val="clear" w:color="auto" w:fill="auto"/>
            <w:vAlign w:val="center"/>
          </w:tcPr>
          <w:p w14:paraId="37247C15"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09" w:type="dxa"/>
            <w:shd w:val="clear" w:color="auto" w:fill="auto"/>
            <w:vAlign w:val="center"/>
          </w:tcPr>
          <w:p w14:paraId="0DB9069A"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2</w:t>
            </w:r>
          </w:p>
        </w:tc>
        <w:tc>
          <w:tcPr>
            <w:tcW w:w="765" w:type="dxa"/>
            <w:vAlign w:val="center"/>
          </w:tcPr>
          <w:p w14:paraId="0E3EF4AD"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1</w:t>
            </w:r>
          </w:p>
        </w:tc>
        <w:tc>
          <w:tcPr>
            <w:tcW w:w="826" w:type="dxa"/>
            <w:shd w:val="clear" w:color="auto" w:fill="auto"/>
            <w:vAlign w:val="center"/>
          </w:tcPr>
          <w:p w14:paraId="203D4334"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46" w:type="dxa"/>
            <w:shd w:val="clear" w:color="auto" w:fill="D9D9D9" w:themeFill="background1" w:themeFillShade="D9"/>
            <w:vAlign w:val="center"/>
          </w:tcPr>
          <w:p w14:paraId="6947D7C3"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11</w:t>
            </w:r>
          </w:p>
        </w:tc>
        <w:tc>
          <w:tcPr>
            <w:tcW w:w="846" w:type="dxa"/>
            <w:shd w:val="clear" w:color="auto" w:fill="D9D9D9" w:themeFill="background1" w:themeFillShade="D9"/>
            <w:vAlign w:val="center"/>
          </w:tcPr>
          <w:p w14:paraId="042D44B0"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11</w:t>
            </w:r>
          </w:p>
        </w:tc>
        <w:tc>
          <w:tcPr>
            <w:tcW w:w="672" w:type="dxa"/>
            <w:shd w:val="clear" w:color="auto" w:fill="auto"/>
            <w:vAlign w:val="center"/>
          </w:tcPr>
          <w:p w14:paraId="57B0B62E"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&lt;1</w:t>
            </w:r>
          </w:p>
        </w:tc>
      </w:tr>
      <w:tr w:rsidR="00A406E7" w:rsidRPr="00C74A6B" w14:paraId="3C0CCF56" w14:textId="77777777" w:rsidTr="00221A11">
        <w:trPr>
          <w:cantSplit/>
        </w:trPr>
        <w:tc>
          <w:tcPr>
            <w:tcW w:w="1270" w:type="dxa"/>
            <w:shd w:val="clear" w:color="auto" w:fill="D9D9D9" w:themeFill="background1" w:themeFillShade="D9"/>
            <w:vAlign w:val="center"/>
            <w:hideMark/>
          </w:tcPr>
          <w:p w14:paraId="4D02A3CE"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5</w:t>
            </w:r>
          </w:p>
        </w:tc>
        <w:tc>
          <w:tcPr>
            <w:tcW w:w="3084" w:type="dxa"/>
            <w:gridSpan w:val="4"/>
            <w:tcBorders>
              <w:bottom w:val="single" w:sz="4" w:space="0" w:color="auto"/>
            </w:tcBorders>
            <w:shd w:val="clear" w:color="auto" w:fill="D9D9D9" w:themeFill="background1" w:themeFillShade="D9"/>
            <w:vAlign w:val="center"/>
          </w:tcPr>
          <w:p w14:paraId="7952EB1A"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Confectionery</w:t>
            </w:r>
          </w:p>
        </w:tc>
        <w:tc>
          <w:tcPr>
            <w:tcW w:w="807" w:type="dxa"/>
            <w:shd w:val="clear" w:color="auto" w:fill="auto"/>
            <w:vAlign w:val="center"/>
          </w:tcPr>
          <w:p w14:paraId="7D123968"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07" w:type="dxa"/>
            <w:vAlign w:val="center"/>
          </w:tcPr>
          <w:p w14:paraId="3F313973"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&lt;1</w:t>
            </w:r>
          </w:p>
        </w:tc>
        <w:tc>
          <w:tcPr>
            <w:tcW w:w="809" w:type="dxa"/>
            <w:shd w:val="clear" w:color="auto" w:fill="auto"/>
            <w:vAlign w:val="center"/>
          </w:tcPr>
          <w:p w14:paraId="5E75D58E"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3</w:t>
            </w:r>
          </w:p>
        </w:tc>
        <w:tc>
          <w:tcPr>
            <w:tcW w:w="812" w:type="dxa"/>
            <w:shd w:val="clear" w:color="auto" w:fill="auto"/>
            <w:vAlign w:val="center"/>
          </w:tcPr>
          <w:p w14:paraId="698E8E30"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1</w:t>
            </w:r>
          </w:p>
        </w:tc>
        <w:tc>
          <w:tcPr>
            <w:tcW w:w="809" w:type="dxa"/>
            <w:vAlign w:val="center"/>
          </w:tcPr>
          <w:p w14:paraId="1CF1ACF8"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&lt;1</w:t>
            </w:r>
          </w:p>
        </w:tc>
        <w:tc>
          <w:tcPr>
            <w:tcW w:w="840" w:type="dxa"/>
            <w:shd w:val="clear" w:color="auto" w:fill="D9D9D9" w:themeFill="background1" w:themeFillShade="D9"/>
            <w:vAlign w:val="center"/>
          </w:tcPr>
          <w:p w14:paraId="7E855E49"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6</w:t>
            </w:r>
          </w:p>
        </w:tc>
        <w:tc>
          <w:tcPr>
            <w:tcW w:w="809" w:type="dxa"/>
            <w:shd w:val="clear" w:color="auto" w:fill="auto"/>
            <w:vAlign w:val="center"/>
          </w:tcPr>
          <w:p w14:paraId="5D7F1F90"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1</w:t>
            </w:r>
          </w:p>
        </w:tc>
        <w:tc>
          <w:tcPr>
            <w:tcW w:w="765" w:type="dxa"/>
            <w:vAlign w:val="center"/>
          </w:tcPr>
          <w:p w14:paraId="70EAB9B1"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&lt;1</w:t>
            </w:r>
          </w:p>
        </w:tc>
        <w:tc>
          <w:tcPr>
            <w:tcW w:w="826" w:type="dxa"/>
            <w:shd w:val="clear" w:color="auto" w:fill="D9D9D9" w:themeFill="background1" w:themeFillShade="D9"/>
            <w:vAlign w:val="center"/>
          </w:tcPr>
          <w:p w14:paraId="77E2A818"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7</w:t>
            </w:r>
          </w:p>
        </w:tc>
        <w:tc>
          <w:tcPr>
            <w:tcW w:w="846" w:type="dxa"/>
            <w:shd w:val="clear" w:color="auto" w:fill="auto"/>
            <w:vAlign w:val="center"/>
          </w:tcPr>
          <w:p w14:paraId="4D579708"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2</w:t>
            </w:r>
          </w:p>
        </w:tc>
        <w:tc>
          <w:tcPr>
            <w:tcW w:w="846" w:type="dxa"/>
            <w:vAlign w:val="center"/>
          </w:tcPr>
          <w:p w14:paraId="3449E08E"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2</w:t>
            </w:r>
          </w:p>
        </w:tc>
        <w:tc>
          <w:tcPr>
            <w:tcW w:w="672" w:type="dxa"/>
            <w:shd w:val="clear" w:color="auto" w:fill="auto"/>
            <w:vAlign w:val="center"/>
          </w:tcPr>
          <w:p w14:paraId="1138687A"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2</w:t>
            </w:r>
          </w:p>
        </w:tc>
      </w:tr>
      <w:tr w:rsidR="00A406E7" w:rsidRPr="00C74A6B" w14:paraId="343871FC" w14:textId="77777777" w:rsidTr="00221A11">
        <w:trPr>
          <w:cantSplit/>
        </w:trPr>
        <w:tc>
          <w:tcPr>
            <w:tcW w:w="1270" w:type="dxa"/>
            <w:shd w:val="clear" w:color="auto" w:fill="D9D9D9" w:themeFill="background1" w:themeFillShade="D9"/>
            <w:vAlign w:val="center"/>
            <w:hideMark/>
          </w:tcPr>
          <w:p w14:paraId="49FDD394"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6</w:t>
            </w:r>
          </w:p>
        </w:tc>
        <w:tc>
          <w:tcPr>
            <w:tcW w:w="3084" w:type="dxa"/>
            <w:gridSpan w:val="4"/>
            <w:tcBorders>
              <w:bottom w:val="single" w:sz="4" w:space="0" w:color="auto"/>
            </w:tcBorders>
            <w:shd w:val="clear" w:color="auto" w:fill="D9D9D9" w:themeFill="background1" w:themeFillShade="D9"/>
            <w:vAlign w:val="center"/>
          </w:tcPr>
          <w:p w14:paraId="29AAA23E"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Cereals &amp; cereal products</w:t>
            </w:r>
          </w:p>
        </w:tc>
        <w:tc>
          <w:tcPr>
            <w:tcW w:w="807" w:type="dxa"/>
            <w:shd w:val="clear" w:color="auto" w:fill="auto"/>
            <w:vAlign w:val="center"/>
          </w:tcPr>
          <w:p w14:paraId="121EF753"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07" w:type="dxa"/>
            <w:vAlign w:val="center"/>
          </w:tcPr>
          <w:p w14:paraId="4902D39D"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&lt;1</w:t>
            </w:r>
          </w:p>
        </w:tc>
        <w:tc>
          <w:tcPr>
            <w:tcW w:w="809" w:type="dxa"/>
            <w:shd w:val="clear" w:color="auto" w:fill="D9D9D9" w:themeFill="background1" w:themeFillShade="D9"/>
            <w:vAlign w:val="center"/>
          </w:tcPr>
          <w:p w14:paraId="0C7D0B2D"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17</w:t>
            </w:r>
          </w:p>
        </w:tc>
        <w:tc>
          <w:tcPr>
            <w:tcW w:w="812" w:type="dxa"/>
            <w:shd w:val="clear" w:color="auto" w:fill="auto"/>
            <w:vAlign w:val="center"/>
          </w:tcPr>
          <w:p w14:paraId="3422685C"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09" w:type="dxa"/>
            <w:vAlign w:val="center"/>
          </w:tcPr>
          <w:p w14:paraId="270A4EF1"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&lt;1</w:t>
            </w:r>
          </w:p>
        </w:tc>
        <w:tc>
          <w:tcPr>
            <w:tcW w:w="840" w:type="dxa"/>
            <w:shd w:val="clear" w:color="auto" w:fill="D9D9D9" w:themeFill="background1" w:themeFillShade="D9"/>
            <w:vAlign w:val="center"/>
          </w:tcPr>
          <w:p w14:paraId="51832BE5"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10</w:t>
            </w:r>
          </w:p>
        </w:tc>
        <w:tc>
          <w:tcPr>
            <w:tcW w:w="809" w:type="dxa"/>
            <w:shd w:val="clear" w:color="auto" w:fill="auto"/>
            <w:vAlign w:val="center"/>
          </w:tcPr>
          <w:p w14:paraId="3037E0CF"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&lt;1</w:t>
            </w:r>
          </w:p>
        </w:tc>
        <w:tc>
          <w:tcPr>
            <w:tcW w:w="765" w:type="dxa"/>
            <w:vAlign w:val="center"/>
          </w:tcPr>
          <w:p w14:paraId="6AB83F43"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&lt;1</w:t>
            </w:r>
          </w:p>
        </w:tc>
        <w:tc>
          <w:tcPr>
            <w:tcW w:w="826" w:type="dxa"/>
            <w:shd w:val="clear" w:color="auto" w:fill="D9D9D9" w:themeFill="background1" w:themeFillShade="D9"/>
            <w:vAlign w:val="center"/>
          </w:tcPr>
          <w:p w14:paraId="395FD3EB"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11</w:t>
            </w:r>
          </w:p>
        </w:tc>
        <w:tc>
          <w:tcPr>
            <w:tcW w:w="846" w:type="dxa"/>
            <w:shd w:val="clear" w:color="auto" w:fill="auto"/>
            <w:vAlign w:val="center"/>
          </w:tcPr>
          <w:p w14:paraId="2C51AB66"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2</w:t>
            </w:r>
          </w:p>
        </w:tc>
        <w:tc>
          <w:tcPr>
            <w:tcW w:w="846" w:type="dxa"/>
            <w:vAlign w:val="center"/>
          </w:tcPr>
          <w:p w14:paraId="54293767"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2</w:t>
            </w:r>
          </w:p>
        </w:tc>
        <w:tc>
          <w:tcPr>
            <w:tcW w:w="672" w:type="dxa"/>
            <w:shd w:val="clear" w:color="auto" w:fill="D9D9D9" w:themeFill="background1" w:themeFillShade="D9"/>
            <w:vAlign w:val="center"/>
          </w:tcPr>
          <w:p w14:paraId="4C3F51F8"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8</w:t>
            </w:r>
          </w:p>
        </w:tc>
      </w:tr>
      <w:tr w:rsidR="00A406E7" w:rsidRPr="00B83846" w14:paraId="2020DAC2" w14:textId="77777777" w:rsidTr="00221A11">
        <w:trPr>
          <w:cantSplit/>
        </w:trPr>
        <w:tc>
          <w:tcPr>
            <w:tcW w:w="1270" w:type="dxa"/>
            <w:shd w:val="clear" w:color="auto" w:fill="D9D9D9" w:themeFill="background1" w:themeFillShade="D9"/>
            <w:vAlign w:val="center"/>
            <w:hideMark/>
          </w:tcPr>
          <w:p w14:paraId="79D9FE57"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6.1.1</w:t>
            </w:r>
          </w:p>
        </w:tc>
        <w:tc>
          <w:tcPr>
            <w:tcW w:w="756" w:type="dxa"/>
            <w:tcBorders>
              <w:right w:val="nil"/>
            </w:tcBorders>
            <w:shd w:val="clear" w:color="auto" w:fill="D9D9D9" w:themeFill="background1" w:themeFillShade="D9"/>
            <w:vAlign w:val="center"/>
          </w:tcPr>
          <w:p w14:paraId="3AFF416C" w14:textId="77777777" w:rsidR="00C51F8F" w:rsidRPr="00B83846" w:rsidRDefault="00C51F8F" w:rsidP="00DF510F">
            <w:pPr>
              <w:widowControl/>
              <w:rPr>
                <w:rFonts w:cs="Arial"/>
                <w:color w:val="000000"/>
                <w:sz w:val="18"/>
                <w:szCs w:val="18"/>
                <w:lang w:eastAsia="en-GB" w:bidi="ar-SA"/>
              </w:rPr>
            </w:pPr>
          </w:p>
        </w:tc>
        <w:tc>
          <w:tcPr>
            <w:tcW w:w="2328" w:type="dxa"/>
            <w:gridSpan w:val="3"/>
            <w:tcBorders>
              <w:left w:val="nil"/>
            </w:tcBorders>
            <w:shd w:val="clear" w:color="auto" w:fill="D9D9D9" w:themeFill="background1" w:themeFillShade="D9"/>
            <w:vAlign w:val="center"/>
            <w:hideMark/>
          </w:tcPr>
          <w:p w14:paraId="6D7DA2C6"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Plain oats, dry</w:t>
            </w:r>
          </w:p>
        </w:tc>
        <w:tc>
          <w:tcPr>
            <w:tcW w:w="807" w:type="dxa"/>
            <w:shd w:val="clear" w:color="auto" w:fill="auto"/>
            <w:vAlign w:val="center"/>
          </w:tcPr>
          <w:p w14:paraId="07DA7E45"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807" w:type="dxa"/>
            <w:vAlign w:val="center"/>
          </w:tcPr>
          <w:p w14:paraId="642AC5C0" w14:textId="77777777" w:rsidR="00C51F8F" w:rsidRPr="00A20B5B" w:rsidRDefault="00C51F8F" w:rsidP="00DF510F">
            <w:pPr>
              <w:widowControl/>
              <w:tabs>
                <w:tab w:val="decimal" w:pos="397"/>
              </w:tabs>
              <w:rPr>
                <w:rFonts w:cs="Arial"/>
                <w:color w:val="000000"/>
                <w:sz w:val="18"/>
                <w:szCs w:val="18"/>
              </w:rPr>
            </w:pPr>
            <w:r w:rsidRPr="005056E3">
              <w:rPr>
                <w:rFonts w:cs="Arial"/>
                <w:color w:val="000000"/>
                <w:sz w:val="18"/>
                <w:szCs w:val="18"/>
              </w:rPr>
              <w:t>&lt;1</w:t>
            </w:r>
          </w:p>
        </w:tc>
        <w:tc>
          <w:tcPr>
            <w:tcW w:w="809" w:type="dxa"/>
            <w:shd w:val="clear" w:color="auto" w:fill="D9D9D9" w:themeFill="background1" w:themeFillShade="D9"/>
            <w:vAlign w:val="center"/>
          </w:tcPr>
          <w:p w14:paraId="57F148CA"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17</w:t>
            </w:r>
          </w:p>
        </w:tc>
        <w:tc>
          <w:tcPr>
            <w:tcW w:w="812" w:type="dxa"/>
            <w:shd w:val="clear" w:color="auto" w:fill="auto"/>
            <w:vAlign w:val="center"/>
          </w:tcPr>
          <w:p w14:paraId="5E8258C1"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809" w:type="dxa"/>
            <w:vAlign w:val="center"/>
          </w:tcPr>
          <w:p w14:paraId="4993C91E" w14:textId="77777777" w:rsidR="00C51F8F" w:rsidRPr="00A20B5B" w:rsidRDefault="00C51F8F" w:rsidP="00DF510F">
            <w:pPr>
              <w:widowControl/>
              <w:tabs>
                <w:tab w:val="decimal" w:pos="397"/>
              </w:tabs>
              <w:rPr>
                <w:rFonts w:cs="Arial"/>
                <w:sz w:val="18"/>
                <w:szCs w:val="18"/>
              </w:rPr>
            </w:pPr>
            <w:r w:rsidRPr="005056E3">
              <w:rPr>
                <w:rFonts w:cs="Arial"/>
                <w:sz w:val="18"/>
                <w:szCs w:val="18"/>
              </w:rPr>
              <w:t>&lt;1</w:t>
            </w:r>
          </w:p>
        </w:tc>
        <w:tc>
          <w:tcPr>
            <w:tcW w:w="840" w:type="dxa"/>
            <w:shd w:val="clear" w:color="auto" w:fill="D9D9D9" w:themeFill="background1" w:themeFillShade="D9"/>
            <w:vAlign w:val="center"/>
          </w:tcPr>
          <w:p w14:paraId="4597580B"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10</w:t>
            </w:r>
          </w:p>
        </w:tc>
        <w:tc>
          <w:tcPr>
            <w:tcW w:w="809" w:type="dxa"/>
            <w:shd w:val="clear" w:color="auto" w:fill="auto"/>
            <w:vAlign w:val="center"/>
          </w:tcPr>
          <w:p w14:paraId="5A197729"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65" w:type="dxa"/>
            <w:vAlign w:val="center"/>
          </w:tcPr>
          <w:p w14:paraId="1DFD3F95" w14:textId="77777777" w:rsidR="00C51F8F" w:rsidRPr="00A20B5B" w:rsidRDefault="00C51F8F" w:rsidP="00DF510F">
            <w:pPr>
              <w:widowControl/>
              <w:tabs>
                <w:tab w:val="decimal" w:pos="397"/>
              </w:tabs>
              <w:rPr>
                <w:rFonts w:cs="Arial"/>
                <w:sz w:val="18"/>
                <w:szCs w:val="18"/>
              </w:rPr>
            </w:pPr>
            <w:r w:rsidRPr="005056E3">
              <w:rPr>
                <w:rFonts w:cs="Arial"/>
                <w:sz w:val="18"/>
                <w:szCs w:val="18"/>
              </w:rPr>
              <w:t>&lt;1</w:t>
            </w:r>
          </w:p>
        </w:tc>
        <w:tc>
          <w:tcPr>
            <w:tcW w:w="826" w:type="dxa"/>
            <w:shd w:val="clear" w:color="auto" w:fill="D9D9D9" w:themeFill="background1" w:themeFillShade="D9"/>
            <w:vAlign w:val="center"/>
          </w:tcPr>
          <w:p w14:paraId="177CE8E2"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11</w:t>
            </w:r>
          </w:p>
        </w:tc>
        <w:tc>
          <w:tcPr>
            <w:tcW w:w="846" w:type="dxa"/>
            <w:shd w:val="clear" w:color="auto" w:fill="auto"/>
            <w:vAlign w:val="center"/>
          </w:tcPr>
          <w:p w14:paraId="2DFEF0F5"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&lt;1</w:t>
            </w:r>
          </w:p>
        </w:tc>
        <w:tc>
          <w:tcPr>
            <w:tcW w:w="846" w:type="dxa"/>
            <w:vAlign w:val="center"/>
          </w:tcPr>
          <w:p w14:paraId="286EAC17" w14:textId="77777777" w:rsidR="00C51F8F" w:rsidRPr="00A20B5B" w:rsidRDefault="00C51F8F" w:rsidP="00DF510F">
            <w:pPr>
              <w:widowControl/>
              <w:tabs>
                <w:tab w:val="decimal" w:pos="397"/>
              </w:tabs>
              <w:rPr>
                <w:rFonts w:cs="Arial"/>
                <w:sz w:val="18"/>
                <w:szCs w:val="18"/>
              </w:rPr>
            </w:pPr>
            <w:r w:rsidRPr="005056E3">
              <w:rPr>
                <w:rFonts w:cs="Arial"/>
                <w:sz w:val="18"/>
                <w:szCs w:val="18"/>
              </w:rPr>
              <w:t>&lt;1</w:t>
            </w:r>
          </w:p>
        </w:tc>
        <w:tc>
          <w:tcPr>
            <w:tcW w:w="672" w:type="dxa"/>
            <w:shd w:val="clear" w:color="auto" w:fill="D9D9D9" w:themeFill="background1" w:themeFillShade="D9"/>
            <w:vAlign w:val="center"/>
          </w:tcPr>
          <w:p w14:paraId="38CCB3F7"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8</w:t>
            </w:r>
          </w:p>
        </w:tc>
      </w:tr>
      <w:tr w:rsidR="00A406E7" w:rsidRPr="00C74A6B" w14:paraId="5C63A6FC" w14:textId="77777777" w:rsidTr="00221A11">
        <w:trPr>
          <w:cantSplit/>
        </w:trPr>
        <w:tc>
          <w:tcPr>
            <w:tcW w:w="1270" w:type="dxa"/>
            <w:shd w:val="clear" w:color="auto" w:fill="auto"/>
            <w:vAlign w:val="center"/>
            <w:hideMark/>
          </w:tcPr>
          <w:p w14:paraId="150E96FD"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7</w:t>
            </w:r>
          </w:p>
        </w:tc>
        <w:tc>
          <w:tcPr>
            <w:tcW w:w="3084" w:type="dxa"/>
            <w:gridSpan w:val="4"/>
            <w:tcBorders>
              <w:bottom w:val="single" w:sz="4" w:space="0" w:color="auto"/>
            </w:tcBorders>
            <w:shd w:val="clear" w:color="auto" w:fill="auto"/>
            <w:vAlign w:val="center"/>
          </w:tcPr>
          <w:p w14:paraId="6BC31C48"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Breads &amp; bakery products</w:t>
            </w:r>
          </w:p>
        </w:tc>
        <w:tc>
          <w:tcPr>
            <w:tcW w:w="807" w:type="dxa"/>
            <w:shd w:val="clear" w:color="auto" w:fill="auto"/>
            <w:vAlign w:val="center"/>
          </w:tcPr>
          <w:p w14:paraId="3720F516" w14:textId="77777777" w:rsidR="00E907D7" w:rsidRPr="00C74A6B" w:rsidRDefault="00E907D7" w:rsidP="00E907D7">
            <w:pPr>
              <w:widowControl/>
              <w:tabs>
                <w:tab w:val="decimal" w:pos="397"/>
              </w:tabs>
              <w:rPr>
                <w:rFonts w:cs="Arial"/>
                <w:bCs/>
                <w:color w:val="000000"/>
                <w:sz w:val="18"/>
                <w:szCs w:val="18"/>
                <w:highlight w:val="magenta"/>
                <w:lang w:eastAsia="en-GB" w:bidi="ar-SA"/>
              </w:rPr>
            </w:pPr>
            <w:r w:rsidRPr="00C74A6B">
              <w:rPr>
                <w:rFonts w:cs="Arial"/>
                <w:bCs/>
                <w:color w:val="000000"/>
                <w:sz w:val="18"/>
                <w:szCs w:val="18"/>
              </w:rPr>
              <w:t>&lt;1</w:t>
            </w:r>
          </w:p>
        </w:tc>
        <w:tc>
          <w:tcPr>
            <w:tcW w:w="807" w:type="dxa"/>
            <w:vAlign w:val="center"/>
          </w:tcPr>
          <w:p w14:paraId="06671B72"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&lt;1</w:t>
            </w:r>
          </w:p>
        </w:tc>
        <w:tc>
          <w:tcPr>
            <w:tcW w:w="809" w:type="dxa"/>
            <w:shd w:val="clear" w:color="auto" w:fill="auto"/>
            <w:vAlign w:val="center"/>
          </w:tcPr>
          <w:p w14:paraId="3C949EB5" w14:textId="77777777" w:rsidR="00E907D7" w:rsidRPr="00C74A6B" w:rsidRDefault="00E907D7" w:rsidP="00E907D7">
            <w:pPr>
              <w:widowControl/>
              <w:tabs>
                <w:tab w:val="decimal" w:pos="397"/>
              </w:tabs>
              <w:rPr>
                <w:rFonts w:cs="Arial"/>
                <w:bCs/>
                <w:color w:val="000000"/>
                <w:sz w:val="18"/>
                <w:szCs w:val="18"/>
                <w:highlight w:val="magenta"/>
                <w:lang w:eastAsia="en-GB" w:bidi="ar-SA"/>
              </w:rPr>
            </w:pPr>
            <w:r w:rsidRPr="00C74A6B">
              <w:rPr>
                <w:rFonts w:cs="Arial"/>
                <w:bCs/>
                <w:color w:val="000000"/>
                <w:sz w:val="18"/>
                <w:szCs w:val="18"/>
              </w:rPr>
              <w:t>&lt;1</w:t>
            </w:r>
          </w:p>
        </w:tc>
        <w:tc>
          <w:tcPr>
            <w:tcW w:w="812" w:type="dxa"/>
            <w:shd w:val="clear" w:color="auto" w:fill="auto"/>
            <w:vAlign w:val="center"/>
          </w:tcPr>
          <w:p w14:paraId="2C996BBC" w14:textId="77777777" w:rsidR="00E907D7" w:rsidRPr="00C74A6B" w:rsidRDefault="00E907D7" w:rsidP="00E907D7">
            <w:pPr>
              <w:widowControl/>
              <w:tabs>
                <w:tab w:val="decimal" w:pos="397"/>
              </w:tabs>
              <w:rPr>
                <w:rFonts w:cs="Arial"/>
                <w:bCs/>
                <w:color w:val="000000"/>
                <w:sz w:val="18"/>
                <w:szCs w:val="18"/>
                <w:highlight w:val="magenta"/>
                <w:lang w:eastAsia="en-GB" w:bidi="ar-SA"/>
              </w:rPr>
            </w:pPr>
            <w:r w:rsidRPr="00C74A6B">
              <w:rPr>
                <w:rFonts w:cs="Arial"/>
                <w:bCs/>
                <w:color w:val="000000"/>
                <w:sz w:val="18"/>
                <w:szCs w:val="18"/>
              </w:rPr>
              <w:t>&lt;1</w:t>
            </w:r>
          </w:p>
        </w:tc>
        <w:tc>
          <w:tcPr>
            <w:tcW w:w="809" w:type="dxa"/>
            <w:vAlign w:val="center"/>
          </w:tcPr>
          <w:p w14:paraId="14C6C6F1"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&lt;1</w:t>
            </w:r>
          </w:p>
        </w:tc>
        <w:tc>
          <w:tcPr>
            <w:tcW w:w="840" w:type="dxa"/>
            <w:shd w:val="clear" w:color="auto" w:fill="auto"/>
            <w:vAlign w:val="center"/>
          </w:tcPr>
          <w:p w14:paraId="28CAD582" w14:textId="77777777" w:rsidR="00E907D7" w:rsidRPr="00C74A6B" w:rsidRDefault="00E907D7" w:rsidP="00E907D7">
            <w:pPr>
              <w:widowControl/>
              <w:tabs>
                <w:tab w:val="decimal" w:pos="397"/>
              </w:tabs>
              <w:rPr>
                <w:rFonts w:cs="Arial"/>
                <w:bCs/>
                <w:color w:val="000000"/>
                <w:sz w:val="18"/>
                <w:szCs w:val="18"/>
                <w:highlight w:val="magenta"/>
                <w:lang w:eastAsia="en-GB" w:bidi="ar-SA"/>
              </w:rPr>
            </w:pPr>
            <w:r w:rsidRPr="00C74A6B">
              <w:rPr>
                <w:rFonts w:cs="Arial"/>
                <w:bCs/>
                <w:color w:val="000000"/>
                <w:sz w:val="18"/>
                <w:szCs w:val="18"/>
              </w:rPr>
              <w:t>&lt;1</w:t>
            </w:r>
          </w:p>
        </w:tc>
        <w:tc>
          <w:tcPr>
            <w:tcW w:w="809" w:type="dxa"/>
            <w:shd w:val="clear" w:color="auto" w:fill="auto"/>
            <w:vAlign w:val="center"/>
          </w:tcPr>
          <w:p w14:paraId="086D9A6C" w14:textId="77777777" w:rsidR="00E907D7" w:rsidRPr="00C74A6B" w:rsidRDefault="00E907D7" w:rsidP="00E907D7">
            <w:pPr>
              <w:widowControl/>
              <w:tabs>
                <w:tab w:val="decimal" w:pos="397"/>
              </w:tabs>
              <w:rPr>
                <w:rFonts w:cs="Arial"/>
                <w:bCs/>
                <w:color w:val="000000"/>
                <w:sz w:val="18"/>
                <w:szCs w:val="18"/>
                <w:highlight w:val="magenta"/>
                <w:lang w:eastAsia="en-GB" w:bidi="ar-SA"/>
              </w:rPr>
            </w:pPr>
            <w:r w:rsidRPr="00C74A6B">
              <w:rPr>
                <w:rFonts w:cs="Arial"/>
                <w:bCs/>
                <w:color w:val="000000"/>
                <w:sz w:val="18"/>
                <w:szCs w:val="18"/>
              </w:rPr>
              <w:t>&lt;1</w:t>
            </w:r>
          </w:p>
        </w:tc>
        <w:tc>
          <w:tcPr>
            <w:tcW w:w="765" w:type="dxa"/>
            <w:vAlign w:val="center"/>
          </w:tcPr>
          <w:p w14:paraId="6FC9CB91"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&lt;1</w:t>
            </w:r>
          </w:p>
        </w:tc>
        <w:tc>
          <w:tcPr>
            <w:tcW w:w="826" w:type="dxa"/>
            <w:shd w:val="clear" w:color="auto" w:fill="auto"/>
            <w:vAlign w:val="center"/>
          </w:tcPr>
          <w:p w14:paraId="2B936B91" w14:textId="77777777" w:rsidR="00E907D7" w:rsidRPr="00C74A6B" w:rsidRDefault="00E907D7" w:rsidP="00E907D7">
            <w:pPr>
              <w:widowControl/>
              <w:tabs>
                <w:tab w:val="decimal" w:pos="397"/>
              </w:tabs>
              <w:rPr>
                <w:rFonts w:cs="Arial"/>
                <w:bCs/>
                <w:color w:val="000000"/>
                <w:sz w:val="18"/>
                <w:szCs w:val="18"/>
                <w:highlight w:val="magenta"/>
                <w:lang w:eastAsia="en-GB" w:bidi="ar-SA"/>
              </w:rPr>
            </w:pPr>
            <w:r w:rsidRPr="00C74A6B">
              <w:rPr>
                <w:rFonts w:cs="Arial"/>
                <w:bCs/>
                <w:color w:val="000000"/>
                <w:sz w:val="18"/>
                <w:szCs w:val="18"/>
              </w:rPr>
              <w:t>&lt;1</w:t>
            </w:r>
          </w:p>
        </w:tc>
        <w:tc>
          <w:tcPr>
            <w:tcW w:w="846" w:type="dxa"/>
            <w:shd w:val="clear" w:color="auto" w:fill="auto"/>
            <w:vAlign w:val="center"/>
          </w:tcPr>
          <w:p w14:paraId="5192771C" w14:textId="77777777" w:rsidR="00E907D7" w:rsidRPr="00C74A6B" w:rsidRDefault="00E907D7" w:rsidP="00E907D7">
            <w:pPr>
              <w:widowControl/>
              <w:tabs>
                <w:tab w:val="decimal" w:pos="397"/>
              </w:tabs>
              <w:rPr>
                <w:rFonts w:cs="Arial"/>
                <w:bCs/>
                <w:color w:val="000000"/>
                <w:sz w:val="18"/>
                <w:szCs w:val="18"/>
                <w:highlight w:val="magenta"/>
                <w:lang w:eastAsia="en-GB" w:bidi="ar-SA"/>
              </w:rPr>
            </w:pPr>
            <w:r w:rsidRPr="00C74A6B">
              <w:rPr>
                <w:rFonts w:cs="Arial"/>
                <w:bCs/>
                <w:color w:val="000000"/>
                <w:sz w:val="18"/>
                <w:szCs w:val="18"/>
              </w:rPr>
              <w:t>2</w:t>
            </w:r>
          </w:p>
        </w:tc>
        <w:tc>
          <w:tcPr>
            <w:tcW w:w="846" w:type="dxa"/>
            <w:vAlign w:val="center"/>
          </w:tcPr>
          <w:p w14:paraId="7AF05A6A"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2</w:t>
            </w:r>
          </w:p>
        </w:tc>
        <w:tc>
          <w:tcPr>
            <w:tcW w:w="672" w:type="dxa"/>
            <w:shd w:val="clear" w:color="auto" w:fill="auto"/>
            <w:vAlign w:val="center"/>
          </w:tcPr>
          <w:p w14:paraId="71C98E43" w14:textId="77777777" w:rsidR="00E907D7" w:rsidRPr="00C74A6B" w:rsidRDefault="00E907D7" w:rsidP="00E907D7">
            <w:pPr>
              <w:widowControl/>
              <w:tabs>
                <w:tab w:val="decimal" w:pos="397"/>
              </w:tabs>
              <w:rPr>
                <w:rFonts w:cs="Arial"/>
                <w:bCs/>
                <w:color w:val="000000"/>
                <w:sz w:val="18"/>
                <w:szCs w:val="18"/>
                <w:highlight w:val="magenta"/>
                <w:lang w:eastAsia="en-GB" w:bidi="ar-SA"/>
              </w:rPr>
            </w:pPr>
            <w:r w:rsidRPr="00C74A6B">
              <w:rPr>
                <w:rFonts w:cs="Arial"/>
                <w:bCs/>
                <w:color w:val="000000"/>
                <w:sz w:val="18"/>
                <w:szCs w:val="18"/>
              </w:rPr>
              <w:t>&lt;1</w:t>
            </w:r>
          </w:p>
        </w:tc>
      </w:tr>
      <w:tr w:rsidR="00A406E7" w:rsidRPr="00C74A6B" w14:paraId="0C6B513D" w14:textId="77777777" w:rsidTr="00221A11">
        <w:trPr>
          <w:cantSplit/>
        </w:trPr>
        <w:tc>
          <w:tcPr>
            <w:tcW w:w="1270" w:type="dxa"/>
            <w:tcBorders>
              <w:bottom w:val="single" w:sz="4" w:space="0" w:color="auto"/>
            </w:tcBorders>
            <w:shd w:val="clear" w:color="auto" w:fill="D9D9D9" w:themeFill="background1" w:themeFillShade="D9"/>
            <w:vAlign w:val="center"/>
            <w:hideMark/>
          </w:tcPr>
          <w:p w14:paraId="16D42B57"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8</w:t>
            </w:r>
          </w:p>
        </w:tc>
        <w:tc>
          <w:tcPr>
            <w:tcW w:w="3084" w:type="dxa"/>
            <w:gridSpan w:val="4"/>
            <w:tcBorders>
              <w:bottom w:val="single" w:sz="4" w:space="0" w:color="auto"/>
            </w:tcBorders>
            <w:shd w:val="clear" w:color="auto" w:fill="D9D9D9" w:themeFill="background1" w:themeFillShade="D9"/>
            <w:vAlign w:val="center"/>
          </w:tcPr>
          <w:p w14:paraId="648F68F8"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Meat &amp; meat products (including poultry &amp; game)</w:t>
            </w:r>
          </w:p>
        </w:tc>
        <w:tc>
          <w:tcPr>
            <w:tcW w:w="807" w:type="dxa"/>
            <w:shd w:val="clear" w:color="auto" w:fill="D9D9D9" w:themeFill="background1" w:themeFillShade="D9"/>
            <w:vAlign w:val="center"/>
          </w:tcPr>
          <w:p w14:paraId="6CBACD0E"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74</w:t>
            </w:r>
          </w:p>
        </w:tc>
        <w:tc>
          <w:tcPr>
            <w:tcW w:w="807" w:type="dxa"/>
            <w:shd w:val="clear" w:color="auto" w:fill="D9D9D9" w:themeFill="background1" w:themeFillShade="D9"/>
            <w:vAlign w:val="center"/>
          </w:tcPr>
          <w:p w14:paraId="55597F8E"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73</w:t>
            </w:r>
          </w:p>
        </w:tc>
        <w:tc>
          <w:tcPr>
            <w:tcW w:w="809" w:type="dxa"/>
            <w:shd w:val="clear" w:color="auto" w:fill="D9D9D9" w:themeFill="background1" w:themeFillShade="D9"/>
            <w:vAlign w:val="center"/>
          </w:tcPr>
          <w:p w14:paraId="657F52F6"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14</w:t>
            </w:r>
          </w:p>
        </w:tc>
        <w:tc>
          <w:tcPr>
            <w:tcW w:w="812" w:type="dxa"/>
            <w:shd w:val="clear" w:color="auto" w:fill="D9D9D9" w:themeFill="background1" w:themeFillShade="D9"/>
            <w:vAlign w:val="center"/>
          </w:tcPr>
          <w:p w14:paraId="609E822E"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51</w:t>
            </w:r>
          </w:p>
        </w:tc>
        <w:tc>
          <w:tcPr>
            <w:tcW w:w="809" w:type="dxa"/>
            <w:shd w:val="clear" w:color="auto" w:fill="D9D9D9" w:themeFill="background1" w:themeFillShade="D9"/>
            <w:vAlign w:val="center"/>
          </w:tcPr>
          <w:p w14:paraId="3BF4FE3F"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26</w:t>
            </w:r>
          </w:p>
        </w:tc>
        <w:tc>
          <w:tcPr>
            <w:tcW w:w="840" w:type="dxa"/>
            <w:shd w:val="clear" w:color="auto" w:fill="D9D9D9" w:themeFill="background1" w:themeFillShade="D9"/>
            <w:vAlign w:val="center"/>
          </w:tcPr>
          <w:p w14:paraId="40CA8111"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8</w:t>
            </w:r>
          </w:p>
        </w:tc>
        <w:tc>
          <w:tcPr>
            <w:tcW w:w="809" w:type="dxa"/>
            <w:tcBorders>
              <w:bottom w:val="single" w:sz="4" w:space="0" w:color="auto"/>
            </w:tcBorders>
            <w:shd w:val="clear" w:color="auto" w:fill="D9D9D9" w:themeFill="background1" w:themeFillShade="D9"/>
            <w:vAlign w:val="center"/>
          </w:tcPr>
          <w:p w14:paraId="33C63C46"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56</w:t>
            </w:r>
          </w:p>
        </w:tc>
        <w:tc>
          <w:tcPr>
            <w:tcW w:w="765" w:type="dxa"/>
            <w:shd w:val="clear" w:color="auto" w:fill="D9D9D9" w:themeFill="background1" w:themeFillShade="D9"/>
            <w:vAlign w:val="center"/>
          </w:tcPr>
          <w:p w14:paraId="57030DC3"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32</w:t>
            </w:r>
          </w:p>
        </w:tc>
        <w:tc>
          <w:tcPr>
            <w:tcW w:w="826" w:type="dxa"/>
            <w:shd w:val="clear" w:color="auto" w:fill="D9D9D9" w:themeFill="background1" w:themeFillShade="D9"/>
            <w:vAlign w:val="center"/>
          </w:tcPr>
          <w:p w14:paraId="2B33E4DB"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8</w:t>
            </w:r>
          </w:p>
        </w:tc>
        <w:tc>
          <w:tcPr>
            <w:tcW w:w="846" w:type="dxa"/>
            <w:shd w:val="clear" w:color="auto" w:fill="auto"/>
            <w:vAlign w:val="center"/>
          </w:tcPr>
          <w:p w14:paraId="00DF786F"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0</w:t>
            </w:r>
          </w:p>
        </w:tc>
        <w:tc>
          <w:tcPr>
            <w:tcW w:w="846" w:type="dxa"/>
            <w:vAlign w:val="center"/>
          </w:tcPr>
          <w:p w14:paraId="181BE9C2"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0</w:t>
            </w:r>
          </w:p>
        </w:tc>
        <w:tc>
          <w:tcPr>
            <w:tcW w:w="672" w:type="dxa"/>
            <w:shd w:val="clear" w:color="auto" w:fill="auto"/>
            <w:vAlign w:val="center"/>
          </w:tcPr>
          <w:p w14:paraId="01E36A22"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0</w:t>
            </w:r>
          </w:p>
        </w:tc>
      </w:tr>
      <w:tr w:rsidR="00A406E7" w:rsidRPr="00B83846" w14:paraId="21C6A5F3" w14:textId="77777777" w:rsidTr="00221A11">
        <w:trPr>
          <w:cantSplit/>
        </w:trPr>
        <w:tc>
          <w:tcPr>
            <w:tcW w:w="1270" w:type="dxa"/>
            <w:shd w:val="clear" w:color="auto" w:fill="D9D9D9" w:themeFill="background1" w:themeFillShade="D9"/>
            <w:vAlign w:val="center"/>
            <w:hideMark/>
          </w:tcPr>
          <w:p w14:paraId="009EF9E8"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8.1.2</w:t>
            </w:r>
          </w:p>
        </w:tc>
        <w:tc>
          <w:tcPr>
            <w:tcW w:w="756" w:type="dxa"/>
            <w:tcBorders>
              <w:right w:val="nil"/>
            </w:tcBorders>
            <w:shd w:val="clear" w:color="auto" w:fill="D9D9D9" w:themeFill="background1" w:themeFillShade="D9"/>
            <w:vAlign w:val="center"/>
          </w:tcPr>
          <w:p w14:paraId="6DE5DBAC" w14:textId="77777777" w:rsidR="00C51F8F" w:rsidRPr="00B83846" w:rsidRDefault="00C51F8F" w:rsidP="00DF510F">
            <w:pPr>
              <w:widowControl/>
              <w:rPr>
                <w:rFonts w:cs="Arial"/>
                <w:color w:val="000000"/>
                <w:sz w:val="18"/>
                <w:szCs w:val="18"/>
                <w:lang w:eastAsia="en-GB" w:bidi="ar-SA"/>
              </w:rPr>
            </w:pPr>
          </w:p>
        </w:tc>
        <w:tc>
          <w:tcPr>
            <w:tcW w:w="2328" w:type="dxa"/>
            <w:gridSpan w:val="3"/>
            <w:tcBorders>
              <w:left w:val="nil"/>
            </w:tcBorders>
            <w:shd w:val="clear" w:color="auto" w:fill="D9D9D9" w:themeFill="background1" w:themeFillShade="D9"/>
            <w:vAlign w:val="center"/>
            <w:hideMark/>
          </w:tcPr>
          <w:p w14:paraId="26293DA3"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Game meat</w:t>
            </w:r>
          </w:p>
        </w:tc>
        <w:tc>
          <w:tcPr>
            <w:tcW w:w="807" w:type="dxa"/>
            <w:shd w:val="clear" w:color="auto" w:fill="D9D9D9" w:themeFill="background1" w:themeFillShade="D9"/>
            <w:vAlign w:val="center"/>
          </w:tcPr>
          <w:p w14:paraId="172E67AA"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6</w:t>
            </w:r>
          </w:p>
        </w:tc>
        <w:tc>
          <w:tcPr>
            <w:tcW w:w="807" w:type="dxa"/>
            <w:shd w:val="clear" w:color="auto" w:fill="D9D9D9" w:themeFill="background1" w:themeFillShade="D9"/>
            <w:vAlign w:val="center"/>
          </w:tcPr>
          <w:p w14:paraId="6A4BA93D" w14:textId="77777777" w:rsidR="00C51F8F" w:rsidRPr="00A20B5B" w:rsidRDefault="00C51F8F" w:rsidP="00DF510F">
            <w:pPr>
              <w:widowControl/>
              <w:tabs>
                <w:tab w:val="decimal" w:pos="397"/>
              </w:tabs>
              <w:rPr>
                <w:rFonts w:cs="Arial"/>
                <w:color w:val="000000"/>
                <w:sz w:val="18"/>
                <w:szCs w:val="18"/>
              </w:rPr>
            </w:pPr>
            <w:r w:rsidRPr="005056E3">
              <w:rPr>
                <w:rFonts w:cs="Arial"/>
                <w:color w:val="000000"/>
                <w:sz w:val="18"/>
                <w:szCs w:val="18"/>
              </w:rPr>
              <w:t>6</w:t>
            </w:r>
          </w:p>
        </w:tc>
        <w:tc>
          <w:tcPr>
            <w:tcW w:w="809" w:type="dxa"/>
            <w:shd w:val="clear" w:color="auto" w:fill="auto"/>
            <w:vAlign w:val="center"/>
          </w:tcPr>
          <w:p w14:paraId="73A88A1C"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1</w:t>
            </w:r>
          </w:p>
        </w:tc>
        <w:tc>
          <w:tcPr>
            <w:tcW w:w="812" w:type="dxa"/>
            <w:shd w:val="clear" w:color="auto" w:fill="auto"/>
            <w:vAlign w:val="center"/>
          </w:tcPr>
          <w:p w14:paraId="23C7452A"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1</w:t>
            </w:r>
          </w:p>
        </w:tc>
        <w:tc>
          <w:tcPr>
            <w:tcW w:w="809" w:type="dxa"/>
            <w:tcBorders>
              <w:bottom w:val="single" w:sz="4" w:space="0" w:color="auto"/>
            </w:tcBorders>
            <w:vAlign w:val="center"/>
          </w:tcPr>
          <w:p w14:paraId="2EB532CD" w14:textId="77777777" w:rsidR="00C51F8F" w:rsidRPr="00A20B5B" w:rsidRDefault="00C51F8F" w:rsidP="00DF510F">
            <w:pPr>
              <w:widowControl/>
              <w:tabs>
                <w:tab w:val="decimal" w:pos="397"/>
              </w:tabs>
              <w:rPr>
                <w:rFonts w:cs="Arial"/>
                <w:sz w:val="18"/>
                <w:szCs w:val="18"/>
              </w:rPr>
            </w:pPr>
            <w:r w:rsidRPr="005056E3">
              <w:rPr>
                <w:rFonts w:cs="Arial"/>
                <w:sz w:val="18"/>
                <w:szCs w:val="18"/>
              </w:rPr>
              <w:t>&lt;1</w:t>
            </w:r>
          </w:p>
        </w:tc>
        <w:tc>
          <w:tcPr>
            <w:tcW w:w="840" w:type="dxa"/>
            <w:tcBorders>
              <w:bottom w:val="single" w:sz="4" w:space="0" w:color="auto"/>
            </w:tcBorders>
            <w:shd w:val="clear" w:color="auto" w:fill="auto"/>
            <w:vAlign w:val="center"/>
          </w:tcPr>
          <w:p w14:paraId="786AB471"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809" w:type="dxa"/>
            <w:shd w:val="clear" w:color="auto" w:fill="auto"/>
            <w:vAlign w:val="center"/>
          </w:tcPr>
          <w:p w14:paraId="30994851"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2</w:t>
            </w:r>
          </w:p>
        </w:tc>
        <w:tc>
          <w:tcPr>
            <w:tcW w:w="765" w:type="dxa"/>
            <w:vAlign w:val="center"/>
          </w:tcPr>
          <w:p w14:paraId="0378093F" w14:textId="77777777" w:rsidR="00C51F8F" w:rsidRPr="00A20B5B" w:rsidRDefault="00C51F8F" w:rsidP="00DF510F">
            <w:pPr>
              <w:widowControl/>
              <w:tabs>
                <w:tab w:val="decimal" w:pos="397"/>
              </w:tabs>
              <w:rPr>
                <w:rFonts w:cs="Arial"/>
                <w:sz w:val="18"/>
                <w:szCs w:val="18"/>
              </w:rPr>
            </w:pPr>
            <w:r w:rsidRPr="005056E3">
              <w:rPr>
                <w:rFonts w:cs="Arial"/>
                <w:sz w:val="18"/>
                <w:szCs w:val="18"/>
              </w:rPr>
              <w:t>&lt;1</w:t>
            </w:r>
          </w:p>
        </w:tc>
        <w:tc>
          <w:tcPr>
            <w:tcW w:w="826" w:type="dxa"/>
            <w:shd w:val="clear" w:color="auto" w:fill="auto"/>
            <w:vAlign w:val="center"/>
          </w:tcPr>
          <w:p w14:paraId="2F0763BF"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846" w:type="dxa"/>
            <w:shd w:val="clear" w:color="auto" w:fill="auto"/>
            <w:vAlign w:val="center"/>
          </w:tcPr>
          <w:p w14:paraId="498A5028"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0</w:t>
            </w:r>
          </w:p>
        </w:tc>
        <w:tc>
          <w:tcPr>
            <w:tcW w:w="846" w:type="dxa"/>
            <w:vAlign w:val="center"/>
          </w:tcPr>
          <w:p w14:paraId="5A31EA18" w14:textId="77777777" w:rsidR="00C51F8F" w:rsidRPr="00A20B5B" w:rsidRDefault="00C51F8F" w:rsidP="00DF510F">
            <w:pPr>
              <w:widowControl/>
              <w:tabs>
                <w:tab w:val="decimal" w:pos="397"/>
              </w:tabs>
              <w:rPr>
                <w:rFonts w:cs="Arial"/>
                <w:sz w:val="18"/>
                <w:szCs w:val="18"/>
              </w:rPr>
            </w:pPr>
            <w:r w:rsidRPr="005056E3">
              <w:rPr>
                <w:rFonts w:cs="Arial"/>
                <w:sz w:val="18"/>
                <w:szCs w:val="18"/>
              </w:rPr>
              <w:t>0</w:t>
            </w:r>
          </w:p>
        </w:tc>
        <w:tc>
          <w:tcPr>
            <w:tcW w:w="672" w:type="dxa"/>
            <w:shd w:val="clear" w:color="auto" w:fill="auto"/>
            <w:vAlign w:val="center"/>
          </w:tcPr>
          <w:p w14:paraId="47EE7335"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0</w:t>
            </w:r>
          </w:p>
        </w:tc>
      </w:tr>
      <w:tr w:rsidR="00A406E7" w:rsidRPr="00B83846" w14:paraId="55BE4D4E" w14:textId="77777777" w:rsidTr="00221A11">
        <w:trPr>
          <w:cantSplit/>
        </w:trPr>
        <w:tc>
          <w:tcPr>
            <w:tcW w:w="1270" w:type="dxa"/>
            <w:shd w:val="clear" w:color="auto" w:fill="D9D9D9" w:themeFill="background1" w:themeFillShade="D9"/>
            <w:vAlign w:val="center"/>
            <w:hideMark/>
          </w:tcPr>
          <w:p w14:paraId="5CD9321E"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8.1.3.2</w:t>
            </w:r>
          </w:p>
        </w:tc>
        <w:tc>
          <w:tcPr>
            <w:tcW w:w="756" w:type="dxa"/>
            <w:tcBorders>
              <w:bottom w:val="single" w:sz="4" w:space="0" w:color="auto"/>
              <w:right w:val="nil"/>
            </w:tcBorders>
            <w:shd w:val="clear" w:color="auto" w:fill="D9D9D9" w:themeFill="background1" w:themeFillShade="D9"/>
            <w:vAlign w:val="center"/>
            <w:hideMark/>
          </w:tcPr>
          <w:p w14:paraId="136496BF" w14:textId="77777777" w:rsidR="00C51F8F" w:rsidRPr="00B83846" w:rsidRDefault="00C51F8F" w:rsidP="00DF510F">
            <w:pPr>
              <w:widowControl/>
              <w:rPr>
                <w:rFonts w:cs="Arial"/>
                <w:color w:val="000000"/>
                <w:sz w:val="18"/>
                <w:szCs w:val="18"/>
                <w:lang w:eastAsia="en-GB" w:bidi="ar-SA"/>
              </w:rPr>
            </w:pPr>
          </w:p>
        </w:tc>
        <w:tc>
          <w:tcPr>
            <w:tcW w:w="2328" w:type="dxa"/>
            <w:gridSpan w:val="3"/>
            <w:tcBorders>
              <w:left w:val="nil"/>
              <w:bottom w:val="single" w:sz="4" w:space="0" w:color="auto"/>
            </w:tcBorders>
            <w:shd w:val="clear" w:color="auto" w:fill="D9D9D9" w:themeFill="background1" w:themeFillShade="D9"/>
            <w:vAlign w:val="center"/>
            <w:hideMark/>
          </w:tcPr>
          <w:p w14:paraId="14F7DBCE"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Red meat, excluding game</w:t>
            </w:r>
          </w:p>
        </w:tc>
        <w:tc>
          <w:tcPr>
            <w:tcW w:w="807" w:type="dxa"/>
            <w:shd w:val="clear" w:color="auto" w:fill="D9D9D9" w:themeFill="background1" w:themeFillShade="D9"/>
            <w:vAlign w:val="center"/>
          </w:tcPr>
          <w:p w14:paraId="03B82D14"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51</w:t>
            </w:r>
          </w:p>
        </w:tc>
        <w:tc>
          <w:tcPr>
            <w:tcW w:w="807" w:type="dxa"/>
            <w:shd w:val="clear" w:color="auto" w:fill="D9D9D9" w:themeFill="background1" w:themeFillShade="D9"/>
            <w:vAlign w:val="center"/>
          </w:tcPr>
          <w:p w14:paraId="4BA6176E" w14:textId="77777777" w:rsidR="00C51F8F" w:rsidRPr="00A20B5B" w:rsidRDefault="00C51F8F" w:rsidP="00DF510F">
            <w:pPr>
              <w:widowControl/>
              <w:tabs>
                <w:tab w:val="decimal" w:pos="397"/>
              </w:tabs>
              <w:rPr>
                <w:rFonts w:cs="Arial"/>
                <w:color w:val="000000"/>
                <w:sz w:val="18"/>
                <w:szCs w:val="18"/>
              </w:rPr>
            </w:pPr>
            <w:r w:rsidRPr="005056E3">
              <w:rPr>
                <w:rFonts w:cs="Arial"/>
                <w:color w:val="000000"/>
                <w:sz w:val="18"/>
                <w:szCs w:val="18"/>
              </w:rPr>
              <w:t>51</w:t>
            </w:r>
          </w:p>
        </w:tc>
        <w:tc>
          <w:tcPr>
            <w:tcW w:w="809" w:type="dxa"/>
            <w:shd w:val="clear" w:color="auto" w:fill="D9D9D9" w:themeFill="background1" w:themeFillShade="D9"/>
            <w:vAlign w:val="center"/>
          </w:tcPr>
          <w:p w14:paraId="3DDDB585"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10</w:t>
            </w:r>
          </w:p>
        </w:tc>
        <w:tc>
          <w:tcPr>
            <w:tcW w:w="812" w:type="dxa"/>
            <w:shd w:val="clear" w:color="auto" w:fill="D9D9D9" w:themeFill="background1" w:themeFillShade="D9"/>
            <w:vAlign w:val="center"/>
          </w:tcPr>
          <w:p w14:paraId="7D8991FE"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34</w:t>
            </w:r>
          </w:p>
        </w:tc>
        <w:tc>
          <w:tcPr>
            <w:tcW w:w="809" w:type="dxa"/>
            <w:shd w:val="clear" w:color="auto" w:fill="D9D9D9" w:themeFill="background1" w:themeFillShade="D9"/>
            <w:vAlign w:val="center"/>
          </w:tcPr>
          <w:p w14:paraId="21B2C5F2" w14:textId="77777777" w:rsidR="00C51F8F" w:rsidRPr="00A20B5B" w:rsidRDefault="00C51F8F" w:rsidP="00DF510F">
            <w:pPr>
              <w:widowControl/>
              <w:tabs>
                <w:tab w:val="decimal" w:pos="397"/>
              </w:tabs>
              <w:rPr>
                <w:rFonts w:cs="Arial"/>
                <w:sz w:val="18"/>
                <w:szCs w:val="18"/>
              </w:rPr>
            </w:pPr>
            <w:r w:rsidRPr="005056E3">
              <w:rPr>
                <w:rFonts w:cs="Arial"/>
                <w:sz w:val="18"/>
                <w:szCs w:val="18"/>
              </w:rPr>
              <w:t>17</w:t>
            </w:r>
          </w:p>
        </w:tc>
        <w:tc>
          <w:tcPr>
            <w:tcW w:w="840" w:type="dxa"/>
            <w:shd w:val="clear" w:color="auto" w:fill="D9D9D9" w:themeFill="background1" w:themeFillShade="D9"/>
            <w:vAlign w:val="center"/>
          </w:tcPr>
          <w:p w14:paraId="62609460"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5</w:t>
            </w:r>
          </w:p>
        </w:tc>
        <w:tc>
          <w:tcPr>
            <w:tcW w:w="809" w:type="dxa"/>
            <w:shd w:val="clear" w:color="auto" w:fill="D9D9D9" w:themeFill="background1" w:themeFillShade="D9"/>
            <w:vAlign w:val="center"/>
          </w:tcPr>
          <w:p w14:paraId="2E29214F"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41</w:t>
            </w:r>
          </w:p>
        </w:tc>
        <w:tc>
          <w:tcPr>
            <w:tcW w:w="765" w:type="dxa"/>
            <w:shd w:val="clear" w:color="auto" w:fill="D9D9D9" w:themeFill="background1" w:themeFillShade="D9"/>
            <w:vAlign w:val="center"/>
          </w:tcPr>
          <w:p w14:paraId="7AEFA5E4" w14:textId="77777777" w:rsidR="00C51F8F" w:rsidRPr="00A20B5B" w:rsidRDefault="00C51F8F" w:rsidP="00DF510F">
            <w:pPr>
              <w:widowControl/>
              <w:tabs>
                <w:tab w:val="decimal" w:pos="397"/>
              </w:tabs>
              <w:rPr>
                <w:rFonts w:cs="Arial"/>
                <w:sz w:val="18"/>
                <w:szCs w:val="18"/>
              </w:rPr>
            </w:pPr>
            <w:r w:rsidRPr="005056E3">
              <w:rPr>
                <w:rFonts w:cs="Arial"/>
                <w:sz w:val="18"/>
                <w:szCs w:val="18"/>
              </w:rPr>
              <w:t>23</w:t>
            </w:r>
          </w:p>
        </w:tc>
        <w:tc>
          <w:tcPr>
            <w:tcW w:w="826" w:type="dxa"/>
            <w:shd w:val="clear" w:color="auto" w:fill="D9D9D9" w:themeFill="background1" w:themeFillShade="D9"/>
            <w:vAlign w:val="center"/>
          </w:tcPr>
          <w:p w14:paraId="56BC25FF"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6</w:t>
            </w:r>
          </w:p>
        </w:tc>
        <w:tc>
          <w:tcPr>
            <w:tcW w:w="846" w:type="dxa"/>
            <w:shd w:val="clear" w:color="auto" w:fill="auto"/>
            <w:vAlign w:val="center"/>
          </w:tcPr>
          <w:p w14:paraId="0B0A7F62"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0</w:t>
            </w:r>
          </w:p>
        </w:tc>
        <w:tc>
          <w:tcPr>
            <w:tcW w:w="846" w:type="dxa"/>
            <w:vAlign w:val="center"/>
          </w:tcPr>
          <w:p w14:paraId="2CC57A9D" w14:textId="77777777" w:rsidR="00C51F8F" w:rsidRPr="00A20B5B" w:rsidRDefault="00C51F8F" w:rsidP="00DF510F">
            <w:pPr>
              <w:widowControl/>
              <w:tabs>
                <w:tab w:val="decimal" w:pos="397"/>
              </w:tabs>
              <w:rPr>
                <w:rFonts w:cs="Arial"/>
                <w:sz w:val="18"/>
                <w:szCs w:val="18"/>
              </w:rPr>
            </w:pPr>
            <w:r w:rsidRPr="005056E3">
              <w:rPr>
                <w:rFonts w:cs="Arial"/>
                <w:sz w:val="18"/>
                <w:szCs w:val="18"/>
              </w:rPr>
              <w:t>0</w:t>
            </w:r>
          </w:p>
        </w:tc>
        <w:tc>
          <w:tcPr>
            <w:tcW w:w="672" w:type="dxa"/>
            <w:shd w:val="clear" w:color="auto" w:fill="auto"/>
            <w:vAlign w:val="center"/>
          </w:tcPr>
          <w:p w14:paraId="2EFDB2BA"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0</w:t>
            </w:r>
          </w:p>
        </w:tc>
      </w:tr>
      <w:tr w:rsidR="00A406E7" w:rsidRPr="00B83846" w14:paraId="56660D03" w14:textId="77777777" w:rsidTr="00221A11">
        <w:trPr>
          <w:cantSplit/>
        </w:trPr>
        <w:tc>
          <w:tcPr>
            <w:tcW w:w="1270" w:type="dxa"/>
            <w:tcBorders>
              <w:bottom w:val="single" w:sz="4" w:space="0" w:color="auto"/>
            </w:tcBorders>
            <w:shd w:val="clear" w:color="auto" w:fill="D9D9D9" w:themeFill="background1" w:themeFillShade="D9"/>
            <w:vAlign w:val="center"/>
            <w:hideMark/>
          </w:tcPr>
          <w:p w14:paraId="366E12E8"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8.2</w:t>
            </w:r>
          </w:p>
        </w:tc>
        <w:tc>
          <w:tcPr>
            <w:tcW w:w="756" w:type="dxa"/>
            <w:tcBorders>
              <w:bottom w:val="single" w:sz="4" w:space="0" w:color="auto"/>
              <w:right w:val="nil"/>
            </w:tcBorders>
            <w:shd w:val="clear" w:color="auto" w:fill="D9D9D9" w:themeFill="background1" w:themeFillShade="D9"/>
            <w:vAlign w:val="center"/>
          </w:tcPr>
          <w:p w14:paraId="37D81850" w14:textId="77777777" w:rsidR="00C51F8F" w:rsidRPr="00B83846" w:rsidRDefault="00C51F8F" w:rsidP="00DF510F">
            <w:pPr>
              <w:widowControl/>
              <w:rPr>
                <w:rFonts w:cs="Arial"/>
                <w:color w:val="000000"/>
                <w:sz w:val="18"/>
                <w:szCs w:val="18"/>
                <w:lang w:eastAsia="en-GB" w:bidi="ar-SA"/>
              </w:rPr>
            </w:pPr>
          </w:p>
        </w:tc>
        <w:tc>
          <w:tcPr>
            <w:tcW w:w="2328" w:type="dxa"/>
            <w:gridSpan w:val="3"/>
            <w:tcBorders>
              <w:left w:val="nil"/>
              <w:bottom w:val="single" w:sz="4" w:space="0" w:color="auto"/>
            </w:tcBorders>
            <w:shd w:val="clear" w:color="auto" w:fill="D9D9D9" w:themeFill="background1" w:themeFillShade="D9"/>
            <w:vAlign w:val="center"/>
            <w:hideMark/>
          </w:tcPr>
          <w:p w14:paraId="78297A38"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Processed meat/ poultry/ game products in whole/ cut pieces (e.g. ham, bacon, smoked chicken)</w:t>
            </w:r>
          </w:p>
        </w:tc>
        <w:tc>
          <w:tcPr>
            <w:tcW w:w="807" w:type="dxa"/>
            <w:tcBorders>
              <w:bottom w:val="single" w:sz="4" w:space="0" w:color="auto"/>
            </w:tcBorders>
            <w:shd w:val="clear" w:color="auto" w:fill="D9D9D9" w:themeFill="background1" w:themeFillShade="D9"/>
            <w:vAlign w:val="center"/>
          </w:tcPr>
          <w:p w14:paraId="6A42A948"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5</w:t>
            </w:r>
          </w:p>
        </w:tc>
        <w:tc>
          <w:tcPr>
            <w:tcW w:w="807" w:type="dxa"/>
            <w:tcBorders>
              <w:bottom w:val="single" w:sz="4" w:space="0" w:color="auto"/>
            </w:tcBorders>
            <w:shd w:val="clear" w:color="auto" w:fill="D9D9D9" w:themeFill="background1" w:themeFillShade="D9"/>
            <w:vAlign w:val="center"/>
          </w:tcPr>
          <w:p w14:paraId="1A652193" w14:textId="77777777" w:rsidR="00C51F8F" w:rsidRPr="00A20B5B" w:rsidRDefault="00C51F8F" w:rsidP="00DF510F">
            <w:pPr>
              <w:widowControl/>
              <w:tabs>
                <w:tab w:val="decimal" w:pos="397"/>
              </w:tabs>
              <w:rPr>
                <w:rFonts w:cs="Arial"/>
                <w:color w:val="000000"/>
                <w:sz w:val="18"/>
                <w:szCs w:val="18"/>
              </w:rPr>
            </w:pPr>
            <w:r w:rsidRPr="005056E3">
              <w:rPr>
                <w:rFonts w:cs="Arial"/>
                <w:color w:val="000000"/>
                <w:sz w:val="18"/>
                <w:szCs w:val="18"/>
              </w:rPr>
              <w:t>5</w:t>
            </w:r>
          </w:p>
        </w:tc>
        <w:tc>
          <w:tcPr>
            <w:tcW w:w="809" w:type="dxa"/>
            <w:tcBorders>
              <w:bottom w:val="single" w:sz="4" w:space="0" w:color="auto"/>
            </w:tcBorders>
            <w:shd w:val="clear" w:color="auto" w:fill="auto"/>
            <w:vAlign w:val="center"/>
          </w:tcPr>
          <w:p w14:paraId="34C5C5E4"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812" w:type="dxa"/>
            <w:tcBorders>
              <w:bottom w:val="single" w:sz="4" w:space="0" w:color="auto"/>
            </w:tcBorders>
            <w:shd w:val="clear" w:color="auto" w:fill="D9D9D9" w:themeFill="background1" w:themeFillShade="D9"/>
            <w:vAlign w:val="center"/>
          </w:tcPr>
          <w:p w14:paraId="22458C3A"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5</w:t>
            </w:r>
          </w:p>
        </w:tc>
        <w:tc>
          <w:tcPr>
            <w:tcW w:w="809" w:type="dxa"/>
            <w:tcBorders>
              <w:bottom w:val="single" w:sz="4" w:space="0" w:color="auto"/>
            </w:tcBorders>
            <w:vAlign w:val="center"/>
          </w:tcPr>
          <w:p w14:paraId="61216316" w14:textId="77777777" w:rsidR="00C51F8F" w:rsidRPr="00A20B5B" w:rsidRDefault="00C51F8F" w:rsidP="00DF510F">
            <w:pPr>
              <w:widowControl/>
              <w:tabs>
                <w:tab w:val="decimal" w:pos="397"/>
              </w:tabs>
              <w:rPr>
                <w:rFonts w:cs="Arial"/>
                <w:sz w:val="18"/>
                <w:szCs w:val="18"/>
              </w:rPr>
            </w:pPr>
            <w:r w:rsidRPr="005056E3">
              <w:rPr>
                <w:rFonts w:cs="Arial"/>
                <w:sz w:val="18"/>
                <w:szCs w:val="18"/>
              </w:rPr>
              <w:t>3</w:t>
            </w:r>
          </w:p>
        </w:tc>
        <w:tc>
          <w:tcPr>
            <w:tcW w:w="840" w:type="dxa"/>
            <w:tcBorders>
              <w:bottom w:val="single" w:sz="4" w:space="0" w:color="auto"/>
            </w:tcBorders>
            <w:shd w:val="clear" w:color="auto" w:fill="auto"/>
            <w:vAlign w:val="center"/>
          </w:tcPr>
          <w:p w14:paraId="58E330E9"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809" w:type="dxa"/>
            <w:tcBorders>
              <w:bottom w:val="single" w:sz="4" w:space="0" w:color="auto"/>
            </w:tcBorders>
            <w:shd w:val="clear" w:color="auto" w:fill="D9D9D9" w:themeFill="background1" w:themeFillShade="D9"/>
            <w:vAlign w:val="center"/>
          </w:tcPr>
          <w:p w14:paraId="1ED84665"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5</w:t>
            </w:r>
          </w:p>
        </w:tc>
        <w:tc>
          <w:tcPr>
            <w:tcW w:w="765" w:type="dxa"/>
            <w:vAlign w:val="center"/>
          </w:tcPr>
          <w:p w14:paraId="6A114BCF" w14:textId="77777777" w:rsidR="00C51F8F" w:rsidRPr="00A20B5B" w:rsidRDefault="00C51F8F" w:rsidP="00DF510F">
            <w:pPr>
              <w:widowControl/>
              <w:tabs>
                <w:tab w:val="decimal" w:pos="397"/>
              </w:tabs>
              <w:rPr>
                <w:rFonts w:cs="Arial"/>
                <w:sz w:val="18"/>
                <w:szCs w:val="18"/>
              </w:rPr>
            </w:pPr>
            <w:r w:rsidRPr="005056E3">
              <w:rPr>
                <w:rFonts w:cs="Arial"/>
                <w:sz w:val="18"/>
                <w:szCs w:val="18"/>
              </w:rPr>
              <w:t>3</w:t>
            </w:r>
          </w:p>
        </w:tc>
        <w:tc>
          <w:tcPr>
            <w:tcW w:w="826" w:type="dxa"/>
            <w:shd w:val="clear" w:color="auto" w:fill="auto"/>
            <w:vAlign w:val="center"/>
          </w:tcPr>
          <w:p w14:paraId="34962A1A"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846" w:type="dxa"/>
            <w:shd w:val="clear" w:color="auto" w:fill="auto"/>
            <w:vAlign w:val="center"/>
          </w:tcPr>
          <w:p w14:paraId="7FDA027B"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0</w:t>
            </w:r>
          </w:p>
        </w:tc>
        <w:tc>
          <w:tcPr>
            <w:tcW w:w="846" w:type="dxa"/>
            <w:vAlign w:val="center"/>
          </w:tcPr>
          <w:p w14:paraId="699E1D1F" w14:textId="77777777" w:rsidR="00C51F8F" w:rsidRPr="00A20B5B" w:rsidRDefault="00C51F8F" w:rsidP="00DF510F">
            <w:pPr>
              <w:widowControl/>
              <w:tabs>
                <w:tab w:val="decimal" w:pos="397"/>
              </w:tabs>
              <w:rPr>
                <w:rFonts w:cs="Arial"/>
                <w:sz w:val="18"/>
                <w:szCs w:val="18"/>
              </w:rPr>
            </w:pPr>
            <w:r w:rsidRPr="005056E3">
              <w:rPr>
                <w:rFonts w:cs="Arial"/>
                <w:sz w:val="18"/>
                <w:szCs w:val="18"/>
              </w:rPr>
              <w:t>0</w:t>
            </w:r>
          </w:p>
        </w:tc>
        <w:tc>
          <w:tcPr>
            <w:tcW w:w="672" w:type="dxa"/>
            <w:shd w:val="clear" w:color="auto" w:fill="auto"/>
            <w:vAlign w:val="center"/>
          </w:tcPr>
          <w:p w14:paraId="71D01297"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0</w:t>
            </w:r>
          </w:p>
        </w:tc>
      </w:tr>
      <w:tr w:rsidR="00A406E7" w:rsidRPr="00C74A6B" w14:paraId="486D4D36" w14:textId="77777777" w:rsidTr="00221A11">
        <w:trPr>
          <w:cantSplit/>
        </w:trPr>
        <w:tc>
          <w:tcPr>
            <w:tcW w:w="1270" w:type="dxa"/>
            <w:shd w:val="clear" w:color="auto" w:fill="auto"/>
            <w:vAlign w:val="center"/>
            <w:hideMark/>
          </w:tcPr>
          <w:p w14:paraId="26E0425D"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9</w:t>
            </w:r>
          </w:p>
        </w:tc>
        <w:tc>
          <w:tcPr>
            <w:tcW w:w="3084" w:type="dxa"/>
            <w:gridSpan w:val="4"/>
            <w:tcBorders>
              <w:bottom w:val="single" w:sz="4" w:space="0" w:color="auto"/>
            </w:tcBorders>
            <w:shd w:val="clear" w:color="auto" w:fill="auto"/>
            <w:vAlign w:val="center"/>
          </w:tcPr>
          <w:p w14:paraId="045EABE0"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Fish &amp; fish products</w:t>
            </w:r>
          </w:p>
        </w:tc>
        <w:tc>
          <w:tcPr>
            <w:tcW w:w="807" w:type="dxa"/>
            <w:shd w:val="clear" w:color="auto" w:fill="auto"/>
            <w:vAlign w:val="center"/>
          </w:tcPr>
          <w:p w14:paraId="3EF46BCB"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2</w:t>
            </w:r>
          </w:p>
        </w:tc>
        <w:tc>
          <w:tcPr>
            <w:tcW w:w="807" w:type="dxa"/>
            <w:shd w:val="clear" w:color="auto" w:fill="auto"/>
            <w:vAlign w:val="center"/>
          </w:tcPr>
          <w:p w14:paraId="41D82629"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2</w:t>
            </w:r>
          </w:p>
        </w:tc>
        <w:tc>
          <w:tcPr>
            <w:tcW w:w="809" w:type="dxa"/>
            <w:shd w:val="clear" w:color="auto" w:fill="auto"/>
            <w:vAlign w:val="center"/>
          </w:tcPr>
          <w:p w14:paraId="1C3CBD73"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12" w:type="dxa"/>
            <w:shd w:val="clear" w:color="auto" w:fill="auto"/>
            <w:vAlign w:val="center"/>
          </w:tcPr>
          <w:p w14:paraId="613CB459"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2</w:t>
            </w:r>
          </w:p>
        </w:tc>
        <w:tc>
          <w:tcPr>
            <w:tcW w:w="809" w:type="dxa"/>
            <w:vAlign w:val="center"/>
          </w:tcPr>
          <w:p w14:paraId="70DFB6C9"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&lt;1</w:t>
            </w:r>
          </w:p>
        </w:tc>
        <w:tc>
          <w:tcPr>
            <w:tcW w:w="840" w:type="dxa"/>
            <w:shd w:val="clear" w:color="auto" w:fill="auto"/>
            <w:vAlign w:val="center"/>
          </w:tcPr>
          <w:p w14:paraId="517431E8"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09" w:type="dxa"/>
            <w:shd w:val="clear" w:color="auto" w:fill="auto"/>
            <w:vAlign w:val="center"/>
          </w:tcPr>
          <w:p w14:paraId="71AB78E8"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1</w:t>
            </w:r>
          </w:p>
        </w:tc>
        <w:tc>
          <w:tcPr>
            <w:tcW w:w="765" w:type="dxa"/>
            <w:vAlign w:val="center"/>
          </w:tcPr>
          <w:p w14:paraId="5A4A3E23"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&lt;1</w:t>
            </w:r>
          </w:p>
        </w:tc>
        <w:tc>
          <w:tcPr>
            <w:tcW w:w="826" w:type="dxa"/>
            <w:shd w:val="clear" w:color="auto" w:fill="auto"/>
            <w:vAlign w:val="center"/>
          </w:tcPr>
          <w:p w14:paraId="6D3EA73E"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46" w:type="dxa"/>
            <w:shd w:val="clear" w:color="auto" w:fill="auto"/>
            <w:vAlign w:val="center"/>
          </w:tcPr>
          <w:p w14:paraId="17A2F042"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0</w:t>
            </w:r>
          </w:p>
        </w:tc>
        <w:tc>
          <w:tcPr>
            <w:tcW w:w="846" w:type="dxa"/>
            <w:vAlign w:val="center"/>
          </w:tcPr>
          <w:p w14:paraId="60E7DBD5"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0</w:t>
            </w:r>
          </w:p>
        </w:tc>
        <w:tc>
          <w:tcPr>
            <w:tcW w:w="672" w:type="dxa"/>
            <w:shd w:val="clear" w:color="auto" w:fill="auto"/>
            <w:vAlign w:val="center"/>
          </w:tcPr>
          <w:p w14:paraId="39E95BA3"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0</w:t>
            </w:r>
          </w:p>
        </w:tc>
      </w:tr>
      <w:tr w:rsidR="00A406E7" w:rsidRPr="00C74A6B" w14:paraId="73B33F67" w14:textId="77777777" w:rsidTr="00221A11">
        <w:trPr>
          <w:cantSplit/>
        </w:trPr>
        <w:tc>
          <w:tcPr>
            <w:tcW w:w="1270" w:type="dxa"/>
            <w:shd w:val="clear" w:color="auto" w:fill="auto"/>
            <w:vAlign w:val="center"/>
            <w:hideMark/>
          </w:tcPr>
          <w:p w14:paraId="17233C2A" w14:textId="77777777" w:rsidR="00E907D7" w:rsidRPr="00C74A6B" w:rsidRDefault="00E907D7" w:rsidP="001A319B">
            <w:pPr>
              <w:rPr>
                <w:rFonts w:cs="Arial"/>
                <w:bCs/>
                <w:color w:val="000000"/>
                <w:sz w:val="18"/>
                <w:szCs w:val="18"/>
                <w:lang w:eastAsia="en-GB" w:bidi="ar-SA"/>
              </w:rPr>
            </w:pPr>
            <w:r w:rsidRPr="00C74A6B">
              <w:rPr>
                <w:rFonts w:cs="Arial"/>
                <w:bCs/>
                <w:color w:val="000000"/>
                <w:sz w:val="18"/>
                <w:szCs w:val="18"/>
                <w:lang w:eastAsia="en-GB" w:bidi="ar-SA"/>
              </w:rPr>
              <w:t>10</w:t>
            </w:r>
          </w:p>
        </w:tc>
        <w:tc>
          <w:tcPr>
            <w:tcW w:w="3084" w:type="dxa"/>
            <w:gridSpan w:val="4"/>
            <w:tcBorders>
              <w:bottom w:val="single" w:sz="4" w:space="0" w:color="auto"/>
            </w:tcBorders>
            <w:shd w:val="clear" w:color="auto" w:fill="auto"/>
            <w:vAlign w:val="center"/>
          </w:tcPr>
          <w:p w14:paraId="3DC7E1D0" w14:textId="77777777" w:rsidR="00E907D7" w:rsidRPr="00C74A6B" w:rsidRDefault="00E907D7" w:rsidP="00E907D7">
            <w:pPr>
              <w:keepNext/>
              <w:keepLines/>
              <w:widowControl/>
              <w:rPr>
                <w:rFonts w:cs="Arial"/>
                <w:bCs/>
                <w:color w:val="000000"/>
                <w:sz w:val="18"/>
                <w:szCs w:val="18"/>
                <w:lang w:eastAsia="en-GB" w:bidi="ar-SA"/>
              </w:rPr>
            </w:pPr>
            <w:r w:rsidRPr="00C74A6B">
              <w:rPr>
                <w:rFonts w:cs="Arial"/>
                <w:bCs/>
                <w:color w:val="000000"/>
                <w:sz w:val="18"/>
                <w:szCs w:val="18"/>
                <w:lang w:eastAsia="en-GB" w:bidi="ar-SA"/>
              </w:rPr>
              <w:t>All Egg &amp; egg products</w:t>
            </w:r>
          </w:p>
        </w:tc>
        <w:tc>
          <w:tcPr>
            <w:tcW w:w="807" w:type="dxa"/>
            <w:shd w:val="clear" w:color="auto" w:fill="auto"/>
            <w:vAlign w:val="center"/>
          </w:tcPr>
          <w:p w14:paraId="382EB823" w14:textId="77777777" w:rsidR="00E907D7" w:rsidRPr="00C74A6B" w:rsidRDefault="00E907D7" w:rsidP="00E907D7">
            <w:pPr>
              <w:keepNext/>
              <w:keepLines/>
              <w:widowControl/>
              <w:tabs>
                <w:tab w:val="decimal" w:pos="397"/>
              </w:tabs>
              <w:rPr>
                <w:rFonts w:cs="Arial"/>
                <w:bCs/>
                <w:color w:val="000000"/>
                <w:sz w:val="18"/>
                <w:szCs w:val="18"/>
                <w:highlight w:val="magenta"/>
                <w:lang w:eastAsia="en-GB" w:bidi="ar-SA"/>
              </w:rPr>
            </w:pPr>
            <w:r w:rsidRPr="00C74A6B">
              <w:rPr>
                <w:rFonts w:cs="Arial"/>
                <w:bCs/>
                <w:color w:val="000000"/>
                <w:sz w:val="18"/>
                <w:szCs w:val="18"/>
              </w:rPr>
              <w:t>&lt;1</w:t>
            </w:r>
          </w:p>
        </w:tc>
        <w:tc>
          <w:tcPr>
            <w:tcW w:w="807" w:type="dxa"/>
            <w:vAlign w:val="center"/>
          </w:tcPr>
          <w:p w14:paraId="735AECCE" w14:textId="77777777" w:rsidR="00E907D7" w:rsidRPr="00C74A6B" w:rsidRDefault="00E907D7" w:rsidP="00E907D7">
            <w:pPr>
              <w:keepNext/>
              <w:keepLines/>
              <w:widowControl/>
              <w:tabs>
                <w:tab w:val="decimal" w:pos="397"/>
              </w:tabs>
              <w:rPr>
                <w:rFonts w:cs="Arial"/>
                <w:bCs/>
                <w:color w:val="000000"/>
                <w:sz w:val="18"/>
                <w:szCs w:val="18"/>
              </w:rPr>
            </w:pPr>
            <w:r w:rsidRPr="00C74A6B">
              <w:rPr>
                <w:rFonts w:cs="Arial"/>
                <w:bCs/>
                <w:color w:val="000000"/>
                <w:sz w:val="18"/>
                <w:szCs w:val="18"/>
              </w:rPr>
              <w:t>&lt;1</w:t>
            </w:r>
          </w:p>
        </w:tc>
        <w:tc>
          <w:tcPr>
            <w:tcW w:w="809" w:type="dxa"/>
            <w:shd w:val="clear" w:color="auto" w:fill="auto"/>
            <w:vAlign w:val="center"/>
          </w:tcPr>
          <w:p w14:paraId="023B8FBA" w14:textId="77777777" w:rsidR="00E907D7" w:rsidRPr="00C74A6B" w:rsidRDefault="00E907D7" w:rsidP="00E907D7">
            <w:pPr>
              <w:keepNext/>
              <w:keepLines/>
              <w:widowControl/>
              <w:tabs>
                <w:tab w:val="decimal" w:pos="397"/>
              </w:tabs>
              <w:rPr>
                <w:rFonts w:cs="Arial"/>
                <w:bCs/>
                <w:color w:val="000000"/>
                <w:sz w:val="18"/>
                <w:szCs w:val="18"/>
                <w:highlight w:val="magenta"/>
                <w:lang w:eastAsia="en-GB" w:bidi="ar-SA"/>
              </w:rPr>
            </w:pPr>
            <w:r w:rsidRPr="00C74A6B">
              <w:rPr>
                <w:rFonts w:cs="Arial"/>
                <w:bCs/>
                <w:color w:val="000000"/>
                <w:sz w:val="18"/>
                <w:szCs w:val="18"/>
              </w:rPr>
              <w:t>&lt;1</w:t>
            </w:r>
          </w:p>
        </w:tc>
        <w:tc>
          <w:tcPr>
            <w:tcW w:w="812" w:type="dxa"/>
            <w:shd w:val="clear" w:color="auto" w:fill="auto"/>
            <w:vAlign w:val="center"/>
          </w:tcPr>
          <w:p w14:paraId="420593D5" w14:textId="77777777" w:rsidR="00E907D7" w:rsidRPr="00C74A6B" w:rsidRDefault="00E907D7" w:rsidP="00E907D7">
            <w:pPr>
              <w:keepNext/>
              <w:keepLines/>
              <w:widowControl/>
              <w:tabs>
                <w:tab w:val="decimal" w:pos="397"/>
              </w:tabs>
              <w:rPr>
                <w:rFonts w:cs="Arial"/>
                <w:bCs/>
                <w:color w:val="000000"/>
                <w:sz w:val="18"/>
                <w:szCs w:val="18"/>
                <w:highlight w:val="magenta"/>
                <w:lang w:eastAsia="en-GB" w:bidi="ar-SA"/>
              </w:rPr>
            </w:pPr>
            <w:r w:rsidRPr="00C74A6B">
              <w:rPr>
                <w:rFonts w:cs="Arial"/>
                <w:bCs/>
                <w:color w:val="000000"/>
                <w:sz w:val="18"/>
                <w:szCs w:val="18"/>
              </w:rPr>
              <w:t>&lt;1</w:t>
            </w:r>
          </w:p>
        </w:tc>
        <w:tc>
          <w:tcPr>
            <w:tcW w:w="809" w:type="dxa"/>
            <w:vAlign w:val="center"/>
          </w:tcPr>
          <w:p w14:paraId="6B05343C" w14:textId="77777777" w:rsidR="00E907D7" w:rsidRPr="00C74A6B" w:rsidRDefault="00E907D7" w:rsidP="00E907D7">
            <w:pPr>
              <w:keepNext/>
              <w:keepLines/>
              <w:widowControl/>
              <w:tabs>
                <w:tab w:val="decimal" w:pos="397"/>
              </w:tabs>
              <w:rPr>
                <w:rFonts w:cs="Arial"/>
                <w:bCs/>
                <w:color w:val="000000"/>
                <w:sz w:val="18"/>
                <w:szCs w:val="18"/>
              </w:rPr>
            </w:pPr>
            <w:r w:rsidRPr="00C74A6B">
              <w:rPr>
                <w:rFonts w:cs="Arial"/>
                <w:bCs/>
                <w:color w:val="000000"/>
                <w:sz w:val="18"/>
                <w:szCs w:val="18"/>
              </w:rPr>
              <w:t>&lt;1</w:t>
            </w:r>
          </w:p>
        </w:tc>
        <w:tc>
          <w:tcPr>
            <w:tcW w:w="840" w:type="dxa"/>
            <w:shd w:val="clear" w:color="auto" w:fill="auto"/>
            <w:vAlign w:val="center"/>
          </w:tcPr>
          <w:p w14:paraId="41B1DB2E" w14:textId="77777777" w:rsidR="00E907D7" w:rsidRPr="00C74A6B" w:rsidRDefault="00E907D7" w:rsidP="00E907D7">
            <w:pPr>
              <w:keepNext/>
              <w:keepLines/>
              <w:widowControl/>
              <w:tabs>
                <w:tab w:val="decimal" w:pos="397"/>
              </w:tabs>
              <w:rPr>
                <w:rFonts w:cs="Arial"/>
                <w:bCs/>
                <w:color w:val="000000"/>
                <w:sz w:val="18"/>
                <w:szCs w:val="18"/>
                <w:highlight w:val="magenta"/>
                <w:lang w:eastAsia="en-GB" w:bidi="ar-SA"/>
              </w:rPr>
            </w:pPr>
            <w:r w:rsidRPr="00C74A6B">
              <w:rPr>
                <w:rFonts w:cs="Arial"/>
                <w:bCs/>
                <w:color w:val="000000"/>
                <w:sz w:val="18"/>
                <w:szCs w:val="18"/>
              </w:rPr>
              <w:t>&lt;1</w:t>
            </w:r>
          </w:p>
        </w:tc>
        <w:tc>
          <w:tcPr>
            <w:tcW w:w="809" w:type="dxa"/>
            <w:shd w:val="clear" w:color="auto" w:fill="auto"/>
            <w:vAlign w:val="center"/>
          </w:tcPr>
          <w:p w14:paraId="5F325770" w14:textId="77777777" w:rsidR="00E907D7" w:rsidRPr="00C74A6B" w:rsidRDefault="00E907D7" w:rsidP="00E907D7">
            <w:pPr>
              <w:keepNext/>
              <w:keepLines/>
              <w:widowControl/>
              <w:tabs>
                <w:tab w:val="decimal" w:pos="397"/>
              </w:tabs>
              <w:rPr>
                <w:rFonts w:cs="Arial"/>
                <w:bCs/>
                <w:color w:val="000000"/>
                <w:sz w:val="18"/>
                <w:szCs w:val="18"/>
                <w:highlight w:val="magenta"/>
                <w:lang w:eastAsia="en-GB" w:bidi="ar-SA"/>
              </w:rPr>
            </w:pPr>
            <w:r w:rsidRPr="00C74A6B">
              <w:rPr>
                <w:rFonts w:cs="Arial"/>
                <w:bCs/>
                <w:color w:val="000000"/>
                <w:sz w:val="18"/>
                <w:szCs w:val="18"/>
              </w:rPr>
              <w:t>&lt;1</w:t>
            </w:r>
          </w:p>
        </w:tc>
        <w:tc>
          <w:tcPr>
            <w:tcW w:w="765" w:type="dxa"/>
            <w:vAlign w:val="center"/>
          </w:tcPr>
          <w:p w14:paraId="29515AD3" w14:textId="77777777" w:rsidR="00E907D7" w:rsidRPr="00C74A6B" w:rsidRDefault="00E907D7" w:rsidP="00E907D7">
            <w:pPr>
              <w:keepNext/>
              <w:keepLines/>
              <w:widowControl/>
              <w:tabs>
                <w:tab w:val="decimal" w:pos="397"/>
              </w:tabs>
              <w:rPr>
                <w:rFonts w:cs="Arial"/>
                <w:bCs/>
                <w:color w:val="000000"/>
                <w:sz w:val="18"/>
                <w:szCs w:val="18"/>
              </w:rPr>
            </w:pPr>
            <w:r w:rsidRPr="00C74A6B">
              <w:rPr>
                <w:rFonts w:cs="Arial"/>
                <w:bCs/>
                <w:color w:val="000000"/>
                <w:sz w:val="18"/>
                <w:szCs w:val="18"/>
              </w:rPr>
              <w:t>&lt;1</w:t>
            </w:r>
          </w:p>
        </w:tc>
        <w:tc>
          <w:tcPr>
            <w:tcW w:w="826" w:type="dxa"/>
            <w:shd w:val="clear" w:color="auto" w:fill="auto"/>
            <w:vAlign w:val="center"/>
          </w:tcPr>
          <w:p w14:paraId="31162326" w14:textId="77777777" w:rsidR="00E907D7" w:rsidRPr="00C74A6B" w:rsidRDefault="00E907D7" w:rsidP="00E907D7">
            <w:pPr>
              <w:keepNext/>
              <w:keepLines/>
              <w:widowControl/>
              <w:tabs>
                <w:tab w:val="decimal" w:pos="397"/>
              </w:tabs>
              <w:rPr>
                <w:rFonts w:cs="Arial"/>
                <w:bCs/>
                <w:color w:val="000000"/>
                <w:sz w:val="18"/>
                <w:szCs w:val="18"/>
                <w:highlight w:val="magenta"/>
                <w:lang w:eastAsia="en-GB" w:bidi="ar-SA"/>
              </w:rPr>
            </w:pPr>
            <w:r w:rsidRPr="00C74A6B">
              <w:rPr>
                <w:rFonts w:cs="Arial"/>
                <w:bCs/>
                <w:color w:val="000000"/>
                <w:sz w:val="18"/>
                <w:szCs w:val="18"/>
              </w:rPr>
              <w:t>&lt;1</w:t>
            </w:r>
          </w:p>
        </w:tc>
        <w:tc>
          <w:tcPr>
            <w:tcW w:w="846" w:type="dxa"/>
            <w:shd w:val="clear" w:color="auto" w:fill="auto"/>
            <w:vAlign w:val="center"/>
          </w:tcPr>
          <w:p w14:paraId="394F421F" w14:textId="77777777" w:rsidR="00E907D7" w:rsidRPr="00C74A6B" w:rsidRDefault="00E907D7" w:rsidP="00E907D7">
            <w:pPr>
              <w:keepNext/>
              <w:keepLines/>
              <w:widowControl/>
              <w:tabs>
                <w:tab w:val="decimal" w:pos="397"/>
              </w:tabs>
              <w:rPr>
                <w:rFonts w:cs="Arial"/>
                <w:bCs/>
                <w:color w:val="000000"/>
                <w:sz w:val="18"/>
                <w:szCs w:val="18"/>
                <w:highlight w:val="magenta"/>
                <w:lang w:eastAsia="en-GB" w:bidi="ar-SA"/>
              </w:rPr>
            </w:pPr>
            <w:r w:rsidRPr="00C74A6B">
              <w:rPr>
                <w:rFonts w:cs="Arial"/>
                <w:bCs/>
                <w:color w:val="000000"/>
                <w:sz w:val="18"/>
                <w:szCs w:val="18"/>
              </w:rPr>
              <w:t>1</w:t>
            </w:r>
          </w:p>
        </w:tc>
        <w:tc>
          <w:tcPr>
            <w:tcW w:w="846" w:type="dxa"/>
            <w:vAlign w:val="center"/>
          </w:tcPr>
          <w:p w14:paraId="30A86685" w14:textId="77777777" w:rsidR="00E907D7" w:rsidRPr="00C74A6B" w:rsidRDefault="00E907D7" w:rsidP="00E907D7">
            <w:pPr>
              <w:keepNext/>
              <w:keepLines/>
              <w:widowControl/>
              <w:tabs>
                <w:tab w:val="decimal" w:pos="397"/>
              </w:tabs>
              <w:rPr>
                <w:rFonts w:cs="Arial"/>
                <w:bCs/>
                <w:color w:val="000000"/>
                <w:sz w:val="18"/>
                <w:szCs w:val="18"/>
              </w:rPr>
            </w:pPr>
            <w:r w:rsidRPr="00C74A6B">
              <w:rPr>
                <w:rFonts w:cs="Arial"/>
                <w:bCs/>
                <w:color w:val="000000"/>
                <w:sz w:val="18"/>
                <w:szCs w:val="18"/>
              </w:rPr>
              <w:t>1</w:t>
            </w:r>
          </w:p>
        </w:tc>
        <w:tc>
          <w:tcPr>
            <w:tcW w:w="672" w:type="dxa"/>
            <w:shd w:val="clear" w:color="auto" w:fill="auto"/>
            <w:vAlign w:val="center"/>
          </w:tcPr>
          <w:p w14:paraId="4771CC31" w14:textId="77777777" w:rsidR="00E907D7" w:rsidRPr="00C74A6B" w:rsidRDefault="00E907D7" w:rsidP="00E907D7">
            <w:pPr>
              <w:keepNext/>
              <w:keepLines/>
              <w:widowControl/>
              <w:tabs>
                <w:tab w:val="decimal" w:pos="397"/>
              </w:tabs>
              <w:rPr>
                <w:rFonts w:cs="Arial"/>
                <w:bCs/>
                <w:color w:val="000000"/>
                <w:sz w:val="18"/>
                <w:szCs w:val="18"/>
                <w:highlight w:val="magenta"/>
                <w:lang w:eastAsia="en-GB" w:bidi="ar-SA"/>
              </w:rPr>
            </w:pPr>
            <w:r w:rsidRPr="00C74A6B">
              <w:rPr>
                <w:rFonts w:cs="Arial"/>
                <w:bCs/>
                <w:color w:val="000000"/>
                <w:sz w:val="18"/>
                <w:szCs w:val="18"/>
              </w:rPr>
              <w:t>&lt;1</w:t>
            </w:r>
          </w:p>
        </w:tc>
      </w:tr>
      <w:tr w:rsidR="00A406E7" w:rsidRPr="00C74A6B" w14:paraId="2E58E626" w14:textId="77777777" w:rsidTr="00221A11">
        <w:trPr>
          <w:cantSplit/>
        </w:trPr>
        <w:tc>
          <w:tcPr>
            <w:tcW w:w="1270" w:type="dxa"/>
            <w:shd w:val="clear" w:color="auto" w:fill="auto"/>
            <w:vAlign w:val="center"/>
            <w:hideMark/>
          </w:tcPr>
          <w:p w14:paraId="0DF1DF0F"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12</w:t>
            </w:r>
          </w:p>
        </w:tc>
        <w:tc>
          <w:tcPr>
            <w:tcW w:w="3084" w:type="dxa"/>
            <w:gridSpan w:val="4"/>
            <w:tcBorders>
              <w:bottom w:val="single" w:sz="4" w:space="0" w:color="auto"/>
            </w:tcBorders>
            <w:shd w:val="clear" w:color="auto" w:fill="auto"/>
            <w:vAlign w:val="center"/>
          </w:tcPr>
          <w:p w14:paraId="1306FCD2"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Salts &amp; condiments</w:t>
            </w:r>
          </w:p>
        </w:tc>
        <w:tc>
          <w:tcPr>
            <w:tcW w:w="807" w:type="dxa"/>
            <w:shd w:val="clear" w:color="auto" w:fill="auto"/>
            <w:vAlign w:val="center"/>
          </w:tcPr>
          <w:p w14:paraId="0E1DCAE0"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22"/>
              </w:rPr>
              <w:t>&lt;1</w:t>
            </w:r>
          </w:p>
        </w:tc>
        <w:tc>
          <w:tcPr>
            <w:tcW w:w="807" w:type="dxa"/>
            <w:vAlign w:val="center"/>
          </w:tcPr>
          <w:p w14:paraId="27FCAAE6" w14:textId="77777777" w:rsidR="00E907D7" w:rsidRPr="00C74A6B" w:rsidRDefault="00E907D7" w:rsidP="00E907D7">
            <w:pPr>
              <w:widowControl/>
              <w:tabs>
                <w:tab w:val="decimal" w:pos="397"/>
              </w:tabs>
              <w:rPr>
                <w:rFonts w:cs="Arial"/>
                <w:bCs/>
                <w:color w:val="000000"/>
                <w:sz w:val="18"/>
                <w:szCs w:val="22"/>
              </w:rPr>
            </w:pPr>
            <w:r w:rsidRPr="00C74A6B">
              <w:rPr>
                <w:rFonts w:cs="Arial"/>
                <w:bCs/>
                <w:color w:val="000000"/>
                <w:sz w:val="18"/>
                <w:szCs w:val="22"/>
              </w:rPr>
              <w:t>&lt;1</w:t>
            </w:r>
          </w:p>
        </w:tc>
        <w:tc>
          <w:tcPr>
            <w:tcW w:w="809" w:type="dxa"/>
            <w:shd w:val="clear" w:color="auto" w:fill="auto"/>
            <w:vAlign w:val="center"/>
          </w:tcPr>
          <w:p w14:paraId="233503E3"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22"/>
              </w:rPr>
              <w:t>&lt;1</w:t>
            </w:r>
          </w:p>
        </w:tc>
        <w:tc>
          <w:tcPr>
            <w:tcW w:w="812" w:type="dxa"/>
            <w:shd w:val="clear" w:color="auto" w:fill="auto"/>
            <w:vAlign w:val="center"/>
          </w:tcPr>
          <w:p w14:paraId="43E2D622"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22"/>
              </w:rPr>
              <w:t>&lt;1</w:t>
            </w:r>
          </w:p>
        </w:tc>
        <w:tc>
          <w:tcPr>
            <w:tcW w:w="809" w:type="dxa"/>
            <w:vAlign w:val="center"/>
          </w:tcPr>
          <w:p w14:paraId="703DB8CE" w14:textId="77777777" w:rsidR="00E907D7" w:rsidRPr="00C74A6B" w:rsidRDefault="00E907D7" w:rsidP="00E907D7">
            <w:pPr>
              <w:widowControl/>
              <w:tabs>
                <w:tab w:val="decimal" w:pos="397"/>
              </w:tabs>
              <w:rPr>
                <w:rFonts w:cs="Arial"/>
                <w:bCs/>
                <w:color w:val="000000"/>
                <w:sz w:val="18"/>
                <w:szCs w:val="22"/>
              </w:rPr>
            </w:pPr>
            <w:r w:rsidRPr="00C74A6B">
              <w:rPr>
                <w:rFonts w:cs="Arial"/>
                <w:bCs/>
                <w:color w:val="000000"/>
                <w:sz w:val="18"/>
                <w:szCs w:val="22"/>
              </w:rPr>
              <w:t>&lt;1</w:t>
            </w:r>
          </w:p>
        </w:tc>
        <w:tc>
          <w:tcPr>
            <w:tcW w:w="840" w:type="dxa"/>
            <w:shd w:val="clear" w:color="auto" w:fill="auto"/>
            <w:vAlign w:val="center"/>
          </w:tcPr>
          <w:p w14:paraId="0AE7AA9B"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22"/>
              </w:rPr>
              <w:t>&lt;1</w:t>
            </w:r>
          </w:p>
        </w:tc>
        <w:tc>
          <w:tcPr>
            <w:tcW w:w="809" w:type="dxa"/>
            <w:shd w:val="clear" w:color="auto" w:fill="auto"/>
            <w:vAlign w:val="center"/>
          </w:tcPr>
          <w:p w14:paraId="7488A1D8"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22"/>
              </w:rPr>
              <w:t>&lt;1</w:t>
            </w:r>
          </w:p>
        </w:tc>
        <w:tc>
          <w:tcPr>
            <w:tcW w:w="765" w:type="dxa"/>
            <w:vAlign w:val="center"/>
          </w:tcPr>
          <w:p w14:paraId="38B5DBBF" w14:textId="77777777" w:rsidR="00E907D7" w:rsidRPr="00C74A6B" w:rsidRDefault="00E907D7" w:rsidP="00E907D7">
            <w:pPr>
              <w:widowControl/>
              <w:tabs>
                <w:tab w:val="decimal" w:pos="397"/>
              </w:tabs>
              <w:rPr>
                <w:rFonts w:cs="Arial"/>
                <w:bCs/>
                <w:color w:val="000000"/>
                <w:sz w:val="18"/>
                <w:szCs w:val="22"/>
              </w:rPr>
            </w:pPr>
            <w:r w:rsidRPr="00C74A6B">
              <w:rPr>
                <w:rFonts w:cs="Arial"/>
                <w:bCs/>
                <w:color w:val="000000"/>
                <w:sz w:val="18"/>
                <w:szCs w:val="22"/>
              </w:rPr>
              <w:t>&lt;1</w:t>
            </w:r>
          </w:p>
        </w:tc>
        <w:tc>
          <w:tcPr>
            <w:tcW w:w="826" w:type="dxa"/>
            <w:shd w:val="clear" w:color="auto" w:fill="auto"/>
            <w:vAlign w:val="center"/>
          </w:tcPr>
          <w:p w14:paraId="33BC0707"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22"/>
              </w:rPr>
              <w:t>&lt;1</w:t>
            </w:r>
          </w:p>
        </w:tc>
        <w:tc>
          <w:tcPr>
            <w:tcW w:w="846" w:type="dxa"/>
            <w:shd w:val="clear" w:color="auto" w:fill="auto"/>
            <w:vAlign w:val="center"/>
          </w:tcPr>
          <w:p w14:paraId="4F666CD0"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22"/>
              </w:rPr>
              <w:t>&lt;1</w:t>
            </w:r>
          </w:p>
        </w:tc>
        <w:tc>
          <w:tcPr>
            <w:tcW w:w="846" w:type="dxa"/>
            <w:vAlign w:val="center"/>
          </w:tcPr>
          <w:p w14:paraId="2769362A" w14:textId="77777777" w:rsidR="00E907D7" w:rsidRPr="00C74A6B" w:rsidRDefault="00E907D7" w:rsidP="00E907D7">
            <w:pPr>
              <w:widowControl/>
              <w:tabs>
                <w:tab w:val="decimal" w:pos="397"/>
              </w:tabs>
              <w:rPr>
                <w:rFonts w:cs="Arial"/>
                <w:bCs/>
                <w:color w:val="000000"/>
                <w:sz w:val="18"/>
                <w:szCs w:val="22"/>
              </w:rPr>
            </w:pPr>
            <w:r w:rsidRPr="00C74A6B">
              <w:rPr>
                <w:rFonts w:cs="Arial"/>
                <w:bCs/>
                <w:color w:val="000000"/>
                <w:sz w:val="18"/>
                <w:szCs w:val="22"/>
              </w:rPr>
              <w:t>&lt;1</w:t>
            </w:r>
          </w:p>
        </w:tc>
        <w:tc>
          <w:tcPr>
            <w:tcW w:w="672" w:type="dxa"/>
            <w:shd w:val="clear" w:color="auto" w:fill="auto"/>
            <w:vAlign w:val="center"/>
          </w:tcPr>
          <w:p w14:paraId="0A4FB17E"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22"/>
              </w:rPr>
              <w:t>&lt;1</w:t>
            </w:r>
          </w:p>
        </w:tc>
      </w:tr>
      <w:tr w:rsidR="00A406E7" w:rsidRPr="00C74A6B" w14:paraId="066E1ADE" w14:textId="77777777" w:rsidTr="00221A11">
        <w:trPr>
          <w:cantSplit/>
        </w:trPr>
        <w:tc>
          <w:tcPr>
            <w:tcW w:w="1270" w:type="dxa"/>
            <w:shd w:val="clear" w:color="auto" w:fill="D9D9D9" w:themeFill="background1" w:themeFillShade="D9"/>
            <w:vAlign w:val="center"/>
            <w:hideMark/>
          </w:tcPr>
          <w:p w14:paraId="1390E839"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13</w:t>
            </w:r>
          </w:p>
        </w:tc>
        <w:tc>
          <w:tcPr>
            <w:tcW w:w="3084" w:type="dxa"/>
            <w:gridSpan w:val="4"/>
            <w:tcBorders>
              <w:bottom w:val="single" w:sz="4" w:space="0" w:color="auto"/>
            </w:tcBorders>
            <w:shd w:val="clear" w:color="auto" w:fill="D9D9D9" w:themeFill="background1" w:themeFillShade="D9"/>
            <w:vAlign w:val="center"/>
          </w:tcPr>
          <w:p w14:paraId="39298609" w14:textId="77777777" w:rsidR="00E907D7" w:rsidRPr="00C74A6B" w:rsidRDefault="00E907D7" w:rsidP="00E907D7">
            <w:pPr>
              <w:widowControl/>
              <w:rPr>
                <w:rFonts w:cs="Arial"/>
                <w:bCs/>
                <w:color w:val="000000"/>
                <w:sz w:val="18"/>
                <w:szCs w:val="18"/>
                <w:lang w:eastAsia="en-GB" w:bidi="ar-SA"/>
              </w:rPr>
            </w:pPr>
            <w:r w:rsidRPr="00C74A6B">
              <w:rPr>
                <w:rFonts w:cs="Arial"/>
                <w:bCs/>
                <w:color w:val="000000"/>
                <w:sz w:val="18"/>
                <w:szCs w:val="18"/>
                <w:lang w:eastAsia="en-GB" w:bidi="ar-SA"/>
              </w:rPr>
              <w:t>All Foods intended for particular dietary uses</w:t>
            </w:r>
          </w:p>
        </w:tc>
        <w:tc>
          <w:tcPr>
            <w:tcW w:w="807" w:type="dxa"/>
            <w:shd w:val="clear" w:color="auto" w:fill="auto"/>
            <w:vAlign w:val="center"/>
          </w:tcPr>
          <w:p w14:paraId="0907CB02"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07" w:type="dxa"/>
            <w:vAlign w:val="center"/>
          </w:tcPr>
          <w:p w14:paraId="0B03C700"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2</w:t>
            </w:r>
          </w:p>
        </w:tc>
        <w:tc>
          <w:tcPr>
            <w:tcW w:w="809" w:type="dxa"/>
            <w:shd w:val="clear" w:color="auto" w:fill="auto"/>
            <w:vAlign w:val="center"/>
          </w:tcPr>
          <w:p w14:paraId="2AF5F21D"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3</w:t>
            </w:r>
          </w:p>
        </w:tc>
        <w:tc>
          <w:tcPr>
            <w:tcW w:w="812" w:type="dxa"/>
            <w:shd w:val="clear" w:color="auto" w:fill="D9D9D9" w:themeFill="background1" w:themeFillShade="D9"/>
            <w:vAlign w:val="center"/>
          </w:tcPr>
          <w:p w14:paraId="38561555"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25</w:t>
            </w:r>
          </w:p>
        </w:tc>
        <w:tc>
          <w:tcPr>
            <w:tcW w:w="809" w:type="dxa"/>
            <w:shd w:val="clear" w:color="auto" w:fill="D9D9D9" w:themeFill="background1" w:themeFillShade="D9"/>
            <w:vAlign w:val="center"/>
          </w:tcPr>
          <w:p w14:paraId="597D2CB4"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62</w:t>
            </w:r>
          </w:p>
        </w:tc>
        <w:tc>
          <w:tcPr>
            <w:tcW w:w="840" w:type="dxa"/>
            <w:shd w:val="clear" w:color="auto" w:fill="D9D9D9" w:themeFill="background1" w:themeFillShade="D9"/>
            <w:vAlign w:val="center"/>
          </w:tcPr>
          <w:p w14:paraId="3228D287"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20</w:t>
            </w:r>
          </w:p>
        </w:tc>
        <w:tc>
          <w:tcPr>
            <w:tcW w:w="809" w:type="dxa"/>
            <w:shd w:val="clear" w:color="auto" w:fill="D9D9D9" w:themeFill="background1" w:themeFillShade="D9"/>
            <w:vAlign w:val="center"/>
          </w:tcPr>
          <w:p w14:paraId="6321566A"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20</w:t>
            </w:r>
          </w:p>
        </w:tc>
        <w:tc>
          <w:tcPr>
            <w:tcW w:w="765" w:type="dxa"/>
            <w:shd w:val="clear" w:color="auto" w:fill="D9D9D9" w:themeFill="background1" w:themeFillShade="D9"/>
            <w:vAlign w:val="center"/>
          </w:tcPr>
          <w:p w14:paraId="10FD0464"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55</w:t>
            </w:r>
          </w:p>
        </w:tc>
        <w:tc>
          <w:tcPr>
            <w:tcW w:w="826" w:type="dxa"/>
            <w:shd w:val="clear" w:color="auto" w:fill="D9D9D9" w:themeFill="background1" w:themeFillShade="D9"/>
            <w:vAlign w:val="center"/>
          </w:tcPr>
          <w:p w14:paraId="559E28AC"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19</w:t>
            </w:r>
          </w:p>
        </w:tc>
        <w:tc>
          <w:tcPr>
            <w:tcW w:w="846" w:type="dxa"/>
            <w:shd w:val="clear" w:color="auto" w:fill="auto"/>
            <w:vAlign w:val="center"/>
          </w:tcPr>
          <w:p w14:paraId="2F8B3F1A"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4</w:t>
            </w:r>
          </w:p>
        </w:tc>
        <w:tc>
          <w:tcPr>
            <w:tcW w:w="846" w:type="dxa"/>
            <w:vAlign w:val="center"/>
          </w:tcPr>
          <w:p w14:paraId="0C00A283" w14:textId="77777777" w:rsidR="00E907D7" w:rsidRPr="00C74A6B" w:rsidRDefault="00E907D7" w:rsidP="00E907D7">
            <w:pPr>
              <w:widowControl/>
              <w:tabs>
                <w:tab w:val="decimal" w:pos="397"/>
              </w:tabs>
              <w:rPr>
                <w:rFonts w:cs="Arial"/>
                <w:bCs/>
                <w:color w:val="000000"/>
                <w:sz w:val="18"/>
                <w:szCs w:val="18"/>
              </w:rPr>
            </w:pPr>
            <w:r w:rsidRPr="00C74A6B">
              <w:rPr>
                <w:rFonts w:cs="Arial"/>
                <w:bCs/>
                <w:color w:val="000000"/>
                <w:sz w:val="18"/>
                <w:szCs w:val="18"/>
              </w:rPr>
              <w:t>4</w:t>
            </w:r>
          </w:p>
        </w:tc>
        <w:tc>
          <w:tcPr>
            <w:tcW w:w="672" w:type="dxa"/>
            <w:shd w:val="clear" w:color="auto" w:fill="auto"/>
            <w:vAlign w:val="center"/>
          </w:tcPr>
          <w:p w14:paraId="0F673BCF" w14:textId="77777777" w:rsidR="00E907D7" w:rsidRPr="00C74A6B" w:rsidRDefault="00E907D7" w:rsidP="00E907D7">
            <w:pPr>
              <w:widowControl/>
              <w:tabs>
                <w:tab w:val="decimal" w:pos="397"/>
              </w:tabs>
              <w:rPr>
                <w:rFonts w:cs="Arial"/>
                <w:bCs/>
                <w:color w:val="000000"/>
                <w:sz w:val="18"/>
                <w:szCs w:val="18"/>
                <w:lang w:eastAsia="en-GB" w:bidi="ar-SA"/>
              </w:rPr>
            </w:pPr>
            <w:r w:rsidRPr="00C74A6B">
              <w:rPr>
                <w:rFonts w:cs="Arial"/>
                <w:bCs/>
                <w:color w:val="000000"/>
                <w:sz w:val="18"/>
                <w:szCs w:val="18"/>
              </w:rPr>
              <w:t>3</w:t>
            </w:r>
          </w:p>
        </w:tc>
      </w:tr>
      <w:tr w:rsidR="00A406E7" w:rsidRPr="00C74A6B" w14:paraId="4C73E130" w14:textId="77777777" w:rsidTr="00221A11">
        <w:trPr>
          <w:cantSplit/>
        </w:trPr>
        <w:tc>
          <w:tcPr>
            <w:tcW w:w="1270" w:type="dxa"/>
            <w:tcBorders>
              <w:bottom w:val="single" w:sz="4" w:space="0" w:color="auto"/>
            </w:tcBorders>
            <w:shd w:val="clear" w:color="auto" w:fill="auto"/>
            <w:vAlign w:val="center"/>
            <w:hideMark/>
          </w:tcPr>
          <w:p w14:paraId="1D8B8F72" w14:textId="77777777" w:rsidR="001A319B" w:rsidRPr="00C74A6B" w:rsidRDefault="001A319B" w:rsidP="00E907D7">
            <w:pPr>
              <w:widowControl/>
              <w:rPr>
                <w:rFonts w:cs="Arial"/>
                <w:color w:val="000000"/>
                <w:sz w:val="18"/>
                <w:szCs w:val="18"/>
                <w:lang w:eastAsia="en-GB" w:bidi="ar-SA"/>
              </w:rPr>
            </w:pPr>
            <w:r w:rsidRPr="00C74A6B">
              <w:rPr>
                <w:rFonts w:cs="Arial"/>
                <w:color w:val="000000"/>
                <w:sz w:val="18"/>
                <w:szCs w:val="18"/>
                <w:lang w:eastAsia="en-GB" w:bidi="ar-SA"/>
              </w:rPr>
              <w:t>13.3.1</w:t>
            </w:r>
          </w:p>
        </w:tc>
        <w:tc>
          <w:tcPr>
            <w:tcW w:w="3084" w:type="dxa"/>
            <w:gridSpan w:val="4"/>
            <w:tcBorders>
              <w:bottom w:val="single" w:sz="4" w:space="0" w:color="auto"/>
            </w:tcBorders>
            <w:shd w:val="clear" w:color="auto" w:fill="auto"/>
            <w:vAlign w:val="center"/>
          </w:tcPr>
          <w:p w14:paraId="4E6C3944" w14:textId="4B6AE839" w:rsidR="001A319B" w:rsidRPr="00C74A6B" w:rsidRDefault="001A319B" w:rsidP="001A319B">
            <w:pPr>
              <w:widowControl/>
              <w:ind w:left="180" w:hanging="180"/>
              <w:rPr>
                <w:rFonts w:cs="Arial"/>
                <w:color w:val="000000" w:themeColor="text1"/>
                <w:sz w:val="18"/>
                <w:szCs w:val="18"/>
                <w:lang w:eastAsia="en-GB" w:bidi="ar-SA"/>
              </w:rPr>
            </w:pPr>
            <w:r>
              <w:rPr>
                <w:rFonts w:cs="Arial"/>
                <w:color w:val="000000"/>
                <w:sz w:val="18"/>
                <w:szCs w:val="18"/>
              </w:rPr>
              <w:tab/>
            </w:r>
            <w:r w:rsidRPr="00C74A6B">
              <w:rPr>
                <w:rFonts w:cs="Arial"/>
                <w:color w:val="000000"/>
                <w:sz w:val="18"/>
                <w:szCs w:val="18"/>
              </w:rPr>
              <w:t>Solid formula meal replacement &amp; formulated supplementary foods</w:t>
            </w:r>
          </w:p>
        </w:tc>
        <w:tc>
          <w:tcPr>
            <w:tcW w:w="807" w:type="dxa"/>
            <w:shd w:val="clear" w:color="auto" w:fill="auto"/>
            <w:vAlign w:val="center"/>
          </w:tcPr>
          <w:p w14:paraId="28DDB97A" w14:textId="77777777" w:rsidR="001A319B" w:rsidRPr="00C74A6B" w:rsidRDefault="001A319B" w:rsidP="00E907D7">
            <w:pPr>
              <w:widowControl/>
              <w:tabs>
                <w:tab w:val="decimal" w:pos="397"/>
              </w:tabs>
              <w:rPr>
                <w:rFonts w:cs="Arial"/>
                <w:color w:val="000000"/>
                <w:sz w:val="18"/>
                <w:szCs w:val="18"/>
                <w:lang w:eastAsia="en-GB" w:bidi="ar-SA"/>
              </w:rPr>
            </w:pPr>
            <w:r w:rsidRPr="00C74A6B">
              <w:rPr>
                <w:rFonts w:cs="Arial"/>
                <w:color w:val="000000"/>
                <w:sz w:val="18"/>
                <w:szCs w:val="18"/>
              </w:rPr>
              <w:t>0</w:t>
            </w:r>
          </w:p>
        </w:tc>
        <w:tc>
          <w:tcPr>
            <w:tcW w:w="807" w:type="dxa"/>
            <w:shd w:val="clear" w:color="auto" w:fill="auto"/>
            <w:vAlign w:val="center"/>
          </w:tcPr>
          <w:p w14:paraId="5D2133A4" w14:textId="77777777" w:rsidR="001A319B" w:rsidRPr="00C74A6B" w:rsidRDefault="001A319B" w:rsidP="00E907D7">
            <w:pPr>
              <w:widowControl/>
              <w:tabs>
                <w:tab w:val="decimal" w:pos="397"/>
              </w:tabs>
              <w:rPr>
                <w:rFonts w:cs="Arial"/>
                <w:color w:val="000000"/>
                <w:sz w:val="18"/>
                <w:szCs w:val="18"/>
              </w:rPr>
            </w:pPr>
            <w:r w:rsidRPr="00C74A6B">
              <w:rPr>
                <w:rFonts w:cs="Arial"/>
                <w:color w:val="000000"/>
                <w:sz w:val="18"/>
                <w:szCs w:val="18"/>
              </w:rPr>
              <w:t>0</w:t>
            </w:r>
          </w:p>
        </w:tc>
        <w:tc>
          <w:tcPr>
            <w:tcW w:w="809" w:type="dxa"/>
            <w:shd w:val="clear" w:color="auto" w:fill="auto"/>
            <w:vAlign w:val="center"/>
          </w:tcPr>
          <w:p w14:paraId="5DC70EDE" w14:textId="77777777" w:rsidR="001A319B" w:rsidRPr="00C74A6B" w:rsidRDefault="001A319B" w:rsidP="00E907D7">
            <w:pPr>
              <w:widowControl/>
              <w:tabs>
                <w:tab w:val="decimal" w:pos="397"/>
              </w:tabs>
              <w:rPr>
                <w:rFonts w:cs="Arial"/>
                <w:color w:val="000000"/>
                <w:sz w:val="18"/>
                <w:szCs w:val="18"/>
                <w:lang w:eastAsia="en-GB" w:bidi="ar-SA"/>
              </w:rPr>
            </w:pPr>
            <w:r w:rsidRPr="00C74A6B">
              <w:rPr>
                <w:rFonts w:cs="Arial"/>
                <w:color w:val="000000"/>
                <w:sz w:val="18"/>
                <w:szCs w:val="18"/>
              </w:rPr>
              <w:t>0</w:t>
            </w:r>
          </w:p>
        </w:tc>
        <w:tc>
          <w:tcPr>
            <w:tcW w:w="812" w:type="dxa"/>
            <w:shd w:val="clear" w:color="auto" w:fill="auto"/>
            <w:vAlign w:val="center"/>
          </w:tcPr>
          <w:p w14:paraId="389230E4" w14:textId="77777777" w:rsidR="001A319B" w:rsidRPr="00C74A6B" w:rsidRDefault="001A319B" w:rsidP="00E907D7">
            <w:pPr>
              <w:widowControl/>
              <w:tabs>
                <w:tab w:val="decimal" w:pos="397"/>
              </w:tabs>
              <w:rPr>
                <w:rFonts w:cs="Arial"/>
                <w:sz w:val="18"/>
                <w:szCs w:val="18"/>
                <w:lang w:eastAsia="en-GB" w:bidi="ar-SA"/>
              </w:rPr>
            </w:pPr>
            <w:r w:rsidRPr="00C74A6B">
              <w:rPr>
                <w:rFonts w:cs="Arial"/>
                <w:sz w:val="18"/>
                <w:szCs w:val="18"/>
              </w:rPr>
              <w:t>0</w:t>
            </w:r>
          </w:p>
        </w:tc>
        <w:tc>
          <w:tcPr>
            <w:tcW w:w="809" w:type="dxa"/>
            <w:shd w:val="clear" w:color="auto" w:fill="auto"/>
            <w:vAlign w:val="center"/>
          </w:tcPr>
          <w:p w14:paraId="5B6A774A" w14:textId="77777777" w:rsidR="001A319B" w:rsidRPr="00C74A6B" w:rsidRDefault="001A319B" w:rsidP="00E907D7">
            <w:pPr>
              <w:widowControl/>
              <w:tabs>
                <w:tab w:val="decimal" w:pos="397"/>
              </w:tabs>
              <w:rPr>
                <w:rFonts w:cs="Arial"/>
                <w:sz w:val="18"/>
                <w:szCs w:val="18"/>
              </w:rPr>
            </w:pPr>
            <w:r w:rsidRPr="00C74A6B">
              <w:rPr>
                <w:rFonts w:cs="Arial"/>
                <w:sz w:val="18"/>
                <w:szCs w:val="18"/>
              </w:rPr>
              <w:t>0</w:t>
            </w:r>
          </w:p>
        </w:tc>
        <w:tc>
          <w:tcPr>
            <w:tcW w:w="840" w:type="dxa"/>
            <w:shd w:val="clear" w:color="auto" w:fill="auto"/>
            <w:vAlign w:val="center"/>
          </w:tcPr>
          <w:p w14:paraId="1E6F3145" w14:textId="77777777" w:rsidR="001A319B" w:rsidRPr="00C74A6B" w:rsidRDefault="001A319B" w:rsidP="00E907D7">
            <w:pPr>
              <w:widowControl/>
              <w:tabs>
                <w:tab w:val="decimal" w:pos="397"/>
              </w:tabs>
              <w:rPr>
                <w:rFonts w:cs="Arial"/>
                <w:sz w:val="18"/>
                <w:szCs w:val="18"/>
                <w:lang w:eastAsia="en-GB" w:bidi="ar-SA"/>
              </w:rPr>
            </w:pPr>
            <w:r w:rsidRPr="00C74A6B">
              <w:rPr>
                <w:rFonts w:cs="Arial"/>
                <w:sz w:val="18"/>
                <w:szCs w:val="18"/>
              </w:rPr>
              <w:t>0</w:t>
            </w:r>
          </w:p>
        </w:tc>
        <w:tc>
          <w:tcPr>
            <w:tcW w:w="809" w:type="dxa"/>
            <w:shd w:val="clear" w:color="auto" w:fill="auto"/>
            <w:vAlign w:val="center"/>
          </w:tcPr>
          <w:p w14:paraId="2AC1E04F" w14:textId="77777777" w:rsidR="001A319B" w:rsidRPr="00C74A6B" w:rsidRDefault="001A319B" w:rsidP="00E907D7">
            <w:pPr>
              <w:widowControl/>
              <w:tabs>
                <w:tab w:val="decimal" w:pos="397"/>
              </w:tabs>
              <w:rPr>
                <w:rFonts w:cs="Arial"/>
                <w:sz w:val="18"/>
                <w:szCs w:val="18"/>
                <w:lang w:eastAsia="en-GB" w:bidi="ar-SA"/>
              </w:rPr>
            </w:pPr>
            <w:r w:rsidRPr="00C74A6B">
              <w:rPr>
                <w:rFonts w:cs="Arial"/>
                <w:sz w:val="18"/>
                <w:szCs w:val="18"/>
              </w:rPr>
              <w:t>1</w:t>
            </w:r>
          </w:p>
        </w:tc>
        <w:tc>
          <w:tcPr>
            <w:tcW w:w="765" w:type="dxa"/>
            <w:shd w:val="clear" w:color="auto" w:fill="auto"/>
            <w:vAlign w:val="center"/>
          </w:tcPr>
          <w:p w14:paraId="6AC71209" w14:textId="77777777" w:rsidR="001A319B" w:rsidRPr="00C74A6B" w:rsidRDefault="001A319B" w:rsidP="00E907D7">
            <w:pPr>
              <w:widowControl/>
              <w:tabs>
                <w:tab w:val="decimal" w:pos="397"/>
              </w:tabs>
              <w:rPr>
                <w:rFonts w:cs="Arial"/>
                <w:sz w:val="18"/>
                <w:szCs w:val="18"/>
              </w:rPr>
            </w:pPr>
            <w:r w:rsidRPr="00C74A6B">
              <w:rPr>
                <w:rFonts w:cs="Arial"/>
                <w:sz w:val="18"/>
                <w:szCs w:val="18"/>
              </w:rPr>
              <w:t>&lt;1</w:t>
            </w:r>
          </w:p>
        </w:tc>
        <w:tc>
          <w:tcPr>
            <w:tcW w:w="826" w:type="dxa"/>
            <w:shd w:val="clear" w:color="auto" w:fill="auto"/>
            <w:vAlign w:val="center"/>
          </w:tcPr>
          <w:p w14:paraId="720BCD37" w14:textId="77777777" w:rsidR="001A319B" w:rsidRPr="00C74A6B" w:rsidRDefault="001A319B" w:rsidP="00E907D7">
            <w:pPr>
              <w:widowControl/>
              <w:tabs>
                <w:tab w:val="decimal" w:pos="397"/>
              </w:tabs>
              <w:rPr>
                <w:rFonts w:cs="Arial"/>
                <w:sz w:val="18"/>
                <w:szCs w:val="18"/>
                <w:lang w:eastAsia="en-GB" w:bidi="ar-SA"/>
              </w:rPr>
            </w:pPr>
            <w:r w:rsidRPr="00C74A6B">
              <w:rPr>
                <w:rFonts w:cs="Arial"/>
                <w:sz w:val="18"/>
                <w:szCs w:val="18"/>
              </w:rPr>
              <w:t>4</w:t>
            </w:r>
          </w:p>
        </w:tc>
        <w:tc>
          <w:tcPr>
            <w:tcW w:w="846" w:type="dxa"/>
            <w:shd w:val="clear" w:color="auto" w:fill="auto"/>
            <w:vAlign w:val="center"/>
          </w:tcPr>
          <w:p w14:paraId="49CCB130" w14:textId="77777777" w:rsidR="001A319B" w:rsidRPr="00C74A6B" w:rsidRDefault="001A319B" w:rsidP="00E907D7">
            <w:pPr>
              <w:widowControl/>
              <w:tabs>
                <w:tab w:val="decimal" w:pos="397"/>
              </w:tabs>
              <w:rPr>
                <w:rFonts w:cs="Arial"/>
                <w:color w:val="000000"/>
                <w:sz w:val="18"/>
                <w:szCs w:val="18"/>
                <w:lang w:eastAsia="en-GB" w:bidi="ar-SA"/>
              </w:rPr>
            </w:pPr>
            <w:r w:rsidRPr="00C74A6B">
              <w:rPr>
                <w:rFonts w:cs="Arial"/>
                <w:sz w:val="18"/>
                <w:szCs w:val="18"/>
              </w:rPr>
              <w:t>0</w:t>
            </w:r>
          </w:p>
        </w:tc>
        <w:tc>
          <w:tcPr>
            <w:tcW w:w="846" w:type="dxa"/>
            <w:vAlign w:val="center"/>
          </w:tcPr>
          <w:p w14:paraId="4CB6622B" w14:textId="77777777" w:rsidR="001A319B" w:rsidRPr="00C74A6B" w:rsidRDefault="001A319B" w:rsidP="00E907D7">
            <w:pPr>
              <w:widowControl/>
              <w:tabs>
                <w:tab w:val="decimal" w:pos="397"/>
              </w:tabs>
              <w:rPr>
                <w:rFonts w:cs="Arial"/>
                <w:sz w:val="18"/>
                <w:szCs w:val="18"/>
              </w:rPr>
            </w:pPr>
            <w:r w:rsidRPr="00C74A6B">
              <w:rPr>
                <w:rFonts w:cs="Arial"/>
                <w:sz w:val="18"/>
                <w:szCs w:val="18"/>
              </w:rPr>
              <w:t>0</w:t>
            </w:r>
          </w:p>
        </w:tc>
        <w:tc>
          <w:tcPr>
            <w:tcW w:w="672" w:type="dxa"/>
            <w:shd w:val="clear" w:color="auto" w:fill="auto"/>
            <w:vAlign w:val="center"/>
          </w:tcPr>
          <w:p w14:paraId="0BE0DC66" w14:textId="77777777" w:rsidR="001A319B" w:rsidRPr="00C74A6B" w:rsidRDefault="001A319B" w:rsidP="00E907D7">
            <w:pPr>
              <w:widowControl/>
              <w:tabs>
                <w:tab w:val="decimal" w:pos="397"/>
              </w:tabs>
              <w:rPr>
                <w:rFonts w:cs="Arial"/>
                <w:color w:val="000000"/>
                <w:sz w:val="18"/>
                <w:szCs w:val="18"/>
                <w:lang w:eastAsia="en-GB" w:bidi="ar-SA"/>
              </w:rPr>
            </w:pPr>
            <w:r w:rsidRPr="00C74A6B">
              <w:rPr>
                <w:rFonts w:cs="Arial"/>
                <w:sz w:val="18"/>
                <w:szCs w:val="18"/>
              </w:rPr>
              <w:t>0</w:t>
            </w:r>
          </w:p>
        </w:tc>
      </w:tr>
      <w:tr w:rsidR="00A406E7" w:rsidRPr="00C74A6B" w14:paraId="734F1B29" w14:textId="77777777" w:rsidTr="00221A11">
        <w:trPr>
          <w:cantSplit/>
        </w:trPr>
        <w:tc>
          <w:tcPr>
            <w:tcW w:w="1270" w:type="dxa"/>
            <w:shd w:val="clear" w:color="auto" w:fill="auto"/>
            <w:vAlign w:val="center"/>
            <w:hideMark/>
          </w:tcPr>
          <w:p w14:paraId="1492C7C1" w14:textId="77777777" w:rsidR="001A319B" w:rsidRPr="00C74A6B" w:rsidRDefault="001A319B" w:rsidP="00E907D7">
            <w:pPr>
              <w:widowControl/>
              <w:rPr>
                <w:rFonts w:cs="Arial"/>
                <w:color w:val="000000"/>
                <w:sz w:val="18"/>
                <w:szCs w:val="18"/>
                <w:lang w:eastAsia="en-GB" w:bidi="ar-SA"/>
              </w:rPr>
            </w:pPr>
            <w:r w:rsidRPr="00C74A6B">
              <w:rPr>
                <w:rFonts w:cs="Arial"/>
                <w:color w:val="000000"/>
                <w:sz w:val="18"/>
                <w:szCs w:val="18"/>
                <w:lang w:eastAsia="en-GB" w:bidi="ar-SA"/>
              </w:rPr>
              <w:t>13.3.2</w:t>
            </w:r>
          </w:p>
        </w:tc>
        <w:tc>
          <w:tcPr>
            <w:tcW w:w="3084" w:type="dxa"/>
            <w:gridSpan w:val="4"/>
            <w:shd w:val="clear" w:color="auto" w:fill="auto"/>
            <w:vAlign w:val="center"/>
          </w:tcPr>
          <w:p w14:paraId="26FC5263" w14:textId="124C263B" w:rsidR="001A319B" w:rsidRPr="00C74A6B" w:rsidRDefault="001A319B" w:rsidP="001A319B">
            <w:pPr>
              <w:widowControl/>
              <w:ind w:left="180" w:hanging="180"/>
              <w:rPr>
                <w:rFonts w:cs="Arial"/>
                <w:color w:val="000000" w:themeColor="text1"/>
                <w:sz w:val="18"/>
                <w:szCs w:val="18"/>
                <w:lang w:eastAsia="en-GB" w:bidi="ar-SA"/>
              </w:rPr>
            </w:pPr>
            <w:r>
              <w:rPr>
                <w:rFonts w:cs="Arial"/>
                <w:color w:val="000000"/>
                <w:sz w:val="18"/>
                <w:szCs w:val="18"/>
              </w:rPr>
              <w:tab/>
            </w:r>
            <w:r w:rsidRPr="00C74A6B">
              <w:rPr>
                <w:rFonts w:cs="Arial"/>
                <w:color w:val="000000"/>
                <w:sz w:val="18"/>
                <w:szCs w:val="18"/>
              </w:rPr>
              <w:t>Liquid formula meal replacement &amp; formulated supplementary foods</w:t>
            </w:r>
          </w:p>
        </w:tc>
        <w:tc>
          <w:tcPr>
            <w:tcW w:w="807" w:type="dxa"/>
            <w:shd w:val="clear" w:color="auto" w:fill="auto"/>
            <w:vAlign w:val="center"/>
          </w:tcPr>
          <w:p w14:paraId="38F16B91" w14:textId="77777777" w:rsidR="001A319B" w:rsidRPr="00C74A6B" w:rsidRDefault="001A319B" w:rsidP="00E907D7">
            <w:pPr>
              <w:widowControl/>
              <w:tabs>
                <w:tab w:val="decimal" w:pos="397"/>
              </w:tabs>
              <w:rPr>
                <w:rFonts w:cs="Arial"/>
                <w:color w:val="000000"/>
                <w:sz w:val="18"/>
                <w:szCs w:val="18"/>
                <w:lang w:eastAsia="en-GB" w:bidi="ar-SA"/>
              </w:rPr>
            </w:pPr>
            <w:r w:rsidRPr="00C74A6B">
              <w:rPr>
                <w:rFonts w:cs="Arial"/>
                <w:color w:val="000000"/>
                <w:sz w:val="18"/>
                <w:szCs w:val="18"/>
              </w:rPr>
              <w:t>&lt;1</w:t>
            </w:r>
          </w:p>
        </w:tc>
        <w:tc>
          <w:tcPr>
            <w:tcW w:w="807" w:type="dxa"/>
            <w:vAlign w:val="center"/>
          </w:tcPr>
          <w:p w14:paraId="20B87E15" w14:textId="77777777" w:rsidR="001A319B" w:rsidRPr="00C74A6B" w:rsidRDefault="001A319B" w:rsidP="00E907D7">
            <w:pPr>
              <w:widowControl/>
              <w:tabs>
                <w:tab w:val="decimal" w:pos="397"/>
              </w:tabs>
              <w:rPr>
                <w:rFonts w:cs="Arial"/>
                <w:color w:val="000000"/>
                <w:sz w:val="18"/>
                <w:szCs w:val="18"/>
              </w:rPr>
            </w:pPr>
            <w:r w:rsidRPr="00C74A6B">
              <w:rPr>
                <w:rFonts w:cs="Arial"/>
                <w:color w:val="000000"/>
                <w:sz w:val="18"/>
                <w:szCs w:val="18"/>
              </w:rPr>
              <w:t>&lt;1</w:t>
            </w:r>
          </w:p>
        </w:tc>
        <w:tc>
          <w:tcPr>
            <w:tcW w:w="809" w:type="dxa"/>
            <w:shd w:val="clear" w:color="auto" w:fill="auto"/>
            <w:vAlign w:val="center"/>
          </w:tcPr>
          <w:p w14:paraId="60C9AE63" w14:textId="77777777" w:rsidR="001A319B" w:rsidRPr="00C74A6B" w:rsidRDefault="001A319B" w:rsidP="00E907D7">
            <w:pPr>
              <w:widowControl/>
              <w:tabs>
                <w:tab w:val="decimal" w:pos="397"/>
              </w:tabs>
              <w:rPr>
                <w:rFonts w:cs="Arial"/>
                <w:color w:val="000000"/>
                <w:sz w:val="18"/>
                <w:szCs w:val="18"/>
                <w:lang w:eastAsia="en-GB" w:bidi="ar-SA"/>
              </w:rPr>
            </w:pPr>
            <w:r w:rsidRPr="00C74A6B">
              <w:rPr>
                <w:rFonts w:cs="Arial"/>
                <w:color w:val="000000"/>
                <w:sz w:val="18"/>
                <w:szCs w:val="18"/>
              </w:rPr>
              <w:t>3</w:t>
            </w:r>
          </w:p>
        </w:tc>
        <w:tc>
          <w:tcPr>
            <w:tcW w:w="812" w:type="dxa"/>
            <w:tcBorders>
              <w:bottom w:val="single" w:sz="4" w:space="0" w:color="auto"/>
            </w:tcBorders>
            <w:shd w:val="clear" w:color="auto" w:fill="auto"/>
            <w:vAlign w:val="center"/>
          </w:tcPr>
          <w:p w14:paraId="34340619" w14:textId="77777777" w:rsidR="001A319B" w:rsidRPr="00C74A6B" w:rsidRDefault="001A319B" w:rsidP="00E907D7">
            <w:pPr>
              <w:widowControl/>
              <w:tabs>
                <w:tab w:val="decimal" w:pos="397"/>
              </w:tabs>
              <w:rPr>
                <w:rFonts w:cs="Arial"/>
                <w:sz w:val="18"/>
                <w:szCs w:val="18"/>
                <w:lang w:eastAsia="en-GB" w:bidi="ar-SA"/>
              </w:rPr>
            </w:pPr>
            <w:r w:rsidRPr="00C74A6B">
              <w:rPr>
                <w:rFonts w:cs="Arial"/>
                <w:sz w:val="18"/>
                <w:szCs w:val="18"/>
              </w:rPr>
              <w:t>&lt;1</w:t>
            </w:r>
          </w:p>
        </w:tc>
        <w:tc>
          <w:tcPr>
            <w:tcW w:w="809" w:type="dxa"/>
            <w:tcBorders>
              <w:bottom w:val="single" w:sz="4" w:space="0" w:color="auto"/>
            </w:tcBorders>
            <w:vAlign w:val="center"/>
          </w:tcPr>
          <w:p w14:paraId="4ADAC9C5" w14:textId="77777777" w:rsidR="001A319B" w:rsidRPr="00C74A6B" w:rsidRDefault="001A319B" w:rsidP="00E907D7">
            <w:pPr>
              <w:widowControl/>
              <w:tabs>
                <w:tab w:val="decimal" w:pos="397"/>
              </w:tabs>
              <w:rPr>
                <w:rFonts w:cs="Arial"/>
                <w:sz w:val="18"/>
                <w:szCs w:val="18"/>
              </w:rPr>
            </w:pPr>
            <w:r w:rsidRPr="00C74A6B">
              <w:rPr>
                <w:rFonts w:cs="Arial"/>
                <w:sz w:val="18"/>
                <w:szCs w:val="18"/>
              </w:rPr>
              <w:t>&lt;1</w:t>
            </w:r>
          </w:p>
        </w:tc>
        <w:tc>
          <w:tcPr>
            <w:tcW w:w="840" w:type="dxa"/>
            <w:tcBorders>
              <w:bottom w:val="single" w:sz="4" w:space="0" w:color="auto"/>
            </w:tcBorders>
            <w:shd w:val="clear" w:color="auto" w:fill="auto"/>
            <w:vAlign w:val="center"/>
          </w:tcPr>
          <w:p w14:paraId="467B587E" w14:textId="77777777" w:rsidR="001A319B" w:rsidRPr="00C74A6B" w:rsidRDefault="001A319B" w:rsidP="00E907D7">
            <w:pPr>
              <w:widowControl/>
              <w:tabs>
                <w:tab w:val="decimal" w:pos="397"/>
              </w:tabs>
              <w:rPr>
                <w:rFonts w:cs="Arial"/>
                <w:sz w:val="18"/>
                <w:szCs w:val="18"/>
                <w:lang w:eastAsia="en-GB" w:bidi="ar-SA"/>
              </w:rPr>
            </w:pPr>
            <w:r w:rsidRPr="00C74A6B">
              <w:rPr>
                <w:rFonts w:cs="Arial"/>
                <w:sz w:val="18"/>
                <w:szCs w:val="18"/>
              </w:rPr>
              <w:t>1</w:t>
            </w:r>
          </w:p>
        </w:tc>
        <w:tc>
          <w:tcPr>
            <w:tcW w:w="809" w:type="dxa"/>
            <w:tcBorders>
              <w:bottom w:val="single" w:sz="4" w:space="0" w:color="auto"/>
            </w:tcBorders>
            <w:shd w:val="clear" w:color="auto" w:fill="auto"/>
            <w:vAlign w:val="center"/>
          </w:tcPr>
          <w:p w14:paraId="04FEB005" w14:textId="77777777" w:rsidR="001A319B" w:rsidRPr="00C74A6B" w:rsidRDefault="001A319B" w:rsidP="00E907D7">
            <w:pPr>
              <w:widowControl/>
              <w:tabs>
                <w:tab w:val="decimal" w:pos="397"/>
              </w:tabs>
              <w:rPr>
                <w:rFonts w:cs="Arial"/>
                <w:sz w:val="18"/>
                <w:szCs w:val="18"/>
                <w:lang w:eastAsia="en-GB" w:bidi="ar-SA"/>
              </w:rPr>
            </w:pPr>
            <w:r w:rsidRPr="00C74A6B">
              <w:rPr>
                <w:rFonts w:cs="Arial"/>
                <w:sz w:val="18"/>
                <w:szCs w:val="18"/>
              </w:rPr>
              <w:t>&lt;1</w:t>
            </w:r>
          </w:p>
        </w:tc>
        <w:tc>
          <w:tcPr>
            <w:tcW w:w="765" w:type="dxa"/>
            <w:tcBorders>
              <w:bottom w:val="single" w:sz="4" w:space="0" w:color="auto"/>
            </w:tcBorders>
            <w:vAlign w:val="center"/>
          </w:tcPr>
          <w:p w14:paraId="39B365EA" w14:textId="77777777" w:rsidR="001A319B" w:rsidRPr="00C74A6B" w:rsidRDefault="001A319B" w:rsidP="00E907D7">
            <w:pPr>
              <w:widowControl/>
              <w:tabs>
                <w:tab w:val="decimal" w:pos="397"/>
              </w:tabs>
              <w:rPr>
                <w:rFonts w:cs="Arial"/>
                <w:sz w:val="18"/>
                <w:szCs w:val="18"/>
              </w:rPr>
            </w:pPr>
            <w:r w:rsidRPr="00C74A6B">
              <w:rPr>
                <w:rFonts w:cs="Arial"/>
                <w:sz w:val="18"/>
                <w:szCs w:val="18"/>
              </w:rPr>
              <w:t>&lt;1</w:t>
            </w:r>
          </w:p>
        </w:tc>
        <w:tc>
          <w:tcPr>
            <w:tcW w:w="826" w:type="dxa"/>
            <w:tcBorders>
              <w:bottom w:val="single" w:sz="4" w:space="0" w:color="auto"/>
            </w:tcBorders>
            <w:shd w:val="clear" w:color="auto" w:fill="auto"/>
            <w:vAlign w:val="center"/>
          </w:tcPr>
          <w:p w14:paraId="3259A165" w14:textId="77777777" w:rsidR="001A319B" w:rsidRPr="00C74A6B" w:rsidRDefault="001A319B" w:rsidP="00E907D7">
            <w:pPr>
              <w:widowControl/>
              <w:tabs>
                <w:tab w:val="decimal" w:pos="397"/>
              </w:tabs>
              <w:rPr>
                <w:rFonts w:cs="Arial"/>
                <w:sz w:val="18"/>
                <w:szCs w:val="18"/>
                <w:lang w:eastAsia="en-GB" w:bidi="ar-SA"/>
              </w:rPr>
            </w:pPr>
            <w:r w:rsidRPr="00C74A6B">
              <w:rPr>
                <w:rFonts w:cs="Arial"/>
                <w:sz w:val="18"/>
                <w:szCs w:val="18"/>
              </w:rPr>
              <w:t>1</w:t>
            </w:r>
          </w:p>
        </w:tc>
        <w:tc>
          <w:tcPr>
            <w:tcW w:w="846" w:type="dxa"/>
            <w:shd w:val="clear" w:color="auto" w:fill="auto"/>
            <w:vAlign w:val="center"/>
          </w:tcPr>
          <w:p w14:paraId="33915BEF" w14:textId="77777777" w:rsidR="001A319B" w:rsidRPr="00C74A6B" w:rsidRDefault="001A319B" w:rsidP="00E907D7">
            <w:pPr>
              <w:widowControl/>
              <w:tabs>
                <w:tab w:val="decimal" w:pos="397"/>
              </w:tabs>
              <w:rPr>
                <w:rFonts w:cs="Arial"/>
                <w:color w:val="000000"/>
                <w:sz w:val="18"/>
                <w:szCs w:val="18"/>
                <w:lang w:eastAsia="en-GB" w:bidi="ar-SA"/>
              </w:rPr>
            </w:pPr>
            <w:r w:rsidRPr="00C74A6B">
              <w:rPr>
                <w:rFonts w:cs="Arial"/>
                <w:sz w:val="18"/>
                <w:szCs w:val="18"/>
              </w:rPr>
              <w:t>4</w:t>
            </w:r>
          </w:p>
        </w:tc>
        <w:tc>
          <w:tcPr>
            <w:tcW w:w="846" w:type="dxa"/>
            <w:vAlign w:val="center"/>
          </w:tcPr>
          <w:p w14:paraId="6A80BB29" w14:textId="77777777" w:rsidR="001A319B" w:rsidRPr="00C74A6B" w:rsidRDefault="001A319B" w:rsidP="00E907D7">
            <w:pPr>
              <w:widowControl/>
              <w:tabs>
                <w:tab w:val="decimal" w:pos="397"/>
              </w:tabs>
              <w:rPr>
                <w:rFonts w:cs="Arial"/>
                <w:sz w:val="18"/>
                <w:szCs w:val="18"/>
              </w:rPr>
            </w:pPr>
            <w:r w:rsidRPr="00C74A6B">
              <w:rPr>
                <w:rFonts w:cs="Arial"/>
                <w:sz w:val="18"/>
                <w:szCs w:val="18"/>
              </w:rPr>
              <w:t>4</w:t>
            </w:r>
          </w:p>
        </w:tc>
        <w:tc>
          <w:tcPr>
            <w:tcW w:w="672" w:type="dxa"/>
            <w:shd w:val="clear" w:color="auto" w:fill="auto"/>
            <w:vAlign w:val="center"/>
          </w:tcPr>
          <w:p w14:paraId="6798FDD7" w14:textId="77777777" w:rsidR="001A319B" w:rsidRPr="00C74A6B" w:rsidRDefault="001A319B" w:rsidP="00E907D7">
            <w:pPr>
              <w:widowControl/>
              <w:tabs>
                <w:tab w:val="decimal" w:pos="397"/>
              </w:tabs>
              <w:rPr>
                <w:rFonts w:cs="Arial"/>
                <w:color w:val="000000"/>
                <w:sz w:val="18"/>
                <w:szCs w:val="18"/>
                <w:lang w:eastAsia="en-GB" w:bidi="ar-SA"/>
              </w:rPr>
            </w:pPr>
            <w:r w:rsidRPr="00C74A6B">
              <w:rPr>
                <w:rFonts w:cs="Arial"/>
                <w:sz w:val="18"/>
                <w:szCs w:val="18"/>
              </w:rPr>
              <w:t>3</w:t>
            </w:r>
          </w:p>
        </w:tc>
      </w:tr>
      <w:tr w:rsidR="00A406E7" w:rsidRPr="00C74A6B" w14:paraId="79D764F6" w14:textId="77777777" w:rsidTr="00221A11">
        <w:trPr>
          <w:cantSplit/>
        </w:trPr>
        <w:tc>
          <w:tcPr>
            <w:tcW w:w="1270" w:type="dxa"/>
            <w:shd w:val="clear" w:color="auto" w:fill="D9D9D9" w:themeFill="background1" w:themeFillShade="D9"/>
            <w:vAlign w:val="center"/>
            <w:hideMark/>
          </w:tcPr>
          <w:p w14:paraId="3CD1EFFA" w14:textId="77777777" w:rsidR="001A319B" w:rsidRPr="00C74A6B" w:rsidRDefault="001A319B" w:rsidP="00E907D7">
            <w:pPr>
              <w:widowControl/>
              <w:rPr>
                <w:rFonts w:cs="Arial"/>
                <w:color w:val="000000"/>
                <w:sz w:val="18"/>
                <w:szCs w:val="18"/>
                <w:lang w:eastAsia="en-GB" w:bidi="ar-SA"/>
              </w:rPr>
            </w:pPr>
            <w:r w:rsidRPr="00C74A6B">
              <w:rPr>
                <w:rFonts w:cs="Arial"/>
                <w:color w:val="000000"/>
                <w:sz w:val="18"/>
                <w:szCs w:val="18"/>
                <w:lang w:eastAsia="en-GB" w:bidi="ar-SA"/>
              </w:rPr>
              <w:t>13.4.1</w:t>
            </w:r>
          </w:p>
        </w:tc>
        <w:tc>
          <w:tcPr>
            <w:tcW w:w="3084" w:type="dxa"/>
            <w:gridSpan w:val="4"/>
            <w:shd w:val="clear" w:color="auto" w:fill="D9D9D9" w:themeFill="background1" w:themeFillShade="D9"/>
            <w:vAlign w:val="center"/>
          </w:tcPr>
          <w:p w14:paraId="0269E985" w14:textId="285A7FB2" w:rsidR="001A319B" w:rsidRPr="00C74A6B" w:rsidRDefault="001A319B" w:rsidP="001A319B">
            <w:pPr>
              <w:widowControl/>
              <w:ind w:left="180" w:hanging="180"/>
              <w:rPr>
                <w:rFonts w:cs="Arial"/>
                <w:color w:val="000000"/>
                <w:sz w:val="18"/>
                <w:szCs w:val="18"/>
                <w:lang w:eastAsia="en-GB" w:bidi="ar-SA"/>
              </w:rPr>
            </w:pPr>
            <w:r>
              <w:rPr>
                <w:rFonts w:cs="Arial"/>
                <w:color w:val="000000"/>
                <w:sz w:val="18"/>
                <w:szCs w:val="18"/>
                <w:lang w:eastAsia="en-GB" w:bidi="ar-SA"/>
              </w:rPr>
              <w:tab/>
            </w:r>
            <w:r w:rsidRPr="00C74A6B">
              <w:rPr>
                <w:rFonts w:cs="Arial"/>
                <w:color w:val="000000"/>
                <w:sz w:val="18"/>
                <w:szCs w:val="18"/>
                <w:lang w:eastAsia="en-GB" w:bidi="ar-SA"/>
              </w:rPr>
              <w:t>Solid formulated supplementary sports foods</w:t>
            </w:r>
          </w:p>
        </w:tc>
        <w:tc>
          <w:tcPr>
            <w:tcW w:w="807" w:type="dxa"/>
            <w:shd w:val="clear" w:color="auto" w:fill="auto"/>
            <w:vAlign w:val="center"/>
          </w:tcPr>
          <w:p w14:paraId="34304CF0" w14:textId="77777777" w:rsidR="001A319B" w:rsidRPr="00C74A6B" w:rsidRDefault="001A319B" w:rsidP="00E907D7">
            <w:pPr>
              <w:widowControl/>
              <w:tabs>
                <w:tab w:val="decimal" w:pos="397"/>
              </w:tabs>
              <w:rPr>
                <w:rFonts w:cs="Arial"/>
                <w:color w:val="000000"/>
                <w:sz w:val="18"/>
                <w:szCs w:val="18"/>
                <w:lang w:eastAsia="en-GB" w:bidi="ar-SA"/>
              </w:rPr>
            </w:pPr>
            <w:r w:rsidRPr="00C74A6B">
              <w:rPr>
                <w:rFonts w:cs="Arial"/>
                <w:color w:val="000000"/>
                <w:sz w:val="18"/>
                <w:szCs w:val="18"/>
              </w:rPr>
              <w:t>&lt;1</w:t>
            </w:r>
          </w:p>
        </w:tc>
        <w:tc>
          <w:tcPr>
            <w:tcW w:w="807" w:type="dxa"/>
            <w:vAlign w:val="center"/>
          </w:tcPr>
          <w:p w14:paraId="3C0460D1" w14:textId="77777777" w:rsidR="001A319B" w:rsidRPr="00C74A6B" w:rsidRDefault="001A319B" w:rsidP="00E907D7">
            <w:pPr>
              <w:widowControl/>
              <w:tabs>
                <w:tab w:val="decimal" w:pos="397"/>
              </w:tabs>
              <w:rPr>
                <w:rFonts w:cs="Arial"/>
                <w:color w:val="000000"/>
                <w:sz w:val="18"/>
                <w:szCs w:val="18"/>
              </w:rPr>
            </w:pPr>
            <w:r w:rsidRPr="00C74A6B">
              <w:rPr>
                <w:rFonts w:cs="Arial"/>
                <w:color w:val="000000"/>
                <w:sz w:val="18"/>
                <w:szCs w:val="18"/>
              </w:rPr>
              <w:t>1</w:t>
            </w:r>
          </w:p>
        </w:tc>
        <w:tc>
          <w:tcPr>
            <w:tcW w:w="809" w:type="dxa"/>
            <w:shd w:val="clear" w:color="auto" w:fill="auto"/>
            <w:vAlign w:val="center"/>
          </w:tcPr>
          <w:p w14:paraId="0F03034D" w14:textId="77777777" w:rsidR="001A319B" w:rsidRPr="00C74A6B" w:rsidRDefault="001A319B" w:rsidP="00E907D7">
            <w:pPr>
              <w:widowControl/>
              <w:tabs>
                <w:tab w:val="decimal" w:pos="397"/>
              </w:tabs>
              <w:rPr>
                <w:rFonts w:cs="Arial"/>
                <w:color w:val="000000"/>
                <w:sz w:val="18"/>
                <w:szCs w:val="18"/>
                <w:lang w:eastAsia="en-GB" w:bidi="ar-SA"/>
              </w:rPr>
            </w:pPr>
            <w:r w:rsidRPr="00C74A6B">
              <w:rPr>
                <w:rFonts w:cs="Arial"/>
                <w:color w:val="000000"/>
                <w:sz w:val="18"/>
                <w:szCs w:val="18"/>
              </w:rPr>
              <w:t>&lt;1</w:t>
            </w:r>
          </w:p>
        </w:tc>
        <w:tc>
          <w:tcPr>
            <w:tcW w:w="812" w:type="dxa"/>
            <w:shd w:val="clear" w:color="auto" w:fill="auto"/>
            <w:vAlign w:val="center"/>
          </w:tcPr>
          <w:p w14:paraId="01A25E7E" w14:textId="77777777" w:rsidR="001A319B" w:rsidRPr="00C74A6B" w:rsidRDefault="001A319B" w:rsidP="00E907D7">
            <w:pPr>
              <w:widowControl/>
              <w:tabs>
                <w:tab w:val="decimal" w:pos="397"/>
              </w:tabs>
              <w:rPr>
                <w:rFonts w:cs="Arial"/>
                <w:sz w:val="18"/>
                <w:szCs w:val="18"/>
                <w:lang w:eastAsia="en-GB" w:bidi="ar-SA"/>
              </w:rPr>
            </w:pPr>
            <w:r w:rsidRPr="00C74A6B">
              <w:rPr>
                <w:rFonts w:cs="Arial"/>
                <w:sz w:val="18"/>
                <w:szCs w:val="18"/>
              </w:rPr>
              <w:t>4</w:t>
            </w:r>
          </w:p>
        </w:tc>
        <w:tc>
          <w:tcPr>
            <w:tcW w:w="809" w:type="dxa"/>
            <w:shd w:val="clear" w:color="auto" w:fill="D9D9D9" w:themeFill="background1" w:themeFillShade="D9"/>
            <w:vAlign w:val="center"/>
          </w:tcPr>
          <w:p w14:paraId="4D0FC01E" w14:textId="77777777" w:rsidR="001A319B" w:rsidRPr="00C74A6B" w:rsidRDefault="001A319B" w:rsidP="00E907D7">
            <w:pPr>
              <w:widowControl/>
              <w:tabs>
                <w:tab w:val="decimal" w:pos="397"/>
              </w:tabs>
              <w:rPr>
                <w:rFonts w:cs="Arial"/>
                <w:sz w:val="18"/>
                <w:szCs w:val="18"/>
              </w:rPr>
            </w:pPr>
            <w:r w:rsidRPr="00C74A6B">
              <w:rPr>
                <w:rFonts w:cs="Arial"/>
                <w:sz w:val="18"/>
                <w:szCs w:val="18"/>
              </w:rPr>
              <w:t>9</w:t>
            </w:r>
          </w:p>
        </w:tc>
        <w:tc>
          <w:tcPr>
            <w:tcW w:w="840" w:type="dxa"/>
            <w:shd w:val="clear" w:color="auto" w:fill="auto"/>
            <w:vAlign w:val="center"/>
          </w:tcPr>
          <w:p w14:paraId="704A2F84" w14:textId="77777777" w:rsidR="001A319B" w:rsidRPr="00C74A6B" w:rsidRDefault="001A319B" w:rsidP="00E907D7">
            <w:pPr>
              <w:widowControl/>
              <w:tabs>
                <w:tab w:val="decimal" w:pos="397"/>
              </w:tabs>
              <w:rPr>
                <w:rFonts w:cs="Arial"/>
                <w:sz w:val="18"/>
                <w:szCs w:val="18"/>
                <w:lang w:eastAsia="en-GB" w:bidi="ar-SA"/>
              </w:rPr>
            </w:pPr>
            <w:r w:rsidRPr="00C74A6B">
              <w:rPr>
                <w:rFonts w:cs="Arial"/>
                <w:sz w:val="18"/>
                <w:szCs w:val="18"/>
              </w:rPr>
              <w:t>3</w:t>
            </w:r>
          </w:p>
        </w:tc>
        <w:tc>
          <w:tcPr>
            <w:tcW w:w="809" w:type="dxa"/>
            <w:tcBorders>
              <w:bottom w:val="single" w:sz="4" w:space="0" w:color="auto"/>
            </w:tcBorders>
            <w:shd w:val="clear" w:color="auto" w:fill="auto"/>
            <w:vAlign w:val="center"/>
          </w:tcPr>
          <w:p w14:paraId="690DC07B" w14:textId="77777777" w:rsidR="001A319B" w:rsidRPr="00C74A6B" w:rsidRDefault="001A319B" w:rsidP="00E907D7">
            <w:pPr>
              <w:widowControl/>
              <w:tabs>
                <w:tab w:val="decimal" w:pos="397"/>
              </w:tabs>
              <w:rPr>
                <w:rFonts w:cs="Arial"/>
                <w:sz w:val="18"/>
                <w:szCs w:val="18"/>
                <w:lang w:eastAsia="en-GB" w:bidi="ar-SA"/>
              </w:rPr>
            </w:pPr>
            <w:r w:rsidRPr="00C74A6B">
              <w:rPr>
                <w:rFonts w:cs="Arial"/>
                <w:sz w:val="18"/>
                <w:szCs w:val="18"/>
              </w:rPr>
              <w:t>4</w:t>
            </w:r>
          </w:p>
        </w:tc>
        <w:tc>
          <w:tcPr>
            <w:tcW w:w="765" w:type="dxa"/>
            <w:tcBorders>
              <w:bottom w:val="single" w:sz="4" w:space="0" w:color="auto"/>
            </w:tcBorders>
            <w:shd w:val="clear" w:color="auto" w:fill="D9D9D9" w:themeFill="background1" w:themeFillShade="D9"/>
            <w:vAlign w:val="center"/>
          </w:tcPr>
          <w:p w14:paraId="4F9E0D51" w14:textId="77777777" w:rsidR="001A319B" w:rsidRPr="00C74A6B" w:rsidRDefault="001A319B" w:rsidP="00E907D7">
            <w:pPr>
              <w:widowControl/>
              <w:tabs>
                <w:tab w:val="decimal" w:pos="397"/>
              </w:tabs>
              <w:rPr>
                <w:rFonts w:cs="Arial"/>
                <w:sz w:val="18"/>
                <w:szCs w:val="18"/>
              </w:rPr>
            </w:pPr>
            <w:r w:rsidRPr="00C74A6B">
              <w:rPr>
                <w:rFonts w:cs="Arial"/>
                <w:sz w:val="18"/>
                <w:szCs w:val="18"/>
              </w:rPr>
              <w:t>11</w:t>
            </w:r>
          </w:p>
        </w:tc>
        <w:tc>
          <w:tcPr>
            <w:tcW w:w="826" w:type="dxa"/>
            <w:tcBorders>
              <w:bottom w:val="single" w:sz="4" w:space="0" w:color="auto"/>
            </w:tcBorders>
            <w:shd w:val="clear" w:color="auto" w:fill="auto"/>
            <w:vAlign w:val="center"/>
          </w:tcPr>
          <w:p w14:paraId="7D71C612" w14:textId="77777777" w:rsidR="001A319B" w:rsidRPr="00C74A6B" w:rsidRDefault="001A319B" w:rsidP="00E907D7">
            <w:pPr>
              <w:widowControl/>
              <w:tabs>
                <w:tab w:val="decimal" w:pos="397"/>
              </w:tabs>
              <w:rPr>
                <w:rFonts w:cs="Arial"/>
                <w:sz w:val="18"/>
                <w:szCs w:val="18"/>
                <w:lang w:eastAsia="en-GB" w:bidi="ar-SA"/>
              </w:rPr>
            </w:pPr>
            <w:r w:rsidRPr="00C74A6B">
              <w:rPr>
                <w:rFonts w:cs="Arial"/>
                <w:sz w:val="18"/>
                <w:szCs w:val="18"/>
              </w:rPr>
              <w:t>3</w:t>
            </w:r>
          </w:p>
        </w:tc>
        <w:tc>
          <w:tcPr>
            <w:tcW w:w="846" w:type="dxa"/>
            <w:shd w:val="clear" w:color="auto" w:fill="auto"/>
            <w:vAlign w:val="center"/>
          </w:tcPr>
          <w:p w14:paraId="10C8A517" w14:textId="77777777" w:rsidR="001A319B" w:rsidRPr="00C74A6B" w:rsidRDefault="001A319B" w:rsidP="00E907D7">
            <w:pPr>
              <w:widowControl/>
              <w:tabs>
                <w:tab w:val="decimal" w:pos="397"/>
              </w:tabs>
              <w:rPr>
                <w:rFonts w:cs="Arial"/>
                <w:color w:val="000000"/>
                <w:sz w:val="18"/>
                <w:szCs w:val="18"/>
                <w:lang w:eastAsia="en-GB" w:bidi="ar-SA"/>
              </w:rPr>
            </w:pPr>
            <w:r w:rsidRPr="00C74A6B">
              <w:rPr>
                <w:rFonts w:cs="Arial"/>
                <w:sz w:val="18"/>
                <w:szCs w:val="18"/>
              </w:rPr>
              <w:t>0</w:t>
            </w:r>
          </w:p>
        </w:tc>
        <w:tc>
          <w:tcPr>
            <w:tcW w:w="846" w:type="dxa"/>
            <w:vAlign w:val="center"/>
          </w:tcPr>
          <w:p w14:paraId="7C722344" w14:textId="77777777" w:rsidR="001A319B" w:rsidRPr="00C74A6B" w:rsidRDefault="001A319B" w:rsidP="00E907D7">
            <w:pPr>
              <w:widowControl/>
              <w:tabs>
                <w:tab w:val="decimal" w:pos="397"/>
              </w:tabs>
              <w:rPr>
                <w:rFonts w:cs="Arial"/>
                <w:sz w:val="18"/>
                <w:szCs w:val="18"/>
              </w:rPr>
            </w:pPr>
            <w:r w:rsidRPr="00C74A6B">
              <w:rPr>
                <w:rFonts w:cs="Arial"/>
                <w:sz w:val="18"/>
                <w:szCs w:val="18"/>
              </w:rPr>
              <w:t>0</w:t>
            </w:r>
          </w:p>
        </w:tc>
        <w:tc>
          <w:tcPr>
            <w:tcW w:w="672" w:type="dxa"/>
            <w:shd w:val="clear" w:color="auto" w:fill="auto"/>
            <w:vAlign w:val="center"/>
          </w:tcPr>
          <w:p w14:paraId="41BFE595" w14:textId="77777777" w:rsidR="001A319B" w:rsidRPr="00C74A6B" w:rsidRDefault="001A319B" w:rsidP="00E907D7">
            <w:pPr>
              <w:widowControl/>
              <w:tabs>
                <w:tab w:val="decimal" w:pos="397"/>
              </w:tabs>
              <w:rPr>
                <w:rFonts w:cs="Arial"/>
                <w:color w:val="000000"/>
                <w:sz w:val="18"/>
                <w:szCs w:val="18"/>
                <w:lang w:eastAsia="en-GB" w:bidi="ar-SA"/>
              </w:rPr>
            </w:pPr>
            <w:r w:rsidRPr="00C74A6B">
              <w:rPr>
                <w:rFonts w:cs="Arial"/>
                <w:sz w:val="18"/>
                <w:szCs w:val="18"/>
              </w:rPr>
              <w:t>0</w:t>
            </w:r>
          </w:p>
        </w:tc>
      </w:tr>
      <w:tr w:rsidR="00A406E7" w:rsidRPr="00C74A6B" w14:paraId="32FF446D" w14:textId="77777777" w:rsidTr="00221A11">
        <w:trPr>
          <w:cantSplit/>
        </w:trPr>
        <w:tc>
          <w:tcPr>
            <w:tcW w:w="1270" w:type="dxa"/>
            <w:shd w:val="clear" w:color="auto" w:fill="D9D9D9" w:themeFill="background1" w:themeFillShade="D9"/>
            <w:vAlign w:val="center"/>
            <w:hideMark/>
          </w:tcPr>
          <w:p w14:paraId="5749176B" w14:textId="77777777" w:rsidR="001A319B" w:rsidRPr="00C74A6B" w:rsidRDefault="001A319B" w:rsidP="00E907D7">
            <w:pPr>
              <w:widowControl/>
              <w:rPr>
                <w:rFonts w:cs="Arial"/>
                <w:color w:val="000000"/>
                <w:sz w:val="18"/>
                <w:szCs w:val="18"/>
                <w:lang w:eastAsia="en-GB" w:bidi="ar-SA"/>
              </w:rPr>
            </w:pPr>
            <w:r w:rsidRPr="00C74A6B">
              <w:rPr>
                <w:rFonts w:cs="Arial"/>
                <w:color w:val="000000"/>
                <w:sz w:val="18"/>
                <w:szCs w:val="18"/>
                <w:lang w:eastAsia="en-GB" w:bidi="ar-SA"/>
              </w:rPr>
              <w:t>13.4.2</w:t>
            </w:r>
          </w:p>
        </w:tc>
        <w:tc>
          <w:tcPr>
            <w:tcW w:w="3084" w:type="dxa"/>
            <w:gridSpan w:val="4"/>
            <w:shd w:val="clear" w:color="auto" w:fill="D9D9D9" w:themeFill="background1" w:themeFillShade="D9"/>
            <w:vAlign w:val="center"/>
          </w:tcPr>
          <w:p w14:paraId="67DAA668" w14:textId="7EB7F02C" w:rsidR="001A319B" w:rsidRPr="00C74A6B" w:rsidRDefault="001A319B" w:rsidP="001A319B">
            <w:pPr>
              <w:widowControl/>
              <w:ind w:left="180" w:hanging="180"/>
              <w:rPr>
                <w:rFonts w:cs="Arial"/>
                <w:color w:val="000000"/>
                <w:sz w:val="18"/>
                <w:szCs w:val="18"/>
                <w:lang w:eastAsia="en-GB" w:bidi="ar-SA"/>
              </w:rPr>
            </w:pPr>
            <w:r>
              <w:rPr>
                <w:rFonts w:cs="Arial"/>
                <w:color w:val="000000"/>
                <w:sz w:val="18"/>
                <w:szCs w:val="18"/>
                <w:lang w:eastAsia="en-GB" w:bidi="ar-SA"/>
              </w:rPr>
              <w:tab/>
            </w:r>
            <w:r w:rsidRPr="00C74A6B">
              <w:rPr>
                <w:rFonts w:cs="Arial"/>
                <w:color w:val="000000"/>
                <w:sz w:val="18"/>
                <w:szCs w:val="18"/>
                <w:lang w:eastAsia="en-GB" w:bidi="ar-SA"/>
              </w:rPr>
              <w:t>Liquid formulated supplementary sports foods</w:t>
            </w:r>
          </w:p>
        </w:tc>
        <w:tc>
          <w:tcPr>
            <w:tcW w:w="807" w:type="dxa"/>
            <w:shd w:val="clear" w:color="auto" w:fill="auto"/>
            <w:vAlign w:val="center"/>
          </w:tcPr>
          <w:p w14:paraId="4A2EC078" w14:textId="77777777" w:rsidR="001A319B" w:rsidRPr="00C74A6B" w:rsidRDefault="001A319B" w:rsidP="00E907D7">
            <w:pPr>
              <w:widowControl/>
              <w:tabs>
                <w:tab w:val="decimal" w:pos="397"/>
              </w:tabs>
              <w:rPr>
                <w:rFonts w:cs="Arial"/>
                <w:color w:val="000000"/>
                <w:sz w:val="18"/>
                <w:szCs w:val="18"/>
                <w:lang w:eastAsia="en-GB" w:bidi="ar-SA"/>
              </w:rPr>
            </w:pPr>
            <w:r w:rsidRPr="00C74A6B">
              <w:rPr>
                <w:rFonts w:cs="Arial"/>
                <w:color w:val="000000"/>
                <w:sz w:val="18"/>
                <w:szCs w:val="18"/>
              </w:rPr>
              <w:t>0</w:t>
            </w:r>
          </w:p>
        </w:tc>
        <w:tc>
          <w:tcPr>
            <w:tcW w:w="807" w:type="dxa"/>
            <w:vAlign w:val="center"/>
          </w:tcPr>
          <w:p w14:paraId="7E9A8984" w14:textId="77777777" w:rsidR="001A319B" w:rsidRPr="00C74A6B" w:rsidRDefault="001A319B" w:rsidP="00E907D7">
            <w:pPr>
              <w:widowControl/>
              <w:tabs>
                <w:tab w:val="decimal" w:pos="397"/>
              </w:tabs>
              <w:rPr>
                <w:rFonts w:cs="Arial"/>
                <w:color w:val="000000"/>
                <w:sz w:val="18"/>
                <w:szCs w:val="18"/>
              </w:rPr>
            </w:pPr>
            <w:r w:rsidRPr="00C74A6B">
              <w:rPr>
                <w:rFonts w:cs="Arial"/>
                <w:color w:val="000000"/>
                <w:sz w:val="18"/>
                <w:szCs w:val="18"/>
              </w:rPr>
              <w:t>0</w:t>
            </w:r>
          </w:p>
        </w:tc>
        <w:tc>
          <w:tcPr>
            <w:tcW w:w="809" w:type="dxa"/>
            <w:shd w:val="clear" w:color="auto" w:fill="auto"/>
            <w:vAlign w:val="center"/>
          </w:tcPr>
          <w:p w14:paraId="099A8990" w14:textId="77777777" w:rsidR="001A319B" w:rsidRPr="00C74A6B" w:rsidRDefault="001A319B" w:rsidP="00E907D7">
            <w:pPr>
              <w:widowControl/>
              <w:tabs>
                <w:tab w:val="decimal" w:pos="397"/>
              </w:tabs>
              <w:rPr>
                <w:rFonts w:cs="Arial"/>
                <w:color w:val="000000"/>
                <w:sz w:val="18"/>
                <w:szCs w:val="18"/>
                <w:lang w:eastAsia="en-GB" w:bidi="ar-SA"/>
              </w:rPr>
            </w:pPr>
            <w:r w:rsidRPr="00C74A6B">
              <w:rPr>
                <w:rFonts w:cs="Arial"/>
                <w:color w:val="000000"/>
                <w:sz w:val="18"/>
                <w:szCs w:val="18"/>
              </w:rPr>
              <w:t>0</w:t>
            </w:r>
          </w:p>
        </w:tc>
        <w:tc>
          <w:tcPr>
            <w:tcW w:w="812" w:type="dxa"/>
            <w:shd w:val="clear" w:color="auto" w:fill="D9D9D9" w:themeFill="background1" w:themeFillShade="D9"/>
            <w:vAlign w:val="center"/>
          </w:tcPr>
          <w:p w14:paraId="089C0F7D" w14:textId="77777777" w:rsidR="001A319B" w:rsidRPr="00C74A6B" w:rsidRDefault="001A319B" w:rsidP="00E907D7">
            <w:pPr>
              <w:widowControl/>
              <w:tabs>
                <w:tab w:val="decimal" w:pos="397"/>
              </w:tabs>
              <w:rPr>
                <w:rFonts w:cs="Arial"/>
                <w:sz w:val="18"/>
                <w:szCs w:val="18"/>
                <w:lang w:eastAsia="en-GB" w:bidi="ar-SA"/>
              </w:rPr>
            </w:pPr>
            <w:r w:rsidRPr="00C74A6B">
              <w:rPr>
                <w:rFonts w:cs="Arial"/>
                <w:sz w:val="18"/>
                <w:szCs w:val="18"/>
              </w:rPr>
              <w:t>21</w:t>
            </w:r>
          </w:p>
        </w:tc>
        <w:tc>
          <w:tcPr>
            <w:tcW w:w="809" w:type="dxa"/>
            <w:shd w:val="clear" w:color="auto" w:fill="D9D9D9" w:themeFill="background1" w:themeFillShade="D9"/>
            <w:vAlign w:val="center"/>
          </w:tcPr>
          <w:p w14:paraId="660AEE66" w14:textId="77777777" w:rsidR="001A319B" w:rsidRPr="00C74A6B" w:rsidRDefault="001A319B" w:rsidP="00E907D7">
            <w:pPr>
              <w:widowControl/>
              <w:tabs>
                <w:tab w:val="decimal" w:pos="397"/>
              </w:tabs>
              <w:rPr>
                <w:rFonts w:cs="Arial"/>
                <w:sz w:val="18"/>
                <w:szCs w:val="18"/>
              </w:rPr>
            </w:pPr>
            <w:r w:rsidRPr="00C74A6B">
              <w:rPr>
                <w:rFonts w:cs="Arial"/>
                <w:sz w:val="18"/>
                <w:szCs w:val="18"/>
              </w:rPr>
              <w:t>53</w:t>
            </w:r>
          </w:p>
        </w:tc>
        <w:tc>
          <w:tcPr>
            <w:tcW w:w="840" w:type="dxa"/>
            <w:shd w:val="clear" w:color="auto" w:fill="D9D9D9" w:themeFill="background1" w:themeFillShade="D9"/>
            <w:vAlign w:val="center"/>
          </w:tcPr>
          <w:p w14:paraId="4C689D8A" w14:textId="77777777" w:rsidR="001A319B" w:rsidRPr="00C74A6B" w:rsidRDefault="001A319B" w:rsidP="00E907D7">
            <w:pPr>
              <w:widowControl/>
              <w:tabs>
                <w:tab w:val="decimal" w:pos="397"/>
              </w:tabs>
              <w:rPr>
                <w:rFonts w:cs="Arial"/>
                <w:sz w:val="18"/>
                <w:szCs w:val="18"/>
                <w:lang w:eastAsia="en-GB" w:bidi="ar-SA"/>
              </w:rPr>
            </w:pPr>
            <w:r w:rsidRPr="00C74A6B">
              <w:rPr>
                <w:rFonts w:cs="Arial"/>
                <w:sz w:val="18"/>
                <w:szCs w:val="18"/>
              </w:rPr>
              <w:t>16</w:t>
            </w:r>
          </w:p>
        </w:tc>
        <w:tc>
          <w:tcPr>
            <w:tcW w:w="809" w:type="dxa"/>
            <w:shd w:val="clear" w:color="auto" w:fill="D9D9D9" w:themeFill="background1" w:themeFillShade="D9"/>
            <w:vAlign w:val="center"/>
          </w:tcPr>
          <w:p w14:paraId="647092D8" w14:textId="77777777" w:rsidR="001A319B" w:rsidRPr="00C74A6B" w:rsidRDefault="001A319B" w:rsidP="00E907D7">
            <w:pPr>
              <w:widowControl/>
              <w:tabs>
                <w:tab w:val="decimal" w:pos="397"/>
              </w:tabs>
              <w:rPr>
                <w:rFonts w:cs="Arial"/>
                <w:sz w:val="18"/>
                <w:szCs w:val="18"/>
                <w:lang w:eastAsia="en-GB" w:bidi="ar-SA"/>
              </w:rPr>
            </w:pPr>
            <w:r w:rsidRPr="00C74A6B">
              <w:rPr>
                <w:rFonts w:cs="Arial"/>
                <w:sz w:val="18"/>
                <w:szCs w:val="18"/>
              </w:rPr>
              <w:t>15</w:t>
            </w:r>
          </w:p>
        </w:tc>
        <w:tc>
          <w:tcPr>
            <w:tcW w:w="765" w:type="dxa"/>
            <w:shd w:val="clear" w:color="auto" w:fill="D9D9D9" w:themeFill="background1" w:themeFillShade="D9"/>
            <w:vAlign w:val="center"/>
          </w:tcPr>
          <w:p w14:paraId="4DBE4EE5" w14:textId="77777777" w:rsidR="001A319B" w:rsidRPr="00C74A6B" w:rsidRDefault="001A319B" w:rsidP="00E907D7">
            <w:pPr>
              <w:widowControl/>
              <w:tabs>
                <w:tab w:val="decimal" w:pos="397"/>
              </w:tabs>
              <w:rPr>
                <w:rFonts w:cs="Arial"/>
                <w:sz w:val="18"/>
                <w:szCs w:val="18"/>
              </w:rPr>
            </w:pPr>
            <w:r w:rsidRPr="00C74A6B">
              <w:rPr>
                <w:rFonts w:cs="Arial"/>
                <w:sz w:val="18"/>
                <w:szCs w:val="18"/>
              </w:rPr>
              <w:t>43</w:t>
            </w:r>
          </w:p>
        </w:tc>
        <w:tc>
          <w:tcPr>
            <w:tcW w:w="826" w:type="dxa"/>
            <w:shd w:val="clear" w:color="auto" w:fill="D9D9D9" w:themeFill="background1" w:themeFillShade="D9"/>
            <w:vAlign w:val="center"/>
          </w:tcPr>
          <w:p w14:paraId="18E58CA6" w14:textId="77777777" w:rsidR="001A319B" w:rsidRPr="00C74A6B" w:rsidRDefault="001A319B" w:rsidP="00E907D7">
            <w:pPr>
              <w:widowControl/>
              <w:tabs>
                <w:tab w:val="decimal" w:pos="397"/>
              </w:tabs>
              <w:rPr>
                <w:rFonts w:cs="Arial"/>
                <w:sz w:val="18"/>
                <w:szCs w:val="18"/>
                <w:lang w:eastAsia="en-GB" w:bidi="ar-SA"/>
              </w:rPr>
            </w:pPr>
            <w:r w:rsidRPr="00C74A6B">
              <w:rPr>
                <w:rFonts w:cs="Arial"/>
                <w:sz w:val="18"/>
                <w:szCs w:val="18"/>
              </w:rPr>
              <w:t>11</w:t>
            </w:r>
          </w:p>
        </w:tc>
        <w:tc>
          <w:tcPr>
            <w:tcW w:w="846" w:type="dxa"/>
            <w:shd w:val="clear" w:color="auto" w:fill="auto"/>
            <w:vAlign w:val="center"/>
          </w:tcPr>
          <w:p w14:paraId="39516D89" w14:textId="77777777" w:rsidR="001A319B" w:rsidRPr="00C74A6B" w:rsidRDefault="001A319B" w:rsidP="00E907D7">
            <w:pPr>
              <w:widowControl/>
              <w:tabs>
                <w:tab w:val="decimal" w:pos="397"/>
              </w:tabs>
              <w:rPr>
                <w:rFonts w:cs="Arial"/>
                <w:color w:val="000000"/>
                <w:sz w:val="18"/>
                <w:szCs w:val="18"/>
                <w:lang w:eastAsia="en-GB" w:bidi="ar-SA"/>
              </w:rPr>
            </w:pPr>
            <w:r w:rsidRPr="00C74A6B">
              <w:rPr>
                <w:rFonts w:cs="Arial"/>
                <w:sz w:val="18"/>
                <w:szCs w:val="18"/>
              </w:rPr>
              <w:t>0</w:t>
            </w:r>
          </w:p>
        </w:tc>
        <w:tc>
          <w:tcPr>
            <w:tcW w:w="846" w:type="dxa"/>
            <w:vAlign w:val="center"/>
          </w:tcPr>
          <w:p w14:paraId="03E3E136" w14:textId="77777777" w:rsidR="001A319B" w:rsidRPr="00C74A6B" w:rsidRDefault="001A319B" w:rsidP="00E907D7">
            <w:pPr>
              <w:widowControl/>
              <w:tabs>
                <w:tab w:val="decimal" w:pos="397"/>
              </w:tabs>
              <w:rPr>
                <w:rFonts w:cs="Arial"/>
                <w:sz w:val="18"/>
                <w:szCs w:val="18"/>
              </w:rPr>
            </w:pPr>
            <w:r w:rsidRPr="00C74A6B">
              <w:rPr>
                <w:rFonts w:cs="Arial"/>
                <w:sz w:val="18"/>
                <w:szCs w:val="18"/>
              </w:rPr>
              <w:t>0</w:t>
            </w:r>
          </w:p>
        </w:tc>
        <w:tc>
          <w:tcPr>
            <w:tcW w:w="672" w:type="dxa"/>
            <w:shd w:val="clear" w:color="auto" w:fill="auto"/>
            <w:vAlign w:val="center"/>
          </w:tcPr>
          <w:p w14:paraId="5843902F" w14:textId="77777777" w:rsidR="001A319B" w:rsidRPr="00C74A6B" w:rsidRDefault="001A319B" w:rsidP="00E907D7">
            <w:pPr>
              <w:widowControl/>
              <w:tabs>
                <w:tab w:val="decimal" w:pos="397"/>
              </w:tabs>
              <w:rPr>
                <w:rFonts w:cs="Arial"/>
                <w:color w:val="000000"/>
                <w:sz w:val="18"/>
                <w:szCs w:val="18"/>
                <w:lang w:eastAsia="en-GB" w:bidi="ar-SA"/>
              </w:rPr>
            </w:pPr>
            <w:r w:rsidRPr="00C74A6B">
              <w:rPr>
                <w:rFonts w:cs="Arial"/>
                <w:sz w:val="18"/>
                <w:szCs w:val="18"/>
              </w:rPr>
              <w:t>0</w:t>
            </w:r>
          </w:p>
        </w:tc>
      </w:tr>
      <w:tr w:rsidR="00A406E7" w:rsidRPr="00C74A6B" w14:paraId="7F8DD8DC" w14:textId="77777777" w:rsidTr="00221A11">
        <w:trPr>
          <w:cantSplit/>
        </w:trPr>
        <w:tc>
          <w:tcPr>
            <w:tcW w:w="1270" w:type="dxa"/>
            <w:shd w:val="clear" w:color="auto" w:fill="D9D9D9" w:themeFill="background1" w:themeFillShade="D9"/>
            <w:vAlign w:val="center"/>
            <w:hideMark/>
          </w:tcPr>
          <w:p w14:paraId="284DD77A" w14:textId="77777777" w:rsidR="00E907D7" w:rsidRPr="00C74A6B" w:rsidRDefault="00E907D7" w:rsidP="00E907D7">
            <w:pPr>
              <w:keepNext/>
              <w:keepLines/>
              <w:widowControl/>
              <w:rPr>
                <w:rFonts w:cs="Arial"/>
                <w:bCs/>
                <w:color w:val="000000"/>
                <w:sz w:val="18"/>
                <w:szCs w:val="18"/>
                <w:lang w:eastAsia="en-GB" w:bidi="ar-SA"/>
              </w:rPr>
            </w:pPr>
            <w:r w:rsidRPr="00C74A6B">
              <w:rPr>
                <w:rFonts w:cs="Arial"/>
                <w:bCs/>
                <w:color w:val="000000"/>
                <w:sz w:val="18"/>
                <w:szCs w:val="18"/>
                <w:lang w:eastAsia="en-GB" w:bidi="ar-SA"/>
              </w:rPr>
              <w:t>14</w:t>
            </w:r>
          </w:p>
        </w:tc>
        <w:tc>
          <w:tcPr>
            <w:tcW w:w="3084" w:type="dxa"/>
            <w:gridSpan w:val="4"/>
            <w:tcBorders>
              <w:bottom w:val="single" w:sz="4" w:space="0" w:color="auto"/>
            </w:tcBorders>
            <w:shd w:val="clear" w:color="auto" w:fill="D9D9D9" w:themeFill="background1" w:themeFillShade="D9"/>
            <w:vAlign w:val="center"/>
          </w:tcPr>
          <w:p w14:paraId="4D501DEA" w14:textId="77777777" w:rsidR="00E907D7" w:rsidRPr="00C74A6B" w:rsidRDefault="00E907D7" w:rsidP="00E907D7">
            <w:pPr>
              <w:keepNext/>
              <w:keepLines/>
              <w:widowControl/>
              <w:rPr>
                <w:rFonts w:cs="Arial"/>
                <w:bCs/>
                <w:color w:val="000000"/>
                <w:sz w:val="18"/>
                <w:szCs w:val="18"/>
                <w:lang w:eastAsia="en-GB" w:bidi="ar-SA"/>
              </w:rPr>
            </w:pPr>
            <w:r w:rsidRPr="00C74A6B">
              <w:rPr>
                <w:rFonts w:cs="Arial"/>
                <w:bCs/>
                <w:color w:val="000000"/>
                <w:sz w:val="18"/>
                <w:szCs w:val="18"/>
                <w:lang w:eastAsia="en-GB" w:bidi="ar-SA"/>
              </w:rPr>
              <w:t>All Non-alcoholic &amp; alcoholic beverages</w:t>
            </w:r>
          </w:p>
        </w:tc>
        <w:tc>
          <w:tcPr>
            <w:tcW w:w="807" w:type="dxa"/>
            <w:shd w:val="clear" w:color="auto" w:fill="auto"/>
            <w:vAlign w:val="center"/>
          </w:tcPr>
          <w:p w14:paraId="15987580" w14:textId="77777777" w:rsidR="00E907D7" w:rsidRPr="00C74A6B" w:rsidRDefault="00E907D7" w:rsidP="00E907D7">
            <w:pPr>
              <w:keepNext/>
              <w:keepLines/>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07" w:type="dxa"/>
            <w:vAlign w:val="center"/>
          </w:tcPr>
          <w:p w14:paraId="14E05AA9" w14:textId="77777777" w:rsidR="00E907D7" w:rsidRPr="00C74A6B" w:rsidRDefault="00E907D7" w:rsidP="00E907D7">
            <w:pPr>
              <w:keepNext/>
              <w:keepLines/>
              <w:widowControl/>
              <w:tabs>
                <w:tab w:val="decimal" w:pos="397"/>
              </w:tabs>
              <w:rPr>
                <w:rFonts w:cs="Arial"/>
                <w:bCs/>
                <w:color w:val="000000"/>
                <w:sz w:val="18"/>
                <w:szCs w:val="18"/>
              </w:rPr>
            </w:pPr>
            <w:r w:rsidRPr="00C74A6B">
              <w:rPr>
                <w:rFonts w:cs="Arial"/>
                <w:bCs/>
                <w:color w:val="000000"/>
                <w:sz w:val="18"/>
                <w:szCs w:val="18"/>
              </w:rPr>
              <w:t>&lt;1</w:t>
            </w:r>
          </w:p>
        </w:tc>
        <w:tc>
          <w:tcPr>
            <w:tcW w:w="809" w:type="dxa"/>
            <w:shd w:val="clear" w:color="auto" w:fill="D9D9D9" w:themeFill="background1" w:themeFillShade="D9"/>
            <w:vAlign w:val="center"/>
          </w:tcPr>
          <w:p w14:paraId="7E02D0D8" w14:textId="77777777" w:rsidR="00E907D7" w:rsidRPr="00C74A6B" w:rsidRDefault="00E907D7" w:rsidP="00E907D7">
            <w:pPr>
              <w:keepNext/>
              <w:keepLines/>
              <w:widowControl/>
              <w:tabs>
                <w:tab w:val="decimal" w:pos="397"/>
              </w:tabs>
              <w:rPr>
                <w:rFonts w:cs="Arial"/>
                <w:bCs/>
                <w:color w:val="000000"/>
                <w:sz w:val="18"/>
                <w:szCs w:val="18"/>
                <w:lang w:eastAsia="en-GB" w:bidi="ar-SA"/>
              </w:rPr>
            </w:pPr>
            <w:r w:rsidRPr="00C74A6B">
              <w:rPr>
                <w:rFonts w:cs="Arial"/>
                <w:bCs/>
                <w:color w:val="000000"/>
                <w:sz w:val="18"/>
                <w:szCs w:val="18"/>
              </w:rPr>
              <w:t>14</w:t>
            </w:r>
          </w:p>
        </w:tc>
        <w:tc>
          <w:tcPr>
            <w:tcW w:w="812" w:type="dxa"/>
            <w:shd w:val="clear" w:color="auto" w:fill="auto"/>
            <w:vAlign w:val="center"/>
          </w:tcPr>
          <w:p w14:paraId="4D12EB4C" w14:textId="77777777" w:rsidR="00E907D7" w:rsidRPr="00C74A6B" w:rsidRDefault="00E907D7" w:rsidP="00E907D7">
            <w:pPr>
              <w:keepNext/>
              <w:keepLines/>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09" w:type="dxa"/>
            <w:vAlign w:val="center"/>
          </w:tcPr>
          <w:p w14:paraId="69D9B420" w14:textId="77777777" w:rsidR="00E907D7" w:rsidRPr="00C74A6B" w:rsidRDefault="00E907D7" w:rsidP="00E907D7">
            <w:pPr>
              <w:keepNext/>
              <w:keepLines/>
              <w:widowControl/>
              <w:tabs>
                <w:tab w:val="decimal" w:pos="397"/>
              </w:tabs>
              <w:rPr>
                <w:rFonts w:cs="Arial"/>
                <w:bCs/>
                <w:color w:val="000000"/>
                <w:sz w:val="18"/>
                <w:szCs w:val="18"/>
              </w:rPr>
            </w:pPr>
            <w:r w:rsidRPr="00C74A6B">
              <w:rPr>
                <w:rFonts w:cs="Arial"/>
                <w:bCs/>
                <w:color w:val="000000"/>
                <w:sz w:val="18"/>
                <w:szCs w:val="18"/>
              </w:rPr>
              <w:t>&lt;1</w:t>
            </w:r>
          </w:p>
        </w:tc>
        <w:tc>
          <w:tcPr>
            <w:tcW w:w="840" w:type="dxa"/>
            <w:shd w:val="clear" w:color="auto" w:fill="D9D9D9" w:themeFill="background1" w:themeFillShade="D9"/>
            <w:vAlign w:val="center"/>
          </w:tcPr>
          <w:p w14:paraId="5FE01095" w14:textId="77777777" w:rsidR="00E907D7" w:rsidRPr="00C74A6B" w:rsidRDefault="00E907D7" w:rsidP="00E907D7">
            <w:pPr>
              <w:keepNext/>
              <w:keepLines/>
              <w:widowControl/>
              <w:tabs>
                <w:tab w:val="decimal" w:pos="397"/>
              </w:tabs>
              <w:rPr>
                <w:rFonts w:cs="Arial"/>
                <w:bCs/>
                <w:color w:val="000000"/>
                <w:sz w:val="18"/>
                <w:szCs w:val="18"/>
                <w:lang w:eastAsia="en-GB" w:bidi="ar-SA"/>
              </w:rPr>
            </w:pPr>
            <w:r w:rsidRPr="00C74A6B">
              <w:rPr>
                <w:rFonts w:cs="Arial"/>
                <w:bCs/>
                <w:color w:val="000000"/>
                <w:sz w:val="18"/>
                <w:szCs w:val="18"/>
              </w:rPr>
              <w:t>22</w:t>
            </w:r>
          </w:p>
        </w:tc>
        <w:tc>
          <w:tcPr>
            <w:tcW w:w="809" w:type="dxa"/>
            <w:shd w:val="clear" w:color="auto" w:fill="auto"/>
            <w:vAlign w:val="center"/>
          </w:tcPr>
          <w:p w14:paraId="31E8FF9E" w14:textId="77777777" w:rsidR="00E907D7" w:rsidRPr="00C74A6B" w:rsidRDefault="00E907D7" w:rsidP="00E907D7">
            <w:pPr>
              <w:keepNext/>
              <w:keepLines/>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765" w:type="dxa"/>
            <w:vAlign w:val="center"/>
          </w:tcPr>
          <w:p w14:paraId="52A321EB" w14:textId="77777777" w:rsidR="00E907D7" w:rsidRPr="00C74A6B" w:rsidRDefault="00E907D7" w:rsidP="00E907D7">
            <w:pPr>
              <w:keepNext/>
              <w:keepLines/>
              <w:widowControl/>
              <w:tabs>
                <w:tab w:val="decimal" w:pos="397"/>
              </w:tabs>
              <w:rPr>
                <w:rFonts w:cs="Arial"/>
                <w:bCs/>
                <w:color w:val="000000"/>
                <w:sz w:val="18"/>
                <w:szCs w:val="18"/>
              </w:rPr>
            </w:pPr>
            <w:r w:rsidRPr="00C74A6B">
              <w:rPr>
                <w:rFonts w:cs="Arial"/>
                <w:bCs/>
                <w:color w:val="000000"/>
                <w:sz w:val="18"/>
                <w:szCs w:val="18"/>
              </w:rPr>
              <w:t>&lt;1</w:t>
            </w:r>
          </w:p>
        </w:tc>
        <w:tc>
          <w:tcPr>
            <w:tcW w:w="826" w:type="dxa"/>
            <w:shd w:val="clear" w:color="auto" w:fill="D9D9D9" w:themeFill="background1" w:themeFillShade="D9"/>
            <w:vAlign w:val="center"/>
          </w:tcPr>
          <w:p w14:paraId="57592630" w14:textId="77777777" w:rsidR="00E907D7" w:rsidRPr="00C74A6B" w:rsidRDefault="00E907D7" w:rsidP="00E907D7">
            <w:pPr>
              <w:keepNext/>
              <w:keepLines/>
              <w:widowControl/>
              <w:tabs>
                <w:tab w:val="decimal" w:pos="397"/>
              </w:tabs>
              <w:rPr>
                <w:rFonts w:cs="Arial"/>
                <w:bCs/>
                <w:color w:val="000000"/>
                <w:sz w:val="18"/>
                <w:szCs w:val="18"/>
                <w:lang w:eastAsia="en-GB" w:bidi="ar-SA"/>
              </w:rPr>
            </w:pPr>
            <w:r w:rsidRPr="00C74A6B">
              <w:rPr>
                <w:rFonts w:cs="Arial"/>
                <w:bCs/>
                <w:color w:val="000000"/>
                <w:sz w:val="18"/>
                <w:szCs w:val="18"/>
              </w:rPr>
              <w:t>21</w:t>
            </w:r>
          </w:p>
        </w:tc>
        <w:tc>
          <w:tcPr>
            <w:tcW w:w="846" w:type="dxa"/>
            <w:shd w:val="clear" w:color="auto" w:fill="auto"/>
            <w:vAlign w:val="center"/>
          </w:tcPr>
          <w:p w14:paraId="121AD5E8" w14:textId="77777777" w:rsidR="00E907D7" w:rsidRPr="00C74A6B" w:rsidRDefault="00E907D7" w:rsidP="00E907D7">
            <w:pPr>
              <w:keepNext/>
              <w:keepLines/>
              <w:widowControl/>
              <w:tabs>
                <w:tab w:val="decimal" w:pos="397"/>
              </w:tabs>
              <w:rPr>
                <w:rFonts w:cs="Arial"/>
                <w:bCs/>
                <w:color w:val="000000"/>
                <w:sz w:val="18"/>
                <w:szCs w:val="18"/>
                <w:lang w:eastAsia="en-GB" w:bidi="ar-SA"/>
              </w:rPr>
            </w:pPr>
            <w:r w:rsidRPr="00C74A6B">
              <w:rPr>
                <w:rFonts w:cs="Arial"/>
                <w:bCs/>
                <w:color w:val="000000"/>
                <w:sz w:val="18"/>
                <w:szCs w:val="18"/>
              </w:rPr>
              <w:t>&lt;1</w:t>
            </w:r>
          </w:p>
        </w:tc>
        <w:tc>
          <w:tcPr>
            <w:tcW w:w="846" w:type="dxa"/>
            <w:vAlign w:val="center"/>
          </w:tcPr>
          <w:p w14:paraId="2A8CF049" w14:textId="77777777" w:rsidR="00E907D7" w:rsidRPr="00C74A6B" w:rsidRDefault="00E907D7" w:rsidP="00E907D7">
            <w:pPr>
              <w:keepNext/>
              <w:keepLines/>
              <w:widowControl/>
              <w:tabs>
                <w:tab w:val="decimal" w:pos="397"/>
              </w:tabs>
              <w:rPr>
                <w:rFonts w:cs="Arial"/>
                <w:bCs/>
                <w:color w:val="000000"/>
                <w:sz w:val="18"/>
                <w:szCs w:val="18"/>
              </w:rPr>
            </w:pPr>
            <w:r w:rsidRPr="00C74A6B">
              <w:rPr>
                <w:rFonts w:cs="Arial"/>
                <w:bCs/>
                <w:color w:val="000000"/>
                <w:sz w:val="18"/>
                <w:szCs w:val="18"/>
              </w:rPr>
              <w:t>&lt;1</w:t>
            </w:r>
          </w:p>
        </w:tc>
        <w:tc>
          <w:tcPr>
            <w:tcW w:w="672" w:type="dxa"/>
            <w:shd w:val="clear" w:color="auto" w:fill="D9D9D9" w:themeFill="background1" w:themeFillShade="D9"/>
            <w:vAlign w:val="center"/>
          </w:tcPr>
          <w:p w14:paraId="7BEAF389" w14:textId="77777777" w:rsidR="00E907D7" w:rsidRPr="00C74A6B" w:rsidRDefault="00E907D7" w:rsidP="00E907D7">
            <w:pPr>
              <w:keepNext/>
              <w:keepLines/>
              <w:widowControl/>
              <w:tabs>
                <w:tab w:val="decimal" w:pos="397"/>
              </w:tabs>
              <w:rPr>
                <w:rFonts w:cs="Arial"/>
                <w:bCs/>
                <w:color w:val="000000"/>
                <w:sz w:val="18"/>
                <w:szCs w:val="18"/>
                <w:lang w:eastAsia="en-GB" w:bidi="ar-SA"/>
              </w:rPr>
            </w:pPr>
            <w:r w:rsidRPr="00C74A6B">
              <w:rPr>
                <w:rFonts w:cs="Arial"/>
                <w:bCs/>
                <w:color w:val="000000"/>
                <w:sz w:val="18"/>
                <w:szCs w:val="18"/>
              </w:rPr>
              <w:t>43</w:t>
            </w:r>
          </w:p>
        </w:tc>
      </w:tr>
      <w:tr w:rsidR="00221A11" w:rsidRPr="00B83846" w14:paraId="49542A42" w14:textId="77777777" w:rsidTr="00221A11">
        <w:trPr>
          <w:cantSplit/>
        </w:trPr>
        <w:tc>
          <w:tcPr>
            <w:tcW w:w="1270" w:type="dxa"/>
            <w:shd w:val="clear" w:color="auto" w:fill="D9D9D9" w:themeFill="background1" w:themeFillShade="D9"/>
            <w:vAlign w:val="center"/>
            <w:hideMark/>
          </w:tcPr>
          <w:p w14:paraId="6D9092C5" w14:textId="77777777" w:rsidR="00C51F8F" w:rsidRPr="00B83846" w:rsidRDefault="00C51F8F"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14.1.2</w:t>
            </w:r>
          </w:p>
        </w:tc>
        <w:tc>
          <w:tcPr>
            <w:tcW w:w="756" w:type="dxa"/>
            <w:tcBorders>
              <w:right w:val="nil"/>
            </w:tcBorders>
            <w:shd w:val="clear" w:color="auto" w:fill="D9D9D9" w:themeFill="background1" w:themeFillShade="D9"/>
            <w:vAlign w:val="center"/>
          </w:tcPr>
          <w:p w14:paraId="5E5B8FB1" w14:textId="77777777" w:rsidR="00C51F8F" w:rsidRPr="00B83846" w:rsidRDefault="00C51F8F" w:rsidP="00221A11">
            <w:pPr>
              <w:widowControl/>
              <w:ind w:left="180" w:hanging="180"/>
              <w:rPr>
                <w:rFonts w:cs="Arial"/>
                <w:color w:val="000000"/>
                <w:sz w:val="18"/>
                <w:szCs w:val="18"/>
                <w:lang w:eastAsia="en-GB" w:bidi="ar-SA"/>
              </w:rPr>
            </w:pPr>
          </w:p>
        </w:tc>
        <w:tc>
          <w:tcPr>
            <w:tcW w:w="2328" w:type="dxa"/>
            <w:gridSpan w:val="3"/>
            <w:tcBorders>
              <w:left w:val="nil"/>
            </w:tcBorders>
            <w:shd w:val="clear" w:color="auto" w:fill="D9D9D9" w:themeFill="background1" w:themeFillShade="D9"/>
            <w:vAlign w:val="center"/>
            <w:hideMark/>
          </w:tcPr>
          <w:p w14:paraId="79A46A84" w14:textId="77777777" w:rsidR="00C51F8F" w:rsidRPr="00B83846" w:rsidRDefault="00C51F8F"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Fruit &amp; vegetable juices &amp; fruit &amp; vegetable juice products</w:t>
            </w:r>
          </w:p>
        </w:tc>
        <w:tc>
          <w:tcPr>
            <w:tcW w:w="807" w:type="dxa"/>
            <w:shd w:val="clear" w:color="auto" w:fill="auto"/>
            <w:vAlign w:val="center"/>
          </w:tcPr>
          <w:p w14:paraId="33973567" w14:textId="77777777" w:rsidR="00C51F8F" w:rsidRPr="005056E3" w:rsidRDefault="00C51F8F" w:rsidP="00DF510F">
            <w:pPr>
              <w:keepNext/>
              <w:keepLines/>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807" w:type="dxa"/>
            <w:vAlign w:val="center"/>
          </w:tcPr>
          <w:p w14:paraId="4AE8762D" w14:textId="77777777" w:rsidR="00C51F8F" w:rsidRPr="00A20B5B" w:rsidRDefault="00C51F8F" w:rsidP="00DF510F">
            <w:pPr>
              <w:keepNext/>
              <w:keepLines/>
              <w:widowControl/>
              <w:tabs>
                <w:tab w:val="decimal" w:pos="397"/>
              </w:tabs>
              <w:rPr>
                <w:rFonts w:cs="Arial"/>
                <w:color w:val="000000"/>
                <w:sz w:val="18"/>
                <w:szCs w:val="18"/>
              </w:rPr>
            </w:pPr>
            <w:r w:rsidRPr="005056E3">
              <w:rPr>
                <w:rFonts w:cs="Arial"/>
                <w:color w:val="000000"/>
                <w:sz w:val="18"/>
                <w:szCs w:val="18"/>
              </w:rPr>
              <w:t>&lt;1</w:t>
            </w:r>
          </w:p>
        </w:tc>
        <w:tc>
          <w:tcPr>
            <w:tcW w:w="809" w:type="dxa"/>
            <w:shd w:val="clear" w:color="auto" w:fill="D9D9D9" w:themeFill="background1" w:themeFillShade="D9"/>
            <w:vAlign w:val="center"/>
          </w:tcPr>
          <w:p w14:paraId="530A7A4F" w14:textId="77777777" w:rsidR="00C51F8F" w:rsidRPr="005056E3" w:rsidRDefault="00C51F8F" w:rsidP="00DF510F">
            <w:pPr>
              <w:keepNext/>
              <w:keepLines/>
              <w:widowControl/>
              <w:tabs>
                <w:tab w:val="decimal" w:pos="397"/>
              </w:tabs>
              <w:rPr>
                <w:rFonts w:cs="Arial"/>
                <w:color w:val="000000"/>
                <w:sz w:val="18"/>
                <w:szCs w:val="18"/>
                <w:lang w:eastAsia="en-GB" w:bidi="ar-SA"/>
              </w:rPr>
            </w:pPr>
            <w:r w:rsidRPr="005056E3">
              <w:rPr>
                <w:rFonts w:cs="Arial"/>
                <w:color w:val="000000"/>
                <w:sz w:val="18"/>
                <w:szCs w:val="18"/>
              </w:rPr>
              <w:t>5</w:t>
            </w:r>
          </w:p>
        </w:tc>
        <w:tc>
          <w:tcPr>
            <w:tcW w:w="812" w:type="dxa"/>
            <w:shd w:val="clear" w:color="auto" w:fill="auto"/>
            <w:vAlign w:val="center"/>
          </w:tcPr>
          <w:p w14:paraId="5402F9FF" w14:textId="77777777" w:rsidR="00C51F8F" w:rsidRPr="005056E3" w:rsidRDefault="00C51F8F" w:rsidP="00DF510F">
            <w:pPr>
              <w:keepNext/>
              <w:keepLines/>
              <w:widowControl/>
              <w:tabs>
                <w:tab w:val="decimal" w:pos="397"/>
              </w:tabs>
              <w:rPr>
                <w:rFonts w:cs="Arial"/>
                <w:sz w:val="18"/>
                <w:szCs w:val="18"/>
                <w:lang w:eastAsia="en-GB" w:bidi="ar-SA"/>
              </w:rPr>
            </w:pPr>
            <w:r w:rsidRPr="005056E3">
              <w:rPr>
                <w:rFonts w:cs="Arial"/>
                <w:sz w:val="18"/>
                <w:szCs w:val="18"/>
              </w:rPr>
              <w:t>&lt;1</w:t>
            </w:r>
          </w:p>
        </w:tc>
        <w:tc>
          <w:tcPr>
            <w:tcW w:w="809" w:type="dxa"/>
            <w:vAlign w:val="center"/>
          </w:tcPr>
          <w:p w14:paraId="113D888D" w14:textId="77777777" w:rsidR="00C51F8F" w:rsidRPr="00A20B5B" w:rsidRDefault="00C51F8F" w:rsidP="00DF510F">
            <w:pPr>
              <w:keepNext/>
              <w:keepLines/>
              <w:widowControl/>
              <w:tabs>
                <w:tab w:val="decimal" w:pos="397"/>
              </w:tabs>
              <w:rPr>
                <w:rFonts w:cs="Arial"/>
                <w:sz w:val="18"/>
                <w:szCs w:val="18"/>
              </w:rPr>
            </w:pPr>
            <w:r w:rsidRPr="005056E3">
              <w:rPr>
                <w:rFonts w:cs="Arial"/>
                <w:sz w:val="18"/>
                <w:szCs w:val="18"/>
              </w:rPr>
              <w:t>&lt;1</w:t>
            </w:r>
          </w:p>
        </w:tc>
        <w:tc>
          <w:tcPr>
            <w:tcW w:w="840" w:type="dxa"/>
            <w:shd w:val="clear" w:color="auto" w:fill="auto"/>
            <w:vAlign w:val="center"/>
          </w:tcPr>
          <w:p w14:paraId="00AC45B2" w14:textId="77777777" w:rsidR="00C51F8F" w:rsidRPr="005056E3" w:rsidRDefault="00C51F8F" w:rsidP="00DF510F">
            <w:pPr>
              <w:keepNext/>
              <w:keepLines/>
              <w:widowControl/>
              <w:tabs>
                <w:tab w:val="decimal" w:pos="397"/>
              </w:tabs>
              <w:rPr>
                <w:rFonts w:cs="Arial"/>
                <w:sz w:val="18"/>
                <w:szCs w:val="18"/>
                <w:lang w:eastAsia="en-GB" w:bidi="ar-SA"/>
              </w:rPr>
            </w:pPr>
            <w:r w:rsidRPr="005056E3">
              <w:rPr>
                <w:rFonts w:cs="Arial"/>
                <w:sz w:val="18"/>
                <w:szCs w:val="18"/>
              </w:rPr>
              <w:t>4</w:t>
            </w:r>
          </w:p>
        </w:tc>
        <w:tc>
          <w:tcPr>
            <w:tcW w:w="809" w:type="dxa"/>
            <w:shd w:val="clear" w:color="auto" w:fill="auto"/>
            <w:vAlign w:val="center"/>
          </w:tcPr>
          <w:p w14:paraId="6BFA612D" w14:textId="77777777" w:rsidR="00C51F8F" w:rsidRPr="005056E3" w:rsidRDefault="00C51F8F" w:rsidP="00DF510F">
            <w:pPr>
              <w:keepNext/>
              <w:keepLines/>
              <w:widowControl/>
              <w:tabs>
                <w:tab w:val="decimal" w:pos="397"/>
              </w:tabs>
              <w:rPr>
                <w:rFonts w:cs="Arial"/>
                <w:sz w:val="18"/>
                <w:szCs w:val="18"/>
                <w:lang w:eastAsia="en-GB" w:bidi="ar-SA"/>
              </w:rPr>
            </w:pPr>
            <w:r w:rsidRPr="005056E3">
              <w:rPr>
                <w:rFonts w:cs="Arial"/>
                <w:sz w:val="18"/>
                <w:szCs w:val="18"/>
              </w:rPr>
              <w:t>&lt;1</w:t>
            </w:r>
          </w:p>
        </w:tc>
        <w:tc>
          <w:tcPr>
            <w:tcW w:w="765" w:type="dxa"/>
            <w:vAlign w:val="center"/>
          </w:tcPr>
          <w:p w14:paraId="7F6EFF4B" w14:textId="77777777" w:rsidR="00C51F8F" w:rsidRPr="00A20B5B" w:rsidRDefault="00C51F8F" w:rsidP="00DF510F">
            <w:pPr>
              <w:keepNext/>
              <w:keepLines/>
              <w:widowControl/>
              <w:tabs>
                <w:tab w:val="decimal" w:pos="397"/>
              </w:tabs>
              <w:rPr>
                <w:rFonts w:cs="Arial"/>
                <w:sz w:val="18"/>
                <w:szCs w:val="18"/>
              </w:rPr>
            </w:pPr>
            <w:r w:rsidRPr="005056E3">
              <w:rPr>
                <w:rFonts w:cs="Arial"/>
                <w:sz w:val="18"/>
                <w:szCs w:val="18"/>
              </w:rPr>
              <w:t>&lt;1</w:t>
            </w:r>
          </w:p>
        </w:tc>
        <w:tc>
          <w:tcPr>
            <w:tcW w:w="826" w:type="dxa"/>
            <w:shd w:val="clear" w:color="auto" w:fill="auto"/>
            <w:vAlign w:val="center"/>
          </w:tcPr>
          <w:p w14:paraId="6044E70A" w14:textId="77777777" w:rsidR="00C51F8F" w:rsidRPr="005056E3" w:rsidRDefault="00C51F8F" w:rsidP="00DF510F">
            <w:pPr>
              <w:keepNext/>
              <w:keepLines/>
              <w:widowControl/>
              <w:tabs>
                <w:tab w:val="decimal" w:pos="397"/>
              </w:tabs>
              <w:rPr>
                <w:rFonts w:cs="Arial"/>
                <w:sz w:val="18"/>
                <w:szCs w:val="18"/>
                <w:lang w:eastAsia="en-GB" w:bidi="ar-SA"/>
              </w:rPr>
            </w:pPr>
            <w:r w:rsidRPr="005056E3">
              <w:rPr>
                <w:rFonts w:cs="Arial"/>
                <w:sz w:val="18"/>
                <w:szCs w:val="18"/>
              </w:rPr>
              <w:t>4</w:t>
            </w:r>
          </w:p>
        </w:tc>
        <w:tc>
          <w:tcPr>
            <w:tcW w:w="846" w:type="dxa"/>
            <w:shd w:val="clear" w:color="auto" w:fill="auto"/>
            <w:vAlign w:val="center"/>
          </w:tcPr>
          <w:p w14:paraId="4E606225" w14:textId="77777777" w:rsidR="00C51F8F" w:rsidRPr="005056E3" w:rsidRDefault="00C51F8F" w:rsidP="00DF510F">
            <w:pPr>
              <w:keepNext/>
              <w:keepLines/>
              <w:widowControl/>
              <w:tabs>
                <w:tab w:val="decimal" w:pos="397"/>
              </w:tabs>
              <w:rPr>
                <w:rFonts w:cs="Arial"/>
                <w:color w:val="000000"/>
                <w:sz w:val="18"/>
                <w:szCs w:val="18"/>
                <w:lang w:eastAsia="en-GB" w:bidi="ar-SA"/>
              </w:rPr>
            </w:pPr>
            <w:r w:rsidRPr="005056E3">
              <w:rPr>
                <w:rFonts w:cs="Arial"/>
                <w:sz w:val="18"/>
                <w:szCs w:val="18"/>
              </w:rPr>
              <w:t>&lt;1</w:t>
            </w:r>
          </w:p>
        </w:tc>
        <w:tc>
          <w:tcPr>
            <w:tcW w:w="846" w:type="dxa"/>
            <w:vAlign w:val="center"/>
          </w:tcPr>
          <w:p w14:paraId="62A1F46A" w14:textId="77777777" w:rsidR="00C51F8F" w:rsidRPr="00A20B5B" w:rsidRDefault="00C51F8F" w:rsidP="00DF510F">
            <w:pPr>
              <w:keepNext/>
              <w:keepLines/>
              <w:widowControl/>
              <w:tabs>
                <w:tab w:val="decimal" w:pos="397"/>
              </w:tabs>
              <w:rPr>
                <w:rFonts w:cs="Arial"/>
                <w:sz w:val="18"/>
                <w:szCs w:val="18"/>
              </w:rPr>
            </w:pPr>
            <w:r w:rsidRPr="005056E3">
              <w:rPr>
                <w:rFonts w:cs="Arial"/>
                <w:sz w:val="18"/>
                <w:szCs w:val="18"/>
              </w:rPr>
              <w:t>&lt;1</w:t>
            </w:r>
          </w:p>
        </w:tc>
        <w:tc>
          <w:tcPr>
            <w:tcW w:w="672" w:type="dxa"/>
            <w:shd w:val="clear" w:color="auto" w:fill="D9D9D9" w:themeFill="background1" w:themeFillShade="D9"/>
            <w:vAlign w:val="center"/>
          </w:tcPr>
          <w:p w14:paraId="7A2A7194" w14:textId="77777777" w:rsidR="00C51F8F" w:rsidRPr="005056E3" w:rsidRDefault="00C51F8F" w:rsidP="00DF510F">
            <w:pPr>
              <w:keepNext/>
              <w:keepLines/>
              <w:widowControl/>
              <w:tabs>
                <w:tab w:val="decimal" w:pos="397"/>
              </w:tabs>
              <w:rPr>
                <w:rFonts w:cs="Arial"/>
                <w:color w:val="000000"/>
                <w:sz w:val="18"/>
                <w:szCs w:val="18"/>
                <w:lang w:eastAsia="en-GB" w:bidi="ar-SA"/>
              </w:rPr>
            </w:pPr>
            <w:r w:rsidRPr="005056E3">
              <w:rPr>
                <w:rFonts w:cs="Arial"/>
                <w:sz w:val="18"/>
                <w:szCs w:val="18"/>
              </w:rPr>
              <w:t>7</w:t>
            </w:r>
          </w:p>
        </w:tc>
      </w:tr>
      <w:tr w:rsidR="00221A11" w:rsidRPr="00B83846" w14:paraId="3E410D28" w14:textId="77777777" w:rsidTr="00221A11">
        <w:trPr>
          <w:cantSplit/>
        </w:trPr>
        <w:tc>
          <w:tcPr>
            <w:tcW w:w="1270" w:type="dxa"/>
            <w:tcBorders>
              <w:bottom w:val="single" w:sz="4" w:space="0" w:color="auto"/>
            </w:tcBorders>
            <w:shd w:val="clear" w:color="auto" w:fill="D9D9D9" w:themeFill="background1" w:themeFillShade="D9"/>
            <w:vAlign w:val="center"/>
            <w:hideMark/>
          </w:tcPr>
          <w:p w14:paraId="0F498A64" w14:textId="77777777" w:rsidR="00C51F8F" w:rsidRPr="00B83846" w:rsidRDefault="00C51F8F"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14.1.3</w:t>
            </w:r>
          </w:p>
        </w:tc>
        <w:tc>
          <w:tcPr>
            <w:tcW w:w="756" w:type="dxa"/>
            <w:tcBorders>
              <w:bottom w:val="single" w:sz="4" w:space="0" w:color="auto"/>
              <w:right w:val="nil"/>
            </w:tcBorders>
            <w:shd w:val="clear" w:color="auto" w:fill="D9D9D9" w:themeFill="background1" w:themeFillShade="D9"/>
            <w:vAlign w:val="center"/>
          </w:tcPr>
          <w:p w14:paraId="134EE7FC" w14:textId="77777777" w:rsidR="00C51F8F" w:rsidRPr="00B83846" w:rsidRDefault="00C51F8F" w:rsidP="00DF510F">
            <w:pPr>
              <w:keepNext/>
              <w:keepLines/>
              <w:widowControl/>
              <w:rPr>
                <w:rFonts w:cs="Arial"/>
                <w:color w:val="000000"/>
                <w:sz w:val="18"/>
                <w:szCs w:val="18"/>
                <w:lang w:eastAsia="en-GB" w:bidi="ar-SA"/>
              </w:rPr>
            </w:pPr>
          </w:p>
        </w:tc>
        <w:tc>
          <w:tcPr>
            <w:tcW w:w="2328" w:type="dxa"/>
            <w:gridSpan w:val="3"/>
            <w:tcBorders>
              <w:left w:val="nil"/>
              <w:bottom w:val="single" w:sz="4" w:space="0" w:color="auto"/>
            </w:tcBorders>
            <w:shd w:val="clear" w:color="auto" w:fill="D9D9D9" w:themeFill="background1" w:themeFillShade="D9"/>
            <w:vAlign w:val="center"/>
            <w:hideMark/>
          </w:tcPr>
          <w:p w14:paraId="5526773A" w14:textId="77777777" w:rsidR="00C51F8F" w:rsidRPr="00B83846" w:rsidRDefault="00C51F8F" w:rsidP="00DF510F">
            <w:pPr>
              <w:keepNext/>
              <w:keepLines/>
              <w:widowControl/>
              <w:rPr>
                <w:rFonts w:cs="Arial"/>
                <w:color w:val="000000"/>
                <w:sz w:val="18"/>
                <w:szCs w:val="18"/>
                <w:lang w:eastAsia="en-GB" w:bidi="ar-SA"/>
              </w:rPr>
            </w:pPr>
            <w:r w:rsidRPr="00B83846">
              <w:rPr>
                <w:rFonts w:cs="Arial"/>
                <w:color w:val="000000"/>
                <w:sz w:val="18"/>
                <w:szCs w:val="18"/>
              </w:rPr>
              <w:t>Soft drinks (intensely sweetened soft drinks)</w:t>
            </w:r>
          </w:p>
        </w:tc>
        <w:tc>
          <w:tcPr>
            <w:tcW w:w="807" w:type="dxa"/>
            <w:shd w:val="clear" w:color="auto" w:fill="auto"/>
            <w:vAlign w:val="center"/>
          </w:tcPr>
          <w:p w14:paraId="3FB8CD41" w14:textId="77777777" w:rsidR="00C51F8F" w:rsidRPr="005056E3" w:rsidRDefault="00C51F8F" w:rsidP="00DF510F">
            <w:pPr>
              <w:keepNext/>
              <w:keepLines/>
              <w:widowControl/>
              <w:tabs>
                <w:tab w:val="decimal" w:pos="397"/>
              </w:tabs>
              <w:rPr>
                <w:rFonts w:cs="Arial"/>
                <w:color w:val="000000"/>
                <w:sz w:val="18"/>
                <w:szCs w:val="18"/>
                <w:lang w:eastAsia="en-GB" w:bidi="ar-SA"/>
              </w:rPr>
            </w:pPr>
            <w:r w:rsidRPr="005056E3">
              <w:rPr>
                <w:rFonts w:cs="Arial"/>
                <w:color w:val="000000"/>
                <w:sz w:val="18"/>
                <w:szCs w:val="18"/>
              </w:rPr>
              <w:t>0</w:t>
            </w:r>
          </w:p>
        </w:tc>
        <w:tc>
          <w:tcPr>
            <w:tcW w:w="807" w:type="dxa"/>
            <w:vAlign w:val="center"/>
          </w:tcPr>
          <w:p w14:paraId="2FA700A5" w14:textId="77777777" w:rsidR="00C51F8F" w:rsidRPr="00A20B5B" w:rsidRDefault="00C51F8F" w:rsidP="00DF510F">
            <w:pPr>
              <w:keepNext/>
              <w:keepLines/>
              <w:widowControl/>
              <w:tabs>
                <w:tab w:val="decimal" w:pos="397"/>
              </w:tabs>
              <w:rPr>
                <w:rFonts w:cs="Arial"/>
                <w:color w:val="000000"/>
                <w:sz w:val="18"/>
                <w:szCs w:val="18"/>
              </w:rPr>
            </w:pPr>
            <w:r w:rsidRPr="005056E3">
              <w:rPr>
                <w:rFonts w:cs="Arial"/>
                <w:color w:val="000000"/>
                <w:sz w:val="18"/>
                <w:szCs w:val="18"/>
              </w:rPr>
              <w:t>0</w:t>
            </w:r>
          </w:p>
        </w:tc>
        <w:tc>
          <w:tcPr>
            <w:tcW w:w="809" w:type="dxa"/>
            <w:shd w:val="clear" w:color="auto" w:fill="D9D9D9" w:themeFill="background1" w:themeFillShade="D9"/>
            <w:vAlign w:val="center"/>
          </w:tcPr>
          <w:p w14:paraId="34D07F1A" w14:textId="77777777" w:rsidR="00C51F8F" w:rsidRPr="005056E3" w:rsidRDefault="00C51F8F" w:rsidP="00DF510F">
            <w:pPr>
              <w:keepNext/>
              <w:keepLines/>
              <w:widowControl/>
              <w:tabs>
                <w:tab w:val="decimal" w:pos="397"/>
              </w:tabs>
              <w:rPr>
                <w:rFonts w:cs="Arial"/>
                <w:color w:val="000000"/>
                <w:sz w:val="18"/>
                <w:szCs w:val="18"/>
                <w:lang w:eastAsia="en-GB" w:bidi="ar-SA"/>
              </w:rPr>
            </w:pPr>
            <w:r w:rsidRPr="005056E3">
              <w:rPr>
                <w:rFonts w:cs="Arial"/>
                <w:color w:val="000000"/>
                <w:sz w:val="18"/>
                <w:szCs w:val="18"/>
              </w:rPr>
              <w:t>8</w:t>
            </w:r>
          </w:p>
        </w:tc>
        <w:tc>
          <w:tcPr>
            <w:tcW w:w="812" w:type="dxa"/>
            <w:shd w:val="clear" w:color="auto" w:fill="auto"/>
            <w:vAlign w:val="center"/>
          </w:tcPr>
          <w:p w14:paraId="3DA8D506" w14:textId="77777777" w:rsidR="00C51F8F" w:rsidRPr="005056E3" w:rsidRDefault="00C51F8F" w:rsidP="00DF510F">
            <w:pPr>
              <w:keepNext/>
              <w:keepLines/>
              <w:widowControl/>
              <w:tabs>
                <w:tab w:val="decimal" w:pos="397"/>
              </w:tabs>
              <w:rPr>
                <w:rFonts w:cs="Arial"/>
                <w:sz w:val="18"/>
                <w:szCs w:val="18"/>
                <w:lang w:eastAsia="en-GB" w:bidi="ar-SA"/>
              </w:rPr>
            </w:pPr>
            <w:r w:rsidRPr="005056E3">
              <w:rPr>
                <w:rFonts w:cs="Arial"/>
                <w:sz w:val="18"/>
                <w:szCs w:val="18"/>
              </w:rPr>
              <w:t>0</w:t>
            </w:r>
          </w:p>
        </w:tc>
        <w:tc>
          <w:tcPr>
            <w:tcW w:w="809" w:type="dxa"/>
            <w:vAlign w:val="center"/>
          </w:tcPr>
          <w:p w14:paraId="11011316" w14:textId="77777777" w:rsidR="00C51F8F" w:rsidRPr="00A20B5B" w:rsidRDefault="00C51F8F" w:rsidP="00DF510F">
            <w:pPr>
              <w:keepNext/>
              <w:keepLines/>
              <w:widowControl/>
              <w:tabs>
                <w:tab w:val="decimal" w:pos="397"/>
              </w:tabs>
              <w:rPr>
                <w:rFonts w:cs="Arial"/>
                <w:sz w:val="18"/>
                <w:szCs w:val="18"/>
              </w:rPr>
            </w:pPr>
            <w:r w:rsidRPr="005056E3">
              <w:rPr>
                <w:rFonts w:cs="Arial"/>
                <w:sz w:val="18"/>
                <w:szCs w:val="18"/>
              </w:rPr>
              <w:t>0</w:t>
            </w:r>
          </w:p>
        </w:tc>
        <w:tc>
          <w:tcPr>
            <w:tcW w:w="840" w:type="dxa"/>
            <w:tcBorders>
              <w:bottom w:val="single" w:sz="4" w:space="0" w:color="auto"/>
            </w:tcBorders>
            <w:shd w:val="clear" w:color="auto" w:fill="D9D9D9" w:themeFill="background1" w:themeFillShade="D9"/>
            <w:vAlign w:val="center"/>
          </w:tcPr>
          <w:p w14:paraId="7145E68A" w14:textId="77777777" w:rsidR="00C51F8F" w:rsidRPr="005056E3" w:rsidRDefault="00C51F8F" w:rsidP="00DF510F">
            <w:pPr>
              <w:keepNext/>
              <w:keepLines/>
              <w:widowControl/>
              <w:tabs>
                <w:tab w:val="decimal" w:pos="397"/>
              </w:tabs>
              <w:rPr>
                <w:rFonts w:cs="Arial"/>
                <w:sz w:val="18"/>
                <w:szCs w:val="18"/>
                <w:lang w:eastAsia="en-GB" w:bidi="ar-SA"/>
              </w:rPr>
            </w:pPr>
            <w:r w:rsidRPr="005056E3">
              <w:rPr>
                <w:rFonts w:cs="Arial"/>
                <w:sz w:val="18"/>
                <w:szCs w:val="18"/>
              </w:rPr>
              <w:t>11</w:t>
            </w:r>
          </w:p>
        </w:tc>
        <w:tc>
          <w:tcPr>
            <w:tcW w:w="809" w:type="dxa"/>
            <w:shd w:val="clear" w:color="auto" w:fill="auto"/>
            <w:vAlign w:val="center"/>
          </w:tcPr>
          <w:p w14:paraId="21AA3B23" w14:textId="77777777" w:rsidR="00C51F8F" w:rsidRPr="005056E3" w:rsidRDefault="00C51F8F" w:rsidP="00DF510F">
            <w:pPr>
              <w:keepNext/>
              <w:keepLines/>
              <w:widowControl/>
              <w:tabs>
                <w:tab w:val="decimal" w:pos="397"/>
              </w:tabs>
              <w:rPr>
                <w:rFonts w:cs="Arial"/>
                <w:sz w:val="18"/>
                <w:szCs w:val="18"/>
                <w:lang w:eastAsia="en-GB" w:bidi="ar-SA"/>
              </w:rPr>
            </w:pPr>
            <w:r w:rsidRPr="005056E3">
              <w:rPr>
                <w:rFonts w:cs="Arial"/>
                <w:sz w:val="18"/>
                <w:szCs w:val="18"/>
              </w:rPr>
              <w:t>0</w:t>
            </w:r>
          </w:p>
        </w:tc>
        <w:tc>
          <w:tcPr>
            <w:tcW w:w="765" w:type="dxa"/>
            <w:vAlign w:val="center"/>
          </w:tcPr>
          <w:p w14:paraId="1AAB8310" w14:textId="77777777" w:rsidR="00C51F8F" w:rsidRPr="00A20B5B" w:rsidRDefault="00C51F8F" w:rsidP="00DF510F">
            <w:pPr>
              <w:keepNext/>
              <w:keepLines/>
              <w:widowControl/>
              <w:tabs>
                <w:tab w:val="decimal" w:pos="397"/>
              </w:tabs>
              <w:rPr>
                <w:rFonts w:cs="Arial"/>
                <w:sz w:val="18"/>
                <w:szCs w:val="18"/>
              </w:rPr>
            </w:pPr>
            <w:r w:rsidRPr="005056E3">
              <w:rPr>
                <w:rFonts w:cs="Arial"/>
                <w:sz w:val="18"/>
                <w:szCs w:val="18"/>
              </w:rPr>
              <w:t>0</w:t>
            </w:r>
          </w:p>
        </w:tc>
        <w:tc>
          <w:tcPr>
            <w:tcW w:w="826" w:type="dxa"/>
            <w:tcBorders>
              <w:bottom w:val="single" w:sz="4" w:space="0" w:color="auto"/>
            </w:tcBorders>
            <w:shd w:val="clear" w:color="auto" w:fill="D9D9D9" w:themeFill="background1" w:themeFillShade="D9"/>
            <w:vAlign w:val="center"/>
          </w:tcPr>
          <w:p w14:paraId="40CFAC05" w14:textId="77777777" w:rsidR="00C51F8F" w:rsidRPr="005056E3" w:rsidRDefault="00C51F8F" w:rsidP="00DF510F">
            <w:pPr>
              <w:keepNext/>
              <w:keepLines/>
              <w:widowControl/>
              <w:tabs>
                <w:tab w:val="decimal" w:pos="397"/>
              </w:tabs>
              <w:rPr>
                <w:rFonts w:cs="Arial"/>
                <w:sz w:val="18"/>
                <w:szCs w:val="18"/>
                <w:lang w:eastAsia="en-GB" w:bidi="ar-SA"/>
              </w:rPr>
            </w:pPr>
            <w:r w:rsidRPr="005056E3">
              <w:rPr>
                <w:rFonts w:cs="Arial"/>
                <w:sz w:val="18"/>
                <w:szCs w:val="18"/>
              </w:rPr>
              <w:t>10</w:t>
            </w:r>
          </w:p>
        </w:tc>
        <w:tc>
          <w:tcPr>
            <w:tcW w:w="846" w:type="dxa"/>
            <w:shd w:val="clear" w:color="auto" w:fill="auto"/>
            <w:vAlign w:val="center"/>
          </w:tcPr>
          <w:p w14:paraId="7A06FFEC" w14:textId="77777777" w:rsidR="00C51F8F" w:rsidRPr="005056E3" w:rsidRDefault="00C51F8F" w:rsidP="00DF510F">
            <w:pPr>
              <w:keepNext/>
              <w:keepLines/>
              <w:widowControl/>
              <w:tabs>
                <w:tab w:val="decimal" w:pos="397"/>
              </w:tabs>
              <w:rPr>
                <w:rFonts w:cs="Arial"/>
                <w:color w:val="000000"/>
                <w:sz w:val="18"/>
                <w:szCs w:val="18"/>
                <w:lang w:eastAsia="en-GB" w:bidi="ar-SA"/>
              </w:rPr>
            </w:pPr>
            <w:r w:rsidRPr="005056E3">
              <w:rPr>
                <w:rFonts w:cs="Arial"/>
                <w:sz w:val="18"/>
                <w:szCs w:val="18"/>
              </w:rPr>
              <w:t>0</w:t>
            </w:r>
          </w:p>
        </w:tc>
        <w:tc>
          <w:tcPr>
            <w:tcW w:w="846" w:type="dxa"/>
            <w:vAlign w:val="center"/>
          </w:tcPr>
          <w:p w14:paraId="79950534" w14:textId="77777777" w:rsidR="00C51F8F" w:rsidRPr="00A20B5B" w:rsidRDefault="00C51F8F" w:rsidP="00DF510F">
            <w:pPr>
              <w:keepNext/>
              <w:keepLines/>
              <w:widowControl/>
              <w:tabs>
                <w:tab w:val="decimal" w:pos="397"/>
              </w:tabs>
              <w:rPr>
                <w:rFonts w:cs="Arial"/>
                <w:sz w:val="18"/>
                <w:szCs w:val="18"/>
              </w:rPr>
            </w:pPr>
            <w:r w:rsidRPr="005056E3">
              <w:rPr>
                <w:rFonts w:cs="Arial"/>
                <w:sz w:val="18"/>
                <w:szCs w:val="18"/>
              </w:rPr>
              <w:t>0</w:t>
            </w:r>
          </w:p>
        </w:tc>
        <w:tc>
          <w:tcPr>
            <w:tcW w:w="672" w:type="dxa"/>
            <w:shd w:val="clear" w:color="auto" w:fill="D9D9D9" w:themeFill="background1" w:themeFillShade="D9"/>
            <w:vAlign w:val="center"/>
          </w:tcPr>
          <w:p w14:paraId="64F5A17C" w14:textId="498F87E3" w:rsidR="00C51F8F" w:rsidRPr="005056E3" w:rsidRDefault="00C51F8F" w:rsidP="00DF510F">
            <w:pPr>
              <w:keepNext/>
              <w:keepLines/>
              <w:widowControl/>
              <w:tabs>
                <w:tab w:val="decimal" w:pos="397"/>
              </w:tabs>
              <w:rPr>
                <w:rFonts w:cs="Arial"/>
                <w:color w:val="000000"/>
                <w:sz w:val="18"/>
                <w:szCs w:val="18"/>
                <w:lang w:eastAsia="en-GB" w:bidi="ar-SA"/>
              </w:rPr>
            </w:pPr>
            <w:r w:rsidRPr="005056E3">
              <w:rPr>
                <w:rFonts w:cs="Arial"/>
                <w:sz w:val="18"/>
                <w:szCs w:val="18"/>
              </w:rPr>
              <w:t>28</w:t>
            </w:r>
          </w:p>
        </w:tc>
      </w:tr>
      <w:tr w:rsidR="00A406E7" w:rsidRPr="00B83846" w14:paraId="64611635" w14:textId="77777777" w:rsidTr="00221A11">
        <w:trPr>
          <w:cantSplit/>
        </w:trPr>
        <w:tc>
          <w:tcPr>
            <w:tcW w:w="1270" w:type="dxa"/>
            <w:shd w:val="clear" w:color="auto" w:fill="D9D9D9" w:themeFill="background1" w:themeFillShade="D9"/>
            <w:vAlign w:val="center"/>
            <w:hideMark/>
          </w:tcPr>
          <w:p w14:paraId="0240597F"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14.1.7</w:t>
            </w:r>
          </w:p>
        </w:tc>
        <w:tc>
          <w:tcPr>
            <w:tcW w:w="756" w:type="dxa"/>
            <w:tcBorders>
              <w:right w:val="nil"/>
            </w:tcBorders>
            <w:shd w:val="clear" w:color="auto" w:fill="D9D9D9" w:themeFill="background1" w:themeFillShade="D9"/>
            <w:vAlign w:val="center"/>
          </w:tcPr>
          <w:p w14:paraId="79B61687" w14:textId="77777777" w:rsidR="00C51F8F" w:rsidRPr="00B83846" w:rsidRDefault="00C51F8F" w:rsidP="00DF510F">
            <w:pPr>
              <w:widowControl/>
              <w:rPr>
                <w:rFonts w:cs="Arial"/>
                <w:color w:val="000000"/>
                <w:sz w:val="18"/>
                <w:szCs w:val="18"/>
                <w:lang w:eastAsia="en-GB" w:bidi="ar-SA"/>
              </w:rPr>
            </w:pPr>
          </w:p>
        </w:tc>
        <w:tc>
          <w:tcPr>
            <w:tcW w:w="2328" w:type="dxa"/>
            <w:gridSpan w:val="3"/>
            <w:tcBorders>
              <w:left w:val="nil"/>
            </w:tcBorders>
            <w:shd w:val="clear" w:color="auto" w:fill="D9D9D9" w:themeFill="background1" w:themeFillShade="D9"/>
            <w:vAlign w:val="center"/>
            <w:hideMark/>
          </w:tcPr>
          <w:p w14:paraId="598B3E7E" w14:textId="77777777" w:rsidR="00C51F8F" w:rsidRPr="00B83846" w:rsidRDefault="00C51F8F" w:rsidP="00DF510F">
            <w:pPr>
              <w:widowControl/>
              <w:rPr>
                <w:rFonts w:cs="Arial"/>
                <w:color w:val="000000"/>
                <w:sz w:val="18"/>
                <w:szCs w:val="18"/>
                <w:lang w:eastAsia="en-GB" w:bidi="ar-SA"/>
              </w:rPr>
            </w:pPr>
            <w:r w:rsidRPr="00B83846">
              <w:rPr>
                <w:rFonts w:cs="Arial"/>
                <w:color w:val="000000"/>
                <w:sz w:val="18"/>
                <w:szCs w:val="18"/>
                <w:lang w:eastAsia="en-GB" w:bidi="ar-SA"/>
              </w:rPr>
              <w:t>Soy beverage</w:t>
            </w:r>
          </w:p>
        </w:tc>
        <w:tc>
          <w:tcPr>
            <w:tcW w:w="807" w:type="dxa"/>
            <w:shd w:val="clear" w:color="auto" w:fill="auto"/>
            <w:vAlign w:val="center"/>
          </w:tcPr>
          <w:p w14:paraId="4DE94582"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807" w:type="dxa"/>
            <w:vAlign w:val="center"/>
          </w:tcPr>
          <w:p w14:paraId="091C6EFC" w14:textId="77777777" w:rsidR="00C51F8F" w:rsidRPr="00B83846" w:rsidRDefault="00C51F8F" w:rsidP="00DF510F">
            <w:pPr>
              <w:widowControl/>
              <w:tabs>
                <w:tab w:val="decimal" w:pos="397"/>
              </w:tabs>
              <w:rPr>
                <w:rFonts w:cs="Arial"/>
                <w:color w:val="000000"/>
                <w:sz w:val="18"/>
                <w:szCs w:val="18"/>
              </w:rPr>
            </w:pPr>
            <w:r w:rsidRPr="005056E3">
              <w:rPr>
                <w:rFonts w:cs="Arial"/>
                <w:color w:val="000000"/>
                <w:sz w:val="18"/>
                <w:szCs w:val="18"/>
              </w:rPr>
              <w:t>&lt;1</w:t>
            </w:r>
          </w:p>
        </w:tc>
        <w:tc>
          <w:tcPr>
            <w:tcW w:w="809" w:type="dxa"/>
            <w:shd w:val="clear" w:color="auto" w:fill="auto"/>
            <w:vAlign w:val="center"/>
          </w:tcPr>
          <w:p w14:paraId="22DA7C76"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812" w:type="dxa"/>
            <w:shd w:val="clear" w:color="auto" w:fill="auto"/>
            <w:vAlign w:val="center"/>
          </w:tcPr>
          <w:p w14:paraId="32E57636"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809" w:type="dxa"/>
            <w:vAlign w:val="center"/>
          </w:tcPr>
          <w:p w14:paraId="27F4CA10" w14:textId="77777777" w:rsidR="00C51F8F" w:rsidRPr="00B83846" w:rsidRDefault="00C51F8F" w:rsidP="00DF510F">
            <w:pPr>
              <w:widowControl/>
              <w:tabs>
                <w:tab w:val="decimal" w:pos="397"/>
              </w:tabs>
              <w:rPr>
                <w:rFonts w:cs="Arial"/>
                <w:sz w:val="18"/>
                <w:szCs w:val="18"/>
              </w:rPr>
            </w:pPr>
            <w:r w:rsidRPr="005056E3">
              <w:rPr>
                <w:rFonts w:cs="Arial"/>
                <w:sz w:val="18"/>
                <w:szCs w:val="18"/>
              </w:rPr>
              <w:t>&lt;1</w:t>
            </w:r>
          </w:p>
        </w:tc>
        <w:tc>
          <w:tcPr>
            <w:tcW w:w="840" w:type="dxa"/>
            <w:shd w:val="clear" w:color="auto" w:fill="auto"/>
            <w:vAlign w:val="center"/>
          </w:tcPr>
          <w:p w14:paraId="74F8967C"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809" w:type="dxa"/>
            <w:shd w:val="clear" w:color="auto" w:fill="auto"/>
            <w:vAlign w:val="center"/>
          </w:tcPr>
          <w:p w14:paraId="7FB2089B"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765" w:type="dxa"/>
            <w:vAlign w:val="center"/>
          </w:tcPr>
          <w:p w14:paraId="6C01225C" w14:textId="77777777" w:rsidR="00C51F8F" w:rsidRPr="00B83846" w:rsidRDefault="00C51F8F" w:rsidP="00DF510F">
            <w:pPr>
              <w:widowControl/>
              <w:tabs>
                <w:tab w:val="decimal" w:pos="397"/>
              </w:tabs>
              <w:rPr>
                <w:rFonts w:cs="Arial"/>
                <w:sz w:val="18"/>
                <w:szCs w:val="18"/>
              </w:rPr>
            </w:pPr>
            <w:r w:rsidRPr="005056E3">
              <w:rPr>
                <w:rFonts w:cs="Arial"/>
                <w:sz w:val="18"/>
                <w:szCs w:val="18"/>
              </w:rPr>
              <w:t>&lt;1</w:t>
            </w:r>
          </w:p>
        </w:tc>
        <w:tc>
          <w:tcPr>
            <w:tcW w:w="826" w:type="dxa"/>
            <w:shd w:val="clear" w:color="auto" w:fill="auto"/>
            <w:vAlign w:val="center"/>
          </w:tcPr>
          <w:p w14:paraId="02900D99" w14:textId="77777777" w:rsidR="00C51F8F" w:rsidRPr="005056E3" w:rsidRDefault="00C51F8F" w:rsidP="00DF510F">
            <w:pPr>
              <w:widowControl/>
              <w:tabs>
                <w:tab w:val="decimal" w:pos="397"/>
              </w:tabs>
              <w:rPr>
                <w:rFonts w:cs="Arial"/>
                <w:sz w:val="18"/>
                <w:szCs w:val="18"/>
                <w:lang w:eastAsia="en-GB" w:bidi="ar-SA"/>
              </w:rPr>
            </w:pPr>
            <w:r w:rsidRPr="005056E3">
              <w:rPr>
                <w:rFonts w:cs="Arial"/>
                <w:sz w:val="18"/>
                <w:szCs w:val="18"/>
              </w:rPr>
              <w:t>&lt;1</w:t>
            </w:r>
          </w:p>
        </w:tc>
        <w:tc>
          <w:tcPr>
            <w:tcW w:w="846" w:type="dxa"/>
            <w:shd w:val="clear" w:color="auto" w:fill="auto"/>
            <w:vAlign w:val="center"/>
          </w:tcPr>
          <w:p w14:paraId="6B6668E4"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&lt;1</w:t>
            </w:r>
          </w:p>
        </w:tc>
        <w:tc>
          <w:tcPr>
            <w:tcW w:w="846" w:type="dxa"/>
            <w:vAlign w:val="center"/>
          </w:tcPr>
          <w:p w14:paraId="52D2E984" w14:textId="77777777" w:rsidR="00C51F8F" w:rsidRPr="00B83846" w:rsidRDefault="00C51F8F" w:rsidP="00DF510F">
            <w:pPr>
              <w:widowControl/>
              <w:tabs>
                <w:tab w:val="decimal" w:pos="397"/>
              </w:tabs>
              <w:rPr>
                <w:rFonts w:cs="Arial"/>
                <w:sz w:val="18"/>
                <w:szCs w:val="18"/>
              </w:rPr>
            </w:pPr>
            <w:r w:rsidRPr="005056E3">
              <w:rPr>
                <w:rFonts w:cs="Arial"/>
                <w:sz w:val="18"/>
                <w:szCs w:val="18"/>
              </w:rPr>
              <w:t>&lt;1</w:t>
            </w:r>
          </w:p>
        </w:tc>
        <w:tc>
          <w:tcPr>
            <w:tcW w:w="672" w:type="dxa"/>
            <w:shd w:val="clear" w:color="auto" w:fill="D9D9D9" w:themeFill="background1" w:themeFillShade="D9"/>
            <w:vAlign w:val="center"/>
          </w:tcPr>
          <w:p w14:paraId="00555316" w14:textId="77777777" w:rsidR="00C51F8F" w:rsidRPr="005056E3" w:rsidRDefault="00C51F8F" w:rsidP="00DF510F">
            <w:pPr>
              <w:widowControl/>
              <w:tabs>
                <w:tab w:val="decimal" w:pos="397"/>
              </w:tabs>
              <w:rPr>
                <w:rFonts w:cs="Arial"/>
                <w:color w:val="000000"/>
                <w:sz w:val="18"/>
                <w:szCs w:val="18"/>
                <w:lang w:eastAsia="en-GB" w:bidi="ar-SA"/>
              </w:rPr>
            </w:pPr>
            <w:r w:rsidRPr="005056E3">
              <w:rPr>
                <w:rFonts w:cs="Arial"/>
                <w:sz w:val="18"/>
                <w:szCs w:val="18"/>
              </w:rPr>
              <w:t>6</w:t>
            </w:r>
          </w:p>
        </w:tc>
      </w:tr>
      <w:tr w:rsidR="00A406E7" w:rsidRPr="00C74A6B" w14:paraId="71142EA8" w14:textId="77777777" w:rsidTr="00221A11">
        <w:trPr>
          <w:cantSplit/>
        </w:trPr>
        <w:tc>
          <w:tcPr>
            <w:tcW w:w="1270" w:type="dxa"/>
            <w:shd w:val="clear" w:color="auto" w:fill="D9D9D9" w:themeFill="background1" w:themeFillShade="D9"/>
            <w:vAlign w:val="center"/>
            <w:hideMark/>
          </w:tcPr>
          <w:p w14:paraId="25B22E27" w14:textId="77777777" w:rsidR="00C51F8F" w:rsidRPr="00C74A6B" w:rsidRDefault="00C51F8F" w:rsidP="00DF510F">
            <w:pPr>
              <w:keepNext/>
              <w:keepLines/>
              <w:widowControl/>
              <w:rPr>
                <w:rFonts w:cs="Arial"/>
                <w:bCs/>
                <w:color w:val="000000"/>
                <w:sz w:val="18"/>
                <w:szCs w:val="18"/>
                <w:lang w:eastAsia="en-GB" w:bidi="ar-SA"/>
              </w:rPr>
            </w:pPr>
            <w:r w:rsidRPr="00C74A6B">
              <w:rPr>
                <w:rFonts w:cs="Arial"/>
                <w:bCs/>
                <w:color w:val="000000"/>
                <w:sz w:val="18"/>
                <w:szCs w:val="18"/>
                <w:lang w:eastAsia="en-GB" w:bidi="ar-SA"/>
              </w:rPr>
              <w:t>20</w:t>
            </w:r>
          </w:p>
        </w:tc>
        <w:tc>
          <w:tcPr>
            <w:tcW w:w="3084" w:type="dxa"/>
            <w:gridSpan w:val="4"/>
            <w:tcBorders>
              <w:bottom w:val="single" w:sz="4" w:space="0" w:color="auto"/>
            </w:tcBorders>
            <w:shd w:val="clear" w:color="auto" w:fill="D9D9D9" w:themeFill="background1" w:themeFillShade="D9"/>
            <w:vAlign w:val="center"/>
          </w:tcPr>
          <w:p w14:paraId="3FA14F5B" w14:textId="77777777" w:rsidR="00C51F8F" w:rsidRPr="00C74A6B" w:rsidRDefault="00C51F8F" w:rsidP="00DF510F">
            <w:pPr>
              <w:keepNext/>
              <w:keepLines/>
              <w:widowControl/>
              <w:rPr>
                <w:rFonts w:cs="Arial"/>
                <w:bCs/>
                <w:color w:val="000000"/>
                <w:sz w:val="18"/>
                <w:szCs w:val="18"/>
                <w:lang w:eastAsia="en-GB" w:bidi="ar-SA"/>
              </w:rPr>
            </w:pPr>
            <w:r w:rsidRPr="00C74A6B">
              <w:rPr>
                <w:rFonts w:cs="Arial"/>
                <w:bCs/>
                <w:color w:val="000000"/>
                <w:sz w:val="18"/>
                <w:szCs w:val="18"/>
                <w:lang w:eastAsia="en-GB" w:bidi="ar-SA"/>
              </w:rPr>
              <w:t>All Mixed Foods Commercial</w:t>
            </w:r>
          </w:p>
        </w:tc>
        <w:tc>
          <w:tcPr>
            <w:tcW w:w="807" w:type="dxa"/>
            <w:shd w:val="clear" w:color="auto" w:fill="auto"/>
            <w:vAlign w:val="center"/>
          </w:tcPr>
          <w:p w14:paraId="2A6E30F3" w14:textId="77777777" w:rsidR="00C51F8F" w:rsidRPr="00C74A6B" w:rsidRDefault="00C51F8F" w:rsidP="00DF510F">
            <w:pPr>
              <w:keepNext/>
              <w:keepLines/>
              <w:widowControl/>
              <w:tabs>
                <w:tab w:val="decimal" w:pos="397"/>
              </w:tabs>
              <w:rPr>
                <w:rFonts w:cs="Arial"/>
                <w:bCs/>
                <w:color w:val="000000"/>
                <w:sz w:val="18"/>
                <w:szCs w:val="18"/>
                <w:lang w:eastAsia="en-GB" w:bidi="ar-SA"/>
              </w:rPr>
            </w:pPr>
          </w:p>
        </w:tc>
        <w:tc>
          <w:tcPr>
            <w:tcW w:w="807" w:type="dxa"/>
          </w:tcPr>
          <w:p w14:paraId="60589A6A" w14:textId="77777777" w:rsidR="00C51F8F" w:rsidRPr="00C74A6B" w:rsidRDefault="00C51F8F" w:rsidP="00DF510F">
            <w:pPr>
              <w:keepNext/>
              <w:keepLines/>
              <w:widowControl/>
              <w:tabs>
                <w:tab w:val="decimal" w:pos="397"/>
              </w:tabs>
              <w:rPr>
                <w:rFonts w:cs="Arial"/>
                <w:bCs/>
                <w:color w:val="000000"/>
                <w:sz w:val="18"/>
                <w:szCs w:val="22"/>
              </w:rPr>
            </w:pPr>
          </w:p>
        </w:tc>
        <w:tc>
          <w:tcPr>
            <w:tcW w:w="809" w:type="dxa"/>
            <w:shd w:val="clear" w:color="auto" w:fill="D9D9D9" w:themeFill="background1" w:themeFillShade="D9"/>
            <w:vAlign w:val="center"/>
          </w:tcPr>
          <w:p w14:paraId="4228C0EE" w14:textId="77777777" w:rsidR="00C51F8F" w:rsidRPr="00C74A6B" w:rsidRDefault="00C51F8F" w:rsidP="00DF510F">
            <w:pPr>
              <w:keepNext/>
              <w:keepLines/>
              <w:widowControl/>
              <w:tabs>
                <w:tab w:val="decimal" w:pos="397"/>
              </w:tabs>
              <w:rPr>
                <w:rFonts w:cs="Arial"/>
                <w:bCs/>
                <w:color w:val="000000"/>
                <w:sz w:val="18"/>
                <w:szCs w:val="18"/>
                <w:lang w:eastAsia="en-GB" w:bidi="ar-SA"/>
              </w:rPr>
            </w:pPr>
            <w:r w:rsidRPr="00C74A6B">
              <w:rPr>
                <w:rFonts w:cs="Arial"/>
                <w:bCs/>
                <w:color w:val="000000"/>
                <w:sz w:val="18"/>
                <w:szCs w:val="22"/>
              </w:rPr>
              <w:t>18</w:t>
            </w:r>
          </w:p>
        </w:tc>
        <w:tc>
          <w:tcPr>
            <w:tcW w:w="812" w:type="dxa"/>
            <w:shd w:val="clear" w:color="auto" w:fill="auto"/>
            <w:vAlign w:val="center"/>
          </w:tcPr>
          <w:p w14:paraId="307E3DEF" w14:textId="77777777" w:rsidR="00C51F8F" w:rsidRPr="00C74A6B" w:rsidRDefault="00C51F8F" w:rsidP="00DF510F">
            <w:pPr>
              <w:keepNext/>
              <w:keepLines/>
              <w:widowControl/>
              <w:tabs>
                <w:tab w:val="decimal" w:pos="397"/>
              </w:tabs>
              <w:rPr>
                <w:rFonts w:cs="Arial"/>
                <w:bCs/>
                <w:color w:val="000000"/>
                <w:sz w:val="18"/>
                <w:szCs w:val="18"/>
                <w:lang w:eastAsia="en-GB" w:bidi="ar-SA"/>
              </w:rPr>
            </w:pPr>
          </w:p>
        </w:tc>
        <w:tc>
          <w:tcPr>
            <w:tcW w:w="809" w:type="dxa"/>
          </w:tcPr>
          <w:p w14:paraId="761ABAA2" w14:textId="77777777" w:rsidR="00C51F8F" w:rsidRPr="00C74A6B" w:rsidRDefault="00C51F8F" w:rsidP="00DF510F">
            <w:pPr>
              <w:keepNext/>
              <w:keepLines/>
              <w:widowControl/>
              <w:tabs>
                <w:tab w:val="decimal" w:pos="397"/>
              </w:tabs>
              <w:rPr>
                <w:rFonts w:cs="Arial"/>
                <w:bCs/>
                <w:color w:val="000000"/>
                <w:sz w:val="18"/>
                <w:szCs w:val="22"/>
              </w:rPr>
            </w:pPr>
          </w:p>
        </w:tc>
        <w:tc>
          <w:tcPr>
            <w:tcW w:w="840" w:type="dxa"/>
            <w:shd w:val="clear" w:color="auto" w:fill="D9D9D9" w:themeFill="background1" w:themeFillShade="D9"/>
            <w:vAlign w:val="center"/>
          </w:tcPr>
          <w:p w14:paraId="7A76DD9F" w14:textId="77777777" w:rsidR="00C51F8F" w:rsidRPr="00C74A6B" w:rsidRDefault="00C51F8F" w:rsidP="00DF510F">
            <w:pPr>
              <w:keepNext/>
              <w:keepLines/>
              <w:widowControl/>
              <w:tabs>
                <w:tab w:val="decimal" w:pos="397"/>
              </w:tabs>
              <w:rPr>
                <w:rFonts w:cs="Arial"/>
                <w:bCs/>
                <w:color w:val="000000"/>
                <w:sz w:val="18"/>
                <w:szCs w:val="18"/>
                <w:lang w:eastAsia="en-GB" w:bidi="ar-SA"/>
              </w:rPr>
            </w:pPr>
            <w:r w:rsidRPr="00C74A6B">
              <w:rPr>
                <w:rFonts w:cs="Arial"/>
                <w:bCs/>
                <w:color w:val="000000"/>
                <w:sz w:val="18"/>
                <w:szCs w:val="22"/>
              </w:rPr>
              <w:t>18</w:t>
            </w:r>
          </w:p>
        </w:tc>
        <w:tc>
          <w:tcPr>
            <w:tcW w:w="809" w:type="dxa"/>
            <w:shd w:val="clear" w:color="auto" w:fill="auto"/>
            <w:vAlign w:val="center"/>
          </w:tcPr>
          <w:p w14:paraId="3D2117DF" w14:textId="77777777" w:rsidR="00C51F8F" w:rsidRPr="00C74A6B" w:rsidRDefault="00C51F8F" w:rsidP="00DF510F">
            <w:pPr>
              <w:keepNext/>
              <w:keepLines/>
              <w:widowControl/>
              <w:tabs>
                <w:tab w:val="decimal" w:pos="397"/>
              </w:tabs>
              <w:rPr>
                <w:rFonts w:cs="Arial"/>
                <w:bCs/>
                <w:color w:val="000000"/>
                <w:sz w:val="18"/>
                <w:szCs w:val="18"/>
                <w:lang w:eastAsia="en-GB" w:bidi="ar-SA"/>
              </w:rPr>
            </w:pPr>
          </w:p>
        </w:tc>
        <w:tc>
          <w:tcPr>
            <w:tcW w:w="765" w:type="dxa"/>
          </w:tcPr>
          <w:p w14:paraId="399D8A46" w14:textId="77777777" w:rsidR="00C51F8F" w:rsidRPr="00C74A6B" w:rsidRDefault="00C51F8F" w:rsidP="00DF510F">
            <w:pPr>
              <w:keepNext/>
              <w:keepLines/>
              <w:widowControl/>
              <w:tabs>
                <w:tab w:val="decimal" w:pos="397"/>
              </w:tabs>
              <w:rPr>
                <w:rFonts w:cs="Arial"/>
                <w:bCs/>
                <w:color w:val="000000"/>
                <w:sz w:val="18"/>
                <w:szCs w:val="22"/>
              </w:rPr>
            </w:pPr>
          </w:p>
        </w:tc>
        <w:tc>
          <w:tcPr>
            <w:tcW w:w="826" w:type="dxa"/>
            <w:shd w:val="clear" w:color="auto" w:fill="D9D9D9" w:themeFill="background1" w:themeFillShade="D9"/>
            <w:vAlign w:val="center"/>
          </w:tcPr>
          <w:p w14:paraId="6BCE651C" w14:textId="77777777" w:rsidR="00C51F8F" w:rsidRPr="00C74A6B" w:rsidRDefault="00C51F8F" w:rsidP="00DF510F">
            <w:pPr>
              <w:keepNext/>
              <w:keepLines/>
              <w:widowControl/>
              <w:tabs>
                <w:tab w:val="decimal" w:pos="397"/>
              </w:tabs>
              <w:rPr>
                <w:rFonts w:cs="Arial"/>
                <w:bCs/>
                <w:color w:val="000000"/>
                <w:sz w:val="18"/>
                <w:szCs w:val="18"/>
                <w:lang w:eastAsia="en-GB" w:bidi="ar-SA"/>
              </w:rPr>
            </w:pPr>
            <w:r w:rsidRPr="00C74A6B">
              <w:rPr>
                <w:rFonts w:cs="Arial"/>
                <w:bCs/>
                <w:color w:val="000000"/>
                <w:sz w:val="18"/>
                <w:szCs w:val="22"/>
              </w:rPr>
              <w:t>19</w:t>
            </w:r>
          </w:p>
        </w:tc>
        <w:tc>
          <w:tcPr>
            <w:tcW w:w="846" w:type="dxa"/>
            <w:shd w:val="clear" w:color="auto" w:fill="auto"/>
            <w:vAlign w:val="center"/>
          </w:tcPr>
          <w:p w14:paraId="6809E086" w14:textId="77777777" w:rsidR="00C51F8F" w:rsidRPr="00C74A6B" w:rsidRDefault="00C51F8F" w:rsidP="00DF510F">
            <w:pPr>
              <w:keepNext/>
              <w:keepLines/>
              <w:widowControl/>
              <w:tabs>
                <w:tab w:val="decimal" w:pos="397"/>
              </w:tabs>
              <w:rPr>
                <w:rFonts w:cs="Arial"/>
                <w:bCs/>
                <w:color w:val="000000"/>
                <w:sz w:val="18"/>
                <w:szCs w:val="18"/>
                <w:lang w:eastAsia="en-GB" w:bidi="ar-SA"/>
              </w:rPr>
            </w:pPr>
          </w:p>
        </w:tc>
        <w:tc>
          <w:tcPr>
            <w:tcW w:w="846" w:type="dxa"/>
          </w:tcPr>
          <w:p w14:paraId="5DF77089" w14:textId="77777777" w:rsidR="00C51F8F" w:rsidRPr="00C74A6B" w:rsidRDefault="00C51F8F" w:rsidP="00DF510F">
            <w:pPr>
              <w:keepNext/>
              <w:keepLines/>
              <w:widowControl/>
              <w:tabs>
                <w:tab w:val="decimal" w:pos="397"/>
              </w:tabs>
              <w:rPr>
                <w:rFonts w:cs="Arial"/>
                <w:bCs/>
                <w:color w:val="000000"/>
                <w:sz w:val="18"/>
                <w:szCs w:val="22"/>
              </w:rPr>
            </w:pPr>
          </w:p>
        </w:tc>
        <w:tc>
          <w:tcPr>
            <w:tcW w:w="672" w:type="dxa"/>
            <w:shd w:val="clear" w:color="auto" w:fill="D9D9D9" w:themeFill="background1" w:themeFillShade="D9"/>
            <w:vAlign w:val="center"/>
          </w:tcPr>
          <w:p w14:paraId="78A51B45" w14:textId="77777777" w:rsidR="00C51F8F" w:rsidRPr="00C74A6B" w:rsidRDefault="00C51F8F" w:rsidP="00DF510F">
            <w:pPr>
              <w:keepNext/>
              <w:keepLines/>
              <w:widowControl/>
              <w:tabs>
                <w:tab w:val="decimal" w:pos="397"/>
              </w:tabs>
              <w:rPr>
                <w:rFonts w:cs="Arial"/>
                <w:bCs/>
                <w:color w:val="000000"/>
                <w:sz w:val="18"/>
                <w:szCs w:val="18"/>
                <w:lang w:eastAsia="en-GB" w:bidi="ar-SA"/>
              </w:rPr>
            </w:pPr>
            <w:r w:rsidRPr="00C74A6B">
              <w:rPr>
                <w:rFonts w:cs="Arial"/>
                <w:bCs/>
                <w:color w:val="000000"/>
                <w:sz w:val="18"/>
                <w:szCs w:val="22"/>
              </w:rPr>
              <w:t>17</w:t>
            </w:r>
          </w:p>
        </w:tc>
      </w:tr>
      <w:tr w:rsidR="00A406E7" w:rsidRPr="00B83846" w14:paraId="18EB8774" w14:textId="77777777" w:rsidTr="00221A11">
        <w:trPr>
          <w:cantSplit/>
        </w:trPr>
        <w:tc>
          <w:tcPr>
            <w:tcW w:w="1270" w:type="dxa"/>
            <w:shd w:val="clear" w:color="auto" w:fill="auto"/>
            <w:vAlign w:val="center"/>
          </w:tcPr>
          <w:p w14:paraId="3C896658" w14:textId="77777777" w:rsidR="00A406E7" w:rsidRPr="00B83846" w:rsidRDefault="00A406E7"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20.3.1</w:t>
            </w:r>
          </w:p>
        </w:tc>
        <w:tc>
          <w:tcPr>
            <w:tcW w:w="785" w:type="dxa"/>
            <w:gridSpan w:val="2"/>
            <w:tcBorders>
              <w:right w:val="nil"/>
            </w:tcBorders>
            <w:shd w:val="clear" w:color="auto" w:fill="auto"/>
            <w:vAlign w:val="center"/>
          </w:tcPr>
          <w:p w14:paraId="7E28067F" w14:textId="77777777" w:rsidR="00A406E7" w:rsidRPr="00B83846" w:rsidRDefault="00A406E7" w:rsidP="00DF510F">
            <w:pPr>
              <w:keepNext/>
              <w:keepLines/>
              <w:widowControl/>
              <w:rPr>
                <w:rFonts w:cs="Arial"/>
                <w:color w:val="000000"/>
                <w:sz w:val="18"/>
                <w:szCs w:val="18"/>
                <w:lang w:eastAsia="en-GB" w:bidi="ar-SA"/>
              </w:rPr>
            </w:pPr>
          </w:p>
        </w:tc>
        <w:tc>
          <w:tcPr>
            <w:tcW w:w="2299" w:type="dxa"/>
            <w:gridSpan w:val="2"/>
            <w:tcBorders>
              <w:left w:val="nil"/>
            </w:tcBorders>
            <w:shd w:val="clear" w:color="auto" w:fill="auto"/>
            <w:vAlign w:val="center"/>
          </w:tcPr>
          <w:p w14:paraId="608E2FBE" w14:textId="77777777" w:rsidR="00A406E7" w:rsidRPr="00B83846" w:rsidRDefault="00A406E7"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Ready-to-eat mueslis</w:t>
            </w:r>
          </w:p>
        </w:tc>
        <w:tc>
          <w:tcPr>
            <w:tcW w:w="807" w:type="dxa"/>
            <w:shd w:val="clear" w:color="auto" w:fill="auto"/>
            <w:vAlign w:val="center"/>
          </w:tcPr>
          <w:p w14:paraId="49CA84BC" w14:textId="77777777" w:rsidR="00A406E7" w:rsidRPr="005056E3" w:rsidRDefault="00A406E7" w:rsidP="00DF510F">
            <w:pPr>
              <w:keepNext/>
              <w:keepLines/>
              <w:widowControl/>
              <w:tabs>
                <w:tab w:val="decimal" w:pos="397"/>
              </w:tabs>
              <w:rPr>
                <w:rFonts w:cs="Arial"/>
                <w:color w:val="000000"/>
                <w:sz w:val="18"/>
                <w:szCs w:val="18"/>
                <w:lang w:eastAsia="en-GB" w:bidi="ar-SA"/>
              </w:rPr>
            </w:pPr>
          </w:p>
        </w:tc>
        <w:tc>
          <w:tcPr>
            <w:tcW w:w="807" w:type="dxa"/>
          </w:tcPr>
          <w:p w14:paraId="7952EBAC" w14:textId="77777777" w:rsidR="00A406E7" w:rsidRPr="00B83846" w:rsidRDefault="00A406E7" w:rsidP="00DF510F">
            <w:pPr>
              <w:keepNext/>
              <w:keepLines/>
              <w:widowControl/>
              <w:tabs>
                <w:tab w:val="decimal" w:pos="397"/>
              </w:tabs>
              <w:rPr>
                <w:rFonts w:cs="Arial"/>
                <w:color w:val="000000"/>
                <w:sz w:val="18"/>
                <w:szCs w:val="18"/>
              </w:rPr>
            </w:pPr>
          </w:p>
        </w:tc>
        <w:tc>
          <w:tcPr>
            <w:tcW w:w="809" w:type="dxa"/>
            <w:tcBorders>
              <w:bottom w:val="single" w:sz="4" w:space="0" w:color="auto"/>
            </w:tcBorders>
            <w:shd w:val="clear" w:color="auto" w:fill="D9D9D9" w:themeFill="background1" w:themeFillShade="D9"/>
            <w:vAlign w:val="center"/>
          </w:tcPr>
          <w:p w14:paraId="7D281B58" w14:textId="77777777" w:rsidR="00A406E7" w:rsidRPr="005056E3" w:rsidRDefault="00A406E7" w:rsidP="00DF510F">
            <w:pPr>
              <w:keepNext/>
              <w:keepLines/>
              <w:widowControl/>
              <w:tabs>
                <w:tab w:val="decimal" w:pos="397"/>
              </w:tabs>
              <w:rPr>
                <w:rFonts w:cs="Arial"/>
                <w:color w:val="000000"/>
                <w:sz w:val="18"/>
                <w:szCs w:val="18"/>
                <w:lang w:eastAsia="en-GB" w:bidi="ar-SA"/>
              </w:rPr>
            </w:pPr>
            <w:r w:rsidRPr="005056E3">
              <w:rPr>
                <w:rFonts w:cs="Arial"/>
                <w:color w:val="000000"/>
                <w:sz w:val="18"/>
                <w:szCs w:val="18"/>
              </w:rPr>
              <w:t>13</w:t>
            </w:r>
          </w:p>
        </w:tc>
        <w:tc>
          <w:tcPr>
            <w:tcW w:w="812" w:type="dxa"/>
            <w:tcBorders>
              <w:bottom w:val="single" w:sz="4" w:space="0" w:color="auto"/>
            </w:tcBorders>
            <w:shd w:val="clear" w:color="auto" w:fill="auto"/>
            <w:vAlign w:val="center"/>
          </w:tcPr>
          <w:p w14:paraId="06ADF489" w14:textId="77777777" w:rsidR="00A406E7" w:rsidRPr="005056E3" w:rsidRDefault="00A406E7" w:rsidP="00DF510F">
            <w:pPr>
              <w:keepNext/>
              <w:keepLines/>
              <w:widowControl/>
              <w:tabs>
                <w:tab w:val="decimal" w:pos="397"/>
              </w:tabs>
              <w:rPr>
                <w:rFonts w:cs="Arial"/>
                <w:sz w:val="18"/>
                <w:szCs w:val="18"/>
                <w:lang w:eastAsia="en-GB" w:bidi="ar-SA"/>
              </w:rPr>
            </w:pPr>
          </w:p>
        </w:tc>
        <w:tc>
          <w:tcPr>
            <w:tcW w:w="809" w:type="dxa"/>
            <w:tcBorders>
              <w:bottom w:val="single" w:sz="4" w:space="0" w:color="auto"/>
            </w:tcBorders>
          </w:tcPr>
          <w:p w14:paraId="5A8ADF18" w14:textId="77777777" w:rsidR="00A406E7" w:rsidRPr="00B83846" w:rsidRDefault="00A406E7" w:rsidP="00DF510F">
            <w:pPr>
              <w:keepNext/>
              <w:keepLines/>
              <w:widowControl/>
              <w:tabs>
                <w:tab w:val="decimal" w:pos="397"/>
              </w:tabs>
              <w:rPr>
                <w:rFonts w:cs="Arial"/>
                <w:sz w:val="18"/>
                <w:szCs w:val="18"/>
              </w:rPr>
            </w:pPr>
          </w:p>
        </w:tc>
        <w:tc>
          <w:tcPr>
            <w:tcW w:w="840" w:type="dxa"/>
            <w:tcBorders>
              <w:bottom w:val="single" w:sz="4" w:space="0" w:color="auto"/>
            </w:tcBorders>
            <w:shd w:val="clear" w:color="auto" w:fill="D9D9D9" w:themeFill="background1" w:themeFillShade="D9"/>
            <w:vAlign w:val="center"/>
          </w:tcPr>
          <w:p w14:paraId="1C9D85D2" w14:textId="77777777" w:rsidR="00A406E7" w:rsidRPr="005056E3" w:rsidRDefault="00A406E7" w:rsidP="00DF510F">
            <w:pPr>
              <w:keepNext/>
              <w:keepLines/>
              <w:widowControl/>
              <w:tabs>
                <w:tab w:val="decimal" w:pos="397"/>
              </w:tabs>
              <w:rPr>
                <w:rFonts w:cs="Arial"/>
                <w:sz w:val="18"/>
                <w:szCs w:val="18"/>
                <w:lang w:eastAsia="en-GB" w:bidi="ar-SA"/>
              </w:rPr>
            </w:pPr>
            <w:r w:rsidRPr="005056E3">
              <w:rPr>
                <w:rFonts w:cs="Arial"/>
                <w:sz w:val="18"/>
                <w:szCs w:val="18"/>
              </w:rPr>
              <w:t>9</w:t>
            </w:r>
          </w:p>
        </w:tc>
        <w:tc>
          <w:tcPr>
            <w:tcW w:w="809" w:type="dxa"/>
            <w:tcBorders>
              <w:bottom w:val="single" w:sz="4" w:space="0" w:color="auto"/>
            </w:tcBorders>
            <w:shd w:val="clear" w:color="auto" w:fill="auto"/>
            <w:vAlign w:val="center"/>
          </w:tcPr>
          <w:p w14:paraId="6223848E" w14:textId="77777777" w:rsidR="00A406E7" w:rsidRPr="005056E3" w:rsidRDefault="00A406E7" w:rsidP="00DF510F">
            <w:pPr>
              <w:keepNext/>
              <w:keepLines/>
              <w:widowControl/>
              <w:tabs>
                <w:tab w:val="decimal" w:pos="397"/>
              </w:tabs>
              <w:rPr>
                <w:rFonts w:cs="Arial"/>
                <w:sz w:val="18"/>
                <w:szCs w:val="18"/>
                <w:lang w:eastAsia="en-GB" w:bidi="ar-SA"/>
              </w:rPr>
            </w:pPr>
          </w:p>
        </w:tc>
        <w:tc>
          <w:tcPr>
            <w:tcW w:w="765" w:type="dxa"/>
          </w:tcPr>
          <w:p w14:paraId="07A12F6E" w14:textId="77777777" w:rsidR="00A406E7" w:rsidRPr="00B83846" w:rsidRDefault="00A406E7" w:rsidP="00DF510F">
            <w:pPr>
              <w:keepNext/>
              <w:keepLines/>
              <w:widowControl/>
              <w:tabs>
                <w:tab w:val="decimal" w:pos="397"/>
              </w:tabs>
              <w:rPr>
                <w:rFonts w:cs="Arial"/>
                <w:sz w:val="18"/>
                <w:szCs w:val="18"/>
              </w:rPr>
            </w:pPr>
          </w:p>
        </w:tc>
        <w:tc>
          <w:tcPr>
            <w:tcW w:w="826" w:type="dxa"/>
            <w:shd w:val="clear" w:color="auto" w:fill="D9D9D9" w:themeFill="background1" w:themeFillShade="D9"/>
            <w:vAlign w:val="center"/>
          </w:tcPr>
          <w:p w14:paraId="4DA53B65" w14:textId="77777777" w:rsidR="00A406E7" w:rsidRPr="005056E3" w:rsidRDefault="00A406E7" w:rsidP="00DF510F">
            <w:pPr>
              <w:keepNext/>
              <w:keepLines/>
              <w:widowControl/>
              <w:tabs>
                <w:tab w:val="decimal" w:pos="397"/>
              </w:tabs>
              <w:rPr>
                <w:rFonts w:cs="Arial"/>
                <w:sz w:val="18"/>
                <w:szCs w:val="18"/>
                <w:lang w:eastAsia="en-GB" w:bidi="ar-SA"/>
              </w:rPr>
            </w:pPr>
            <w:r w:rsidRPr="005056E3">
              <w:rPr>
                <w:rFonts w:cs="Arial"/>
                <w:sz w:val="18"/>
                <w:szCs w:val="18"/>
              </w:rPr>
              <w:t>8</w:t>
            </w:r>
          </w:p>
        </w:tc>
        <w:tc>
          <w:tcPr>
            <w:tcW w:w="846" w:type="dxa"/>
            <w:shd w:val="clear" w:color="auto" w:fill="auto"/>
            <w:vAlign w:val="center"/>
          </w:tcPr>
          <w:p w14:paraId="56E46084" w14:textId="77777777" w:rsidR="00A406E7" w:rsidRPr="005056E3" w:rsidRDefault="00A406E7" w:rsidP="00DF510F">
            <w:pPr>
              <w:keepNext/>
              <w:keepLines/>
              <w:widowControl/>
              <w:tabs>
                <w:tab w:val="decimal" w:pos="397"/>
              </w:tabs>
              <w:rPr>
                <w:rFonts w:cs="Arial"/>
                <w:color w:val="000000"/>
                <w:sz w:val="18"/>
                <w:szCs w:val="18"/>
                <w:lang w:eastAsia="en-GB" w:bidi="ar-SA"/>
              </w:rPr>
            </w:pPr>
          </w:p>
        </w:tc>
        <w:tc>
          <w:tcPr>
            <w:tcW w:w="846" w:type="dxa"/>
          </w:tcPr>
          <w:p w14:paraId="12578518" w14:textId="77777777" w:rsidR="00A406E7" w:rsidRPr="00B83846" w:rsidRDefault="00A406E7" w:rsidP="00DF510F">
            <w:pPr>
              <w:keepNext/>
              <w:keepLines/>
              <w:widowControl/>
              <w:tabs>
                <w:tab w:val="decimal" w:pos="397"/>
              </w:tabs>
              <w:rPr>
                <w:rFonts w:cs="Arial"/>
                <w:sz w:val="18"/>
                <w:szCs w:val="18"/>
              </w:rPr>
            </w:pPr>
          </w:p>
        </w:tc>
        <w:tc>
          <w:tcPr>
            <w:tcW w:w="672" w:type="dxa"/>
            <w:shd w:val="clear" w:color="auto" w:fill="D9D9D9" w:themeFill="background1" w:themeFillShade="D9"/>
            <w:vAlign w:val="center"/>
          </w:tcPr>
          <w:p w14:paraId="429994BA" w14:textId="77777777" w:rsidR="00A406E7" w:rsidRPr="005056E3" w:rsidRDefault="00A406E7" w:rsidP="00DF510F">
            <w:pPr>
              <w:keepNext/>
              <w:keepLines/>
              <w:widowControl/>
              <w:tabs>
                <w:tab w:val="decimal" w:pos="397"/>
              </w:tabs>
              <w:rPr>
                <w:rFonts w:cs="Arial"/>
                <w:color w:val="000000"/>
                <w:sz w:val="18"/>
                <w:szCs w:val="18"/>
                <w:lang w:eastAsia="en-GB" w:bidi="ar-SA"/>
              </w:rPr>
            </w:pPr>
            <w:r w:rsidRPr="005056E3">
              <w:rPr>
                <w:rFonts w:cs="Arial"/>
                <w:sz w:val="18"/>
                <w:szCs w:val="18"/>
              </w:rPr>
              <w:t>9</w:t>
            </w:r>
          </w:p>
        </w:tc>
      </w:tr>
      <w:tr w:rsidR="00A406E7" w:rsidRPr="00B83846" w14:paraId="05D8F32D" w14:textId="77777777" w:rsidTr="00221A11">
        <w:trPr>
          <w:cantSplit/>
        </w:trPr>
        <w:tc>
          <w:tcPr>
            <w:tcW w:w="1270" w:type="dxa"/>
            <w:shd w:val="clear" w:color="auto" w:fill="D9D9D9" w:themeFill="background1" w:themeFillShade="D9"/>
            <w:vAlign w:val="center"/>
            <w:hideMark/>
          </w:tcPr>
          <w:p w14:paraId="6BD9AEFB" w14:textId="77777777" w:rsidR="00C51F8F" w:rsidRPr="00B83846" w:rsidRDefault="00C51F8F"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20.2.2.3</w:t>
            </w:r>
          </w:p>
        </w:tc>
        <w:tc>
          <w:tcPr>
            <w:tcW w:w="756" w:type="dxa"/>
            <w:tcBorders>
              <w:right w:val="nil"/>
            </w:tcBorders>
            <w:shd w:val="clear" w:color="auto" w:fill="D9D9D9" w:themeFill="background1" w:themeFillShade="D9"/>
            <w:vAlign w:val="center"/>
          </w:tcPr>
          <w:p w14:paraId="191AD496" w14:textId="77777777" w:rsidR="00C51F8F" w:rsidRPr="00B83846" w:rsidRDefault="00C51F8F" w:rsidP="00DF510F">
            <w:pPr>
              <w:keepNext/>
              <w:keepLines/>
              <w:widowControl/>
              <w:rPr>
                <w:rFonts w:cs="Arial"/>
                <w:color w:val="000000"/>
                <w:sz w:val="18"/>
                <w:szCs w:val="18"/>
                <w:lang w:eastAsia="en-GB" w:bidi="ar-SA"/>
              </w:rPr>
            </w:pPr>
          </w:p>
        </w:tc>
        <w:tc>
          <w:tcPr>
            <w:tcW w:w="2328" w:type="dxa"/>
            <w:gridSpan w:val="3"/>
            <w:tcBorders>
              <w:left w:val="nil"/>
            </w:tcBorders>
            <w:shd w:val="clear" w:color="auto" w:fill="D9D9D9" w:themeFill="background1" w:themeFillShade="D9"/>
            <w:vAlign w:val="center"/>
            <w:hideMark/>
          </w:tcPr>
          <w:p w14:paraId="355A4CA5" w14:textId="77777777" w:rsidR="00C51F8F" w:rsidRPr="00B83846" w:rsidRDefault="00C51F8F" w:rsidP="00DF510F">
            <w:pPr>
              <w:keepNext/>
              <w:keepLines/>
              <w:widowControl/>
              <w:rPr>
                <w:rFonts w:cs="Arial"/>
                <w:color w:val="000000"/>
                <w:sz w:val="18"/>
                <w:szCs w:val="18"/>
                <w:lang w:eastAsia="en-GB" w:bidi="ar-SA"/>
              </w:rPr>
            </w:pPr>
            <w:r w:rsidRPr="00B83846">
              <w:rPr>
                <w:rFonts w:cs="Arial"/>
                <w:color w:val="000000"/>
                <w:sz w:val="18"/>
                <w:szCs w:val="18"/>
                <w:lang w:eastAsia="en-GB" w:bidi="ar-SA"/>
              </w:rPr>
              <w:t>Cereal products, bars</w:t>
            </w:r>
          </w:p>
        </w:tc>
        <w:tc>
          <w:tcPr>
            <w:tcW w:w="807" w:type="dxa"/>
            <w:shd w:val="clear" w:color="auto" w:fill="auto"/>
            <w:vAlign w:val="center"/>
          </w:tcPr>
          <w:p w14:paraId="643B1AB9" w14:textId="77777777" w:rsidR="00C51F8F" w:rsidRPr="005056E3" w:rsidRDefault="00C51F8F" w:rsidP="00DF510F">
            <w:pPr>
              <w:keepNext/>
              <w:keepLines/>
              <w:widowControl/>
              <w:tabs>
                <w:tab w:val="decimal" w:pos="397"/>
              </w:tabs>
              <w:rPr>
                <w:rFonts w:cs="Arial"/>
                <w:color w:val="000000"/>
                <w:sz w:val="18"/>
                <w:szCs w:val="18"/>
                <w:lang w:eastAsia="en-GB" w:bidi="ar-SA"/>
              </w:rPr>
            </w:pPr>
          </w:p>
        </w:tc>
        <w:tc>
          <w:tcPr>
            <w:tcW w:w="807" w:type="dxa"/>
          </w:tcPr>
          <w:p w14:paraId="4A7D21AB" w14:textId="77777777" w:rsidR="00C51F8F" w:rsidRPr="00B83846" w:rsidRDefault="00C51F8F" w:rsidP="00DF510F">
            <w:pPr>
              <w:keepNext/>
              <w:keepLines/>
              <w:widowControl/>
              <w:tabs>
                <w:tab w:val="decimal" w:pos="397"/>
              </w:tabs>
              <w:rPr>
                <w:rFonts w:cs="Arial"/>
                <w:color w:val="000000"/>
                <w:sz w:val="18"/>
                <w:szCs w:val="18"/>
              </w:rPr>
            </w:pPr>
          </w:p>
        </w:tc>
        <w:tc>
          <w:tcPr>
            <w:tcW w:w="809" w:type="dxa"/>
            <w:shd w:val="clear" w:color="auto" w:fill="auto"/>
            <w:vAlign w:val="center"/>
          </w:tcPr>
          <w:p w14:paraId="3D817DA1" w14:textId="77777777" w:rsidR="00C51F8F" w:rsidRPr="005056E3" w:rsidRDefault="00C51F8F" w:rsidP="00DF510F">
            <w:pPr>
              <w:keepNext/>
              <w:keepLines/>
              <w:widowControl/>
              <w:tabs>
                <w:tab w:val="decimal" w:pos="397"/>
              </w:tabs>
              <w:rPr>
                <w:rFonts w:cs="Arial"/>
                <w:color w:val="000000"/>
                <w:sz w:val="18"/>
                <w:szCs w:val="18"/>
                <w:lang w:eastAsia="en-GB" w:bidi="ar-SA"/>
              </w:rPr>
            </w:pPr>
            <w:r w:rsidRPr="00B83846">
              <w:rPr>
                <w:rFonts w:cs="Arial"/>
                <w:color w:val="000000"/>
                <w:sz w:val="18"/>
                <w:szCs w:val="18"/>
              </w:rPr>
              <w:t>3</w:t>
            </w:r>
          </w:p>
        </w:tc>
        <w:tc>
          <w:tcPr>
            <w:tcW w:w="812" w:type="dxa"/>
            <w:shd w:val="clear" w:color="auto" w:fill="auto"/>
            <w:vAlign w:val="center"/>
          </w:tcPr>
          <w:p w14:paraId="2BBD6188" w14:textId="77777777" w:rsidR="00C51F8F" w:rsidRPr="005056E3" w:rsidRDefault="00C51F8F" w:rsidP="00DF510F">
            <w:pPr>
              <w:keepNext/>
              <w:keepLines/>
              <w:widowControl/>
              <w:tabs>
                <w:tab w:val="decimal" w:pos="397"/>
              </w:tabs>
              <w:rPr>
                <w:rFonts w:cs="Arial"/>
                <w:sz w:val="18"/>
                <w:szCs w:val="18"/>
                <w:lang w:eastAsia="en-GB" w:bidi="ar-SA"/>
              </w:rPr>
            </w:pPr>
          </w:p>
        </w:tc>
        <w:tc>
          <w:tcPr>
            <w:tcW w:w="809" w:type="dxa"/>
          </w:tcPr>
          <w:p w14:paraId="1B53624B" w14:textId="77777777" w:rsidR="00C51F8F" w:rsidRPr="00B83846" w:rsidRDefault="00C51F8F" w:rsidP="00DF510F">
            <w:pPr>
              <w:keepNext/>
              <w:keepLines/>
              <w:widowControl/>
              <w:tabs>
                <w:tab w:val="decimal" w:pos="397"/>
              </w:tabs>
              <w:rPr>
                <w:rFonts w:cs="Arial"/>
                <w:sz w:val="18"/>
                <w:szCs w:val="18"/>
              </w:rPr>
            </w:pPr>
          </w:p>
        </w:tc>
        <w:tc>
          <w:tcPr>
            <w:tcW w:w="840" w:type="dxa"/>
            <w:shd w:val="clear" w:color="auto" w:fill="D9D9D9" w:themeFill="background1" w:themeFillShade="D9"/>
            <w:vAlign w:val="center"/>
          </w:tcPr>
          <w:p w14:paraId="68EEA073" w14:textId="77777777" w:rsidR="00C51F8F" w:rsidRPr="005056E3" w:rsidRDefault="00C51F8F" w:rsidP="00DF510F">
            <w:pPr>
              <w:keepNext/>
              <w:keepLines/>
              <w:widowControl/>
              <w:tabs>
                <w:tab w:val="decimal" w:pos="397"/>
              </w:tabs>
              <w:rPr>
                <w:rFonts w:cs="Arial"/>
                <w:sz w:val="18"/>
                <w:szCs w:val="18"/>
                <w:lang w:eastAsia="en-GB" w:bidi="ar-SA"/>
              </w:rPr>
            </w:pPr>
            <w:r w:rsidRPr="005056E3">
              <w:rPr>
                <w:rFonts w:cs="Arial"/>
                <w:sz w:val="18"/>
                <w:szCs w:val="18"/>
              </w:rPr>
              <w:t>9</w:t>
            </w:r>
          </w:p>
        </w:tc>
        <w:tc>
          <w:tcPr>
            <w:tcW w:w="809" w:type="dxa"/>
            <w:shd w:val="clear" w:color="auto" w:fill="auto"/>
            <w:vAlign w:val="center"/>
          </w:tcPr>
          <w:p w14:paraId="258E4760" w14:textId="77777777" w:rsidR="00C51F8F" w:rsidRPr="005056E3" w:rsidRDefault="00C51F8F" w:rsidP="00DF510F">
            <w:pPr>
              <w:keepNext/>
              <w:keepLines/>
              <w:widowControl/>
              <w:tabs>
                <w:tab w:val="decimal" w:pos="397"/>
              </w:tabs>
              <w:rPr>
                <w:rFonts w:cs="Arial"/>
                <w:sz w:val="18"/>
                <w:szCs w:val="18"/>
                <w:lang w:eastAsia="en-GB" w:bidi="ar-SA"/>
              </w:rPr>
            </w:pPr>
          </w:p>
        </w:tc>
        <w:tc>
          <w:tcPr>
            <w:tcW w:w="765" w:type="dxa"/>
          </w:tcPr>
          <w:p w14:paraId="5E55016B" w14:textId="77777777" w:rsidR="00C51F8F" w:rsidRPr="00B83846" w:rsidRDefault="00C51F8F" w:rsidP="00DF510F">
            <w:pPr>
              <w:keepNext/>
              <w:keepLines/>
              <w:widowControl/>
              <w:tabs>
                <w:tab w:val="decimal" w:pos="397"/>
              </w:tabs>
              <w:rPr>
                <w:rFonts w:cs="Arial"/>
                <w:sz w:val="18"/>
                <w:szCs w:val="18"/>
              </w:rPr>
            </w:pPr>
          </w:p>
        </w:tc>
        <w:tc>
          <w:tcPr>
            <w:tcW w:w="826" w:type="dxa"/>
            <w:shd w:val="clear" w:color="auto" w:fill="D9D9D9" w:themeFill="background1" w:themeFillShade="D9"/>
            <w:vAlign w:val="center"/>
          </w:tcPr>
          <w:p w14:paraId="7E245403" w14:textId="77777777" w:rsidR="00C51F8F" w:rsidRPr="005056E3" w:rsidRDefault="00C51F8F" w:rsidP="00DF510F">
            <w:pPr>
              <w:keepNext/>
              <w:keepLines/>
              <w:widowControl/>
              <w:tabs>
                <w:tab w:val="decimal" w:pos="397"/>
              </w:tabs>
              <w:rPr>
                <w:rFonts w:cs="Arial"/>
                <w:sz w:val="18"/>
                <w:szCs w:val="18"/>
                <w:lang w:eastAsia="en-GB" w:bidi="ar-SA"/>
              </w:rPr>
            </w:pPr>
            <w:r w:rsidRPr="00B83846">
              <w:rPr>
                <w:rFonts w:cs="Arial"/>
                <w:sz w:val="18"/>
                <w:szCs w:val="18"/>
              </w:rPr>
              <w:t>11</w:t>
            </w:r>
          </w:p>
        </w:tc>
        <w:tc>
          <w:tcPr>
            <w:tcW w:w="846" w:type="dxa"/>
            <w:shd w:val="clear" w:color="auto" w:fill="auto"/>
            <w:vAlign w:val="center"/>
          </w:tcPr>
          <w:p w14:paraId="52B7F7BE" w14:textId="77777777" w:rsidR="00C51F8F" w:rsidRPr="005056E3" w:rsidRDefault="00C51F8F" w:rsidP="00DF510F">
            <w:pPr>
              <w:keepNext/>
              <w:keepLines/>
              <w:widowControl/>
              <w:tabs>
                <w:tab w:val="decimal" w:pos="397"/>
              </w:tabs>
              <w:rPr>
                <w:rFonts w:cs="Arial"/>
                <w:color w:val="000000"/>
                <w:sz w:val="18"/>
                <w:szCs w:val="18"/>
                <w:lang w:eastAsia="en-GB" w:bidi="ar-SA"/>
              </w:rPr>
            </w:pPr>
          </w:p>
        </w:tc>
        <w:tc>
          <w:tcPr>
            <w:tcW w:w="846" w:type="dxa"/>
          </w:tcPr>
          <w:p w14:paraId="76A80937" w14:textId="77777777" w:rsidR="00C51F8F" w:rsidRPr="00B83846" w:rsidRDefault="00C51F8F" w:rsidP="00DF510F">
            <w:pPr>
              <w:keepNext/>
              <w:keepLines/>
              <w:widowControl/>
              <w:tabs>
                <w:tab w:val="decimal" w:pos="397"/>
              </w:tabs>
              <w:rPr>
                <w:rFonts w:cs="Arial"/>
                <w:sz w:val="18"/>
                <w:szCs w:val="18"/>
              </w:rPr>
            </w:pPr>
          </w:p>
        </w:tc>
        <w:tc>
          <w:tcPr>
            <w:tcW w:w="672" w:type="dxa"/>
            <w:shd w:val="clear" w:color="auto" w:fill="D9D9D9" w:themeFill="background1" w:themeFillShade="D9"/>
            <w:vAlign w:val="center"/>
          </w:tcPr>
          <w:p w14:paraId="277670FA" w14:textId="77777777" w:rsidR="00C51F8F" w:rsidRPr="00B83846" w:rsidRDefault="00C51F8F" w:rsidP="00DF510F">
            <w:pPr>
              <w:keepNext/>
              <w:keepLines/>
              <w:widowControl/>
              <w:tabs>
                <w:tab w:val="decimal" w:pos="397"/>
              </w:tabs>
              <w:rPr>
                <w:rFonts w:cs="Arial"/>
                <w:color w:val="000000"/>
                <w:sz w:val="18"/>
                <w:szCs w:val="18"/>
                <w:lang w:eastAsia="en-GB" w:bidi="ar-SA"/>
              </w:rPr>
            </w:pPr>
            <w:r w:rsidRPr="00B83846">
              <w:rPr>
                <w:rFonts w:cs="Arial"/>
                <w:sz w:val="18"/>
                <w:szCs w:val="18"/>
              </w:rPr>
              <w:t>6</w:t>
            </w:r>
          </w:p>
        </w:tc>
      </w:tr>
    </w:tbl>
    <w:p w14:paraId="26600702" w14:textId="35470354" w:rsidR="00E907D7" w:rsidRPr="00C74A6B" w:rsidRDefault="00E907D7" w:rsidP="00E907D7">
      <w:pPr>
        <w:pStyle w:val="FSBullet"/>
        <w:rPr>
          <w:sz w:val="18"/>
          <w:szCs w:val="18"/>
        </w:rPr>
      </w:pPr>
      <w:r w:rsidRPr="00C74A6B">
        <w:rPr>
          <w:vertAlign w:val="superscript"/>
        </w:rPr>
        <w:t>₼</w:t>
      </w:r>
      <w:r w:rsidRPr="00C74A6B">
        <w:rPr>
          <w:sz w:val="18"/>
          <w:szCs w:val="18"/>
        </w:rPr>
        <w:t xml:space="preserve"> 2008/09 New Zealand Adult Nutrition Survey (2008 NZANS) 15 years and above.</w:t>
      </w:r>
    </w:p>
    <w:p w14:paraId="4CF9B0D1" w14:textId="77777777" w:rsidR="00E907D7" w:rsidRDefault="00E907D7" w:rsidP="00E907D7">
      <w:pPr>
        <w:widowControl/>
      </w:pPr>
      <w:r>
        <w:br w:type="page"/>
      </w:r>
    </w:p>
    <w:p w14:paraId="5E195619" w14:textId="77777777" w:rsidR="008F57BC" w:rsidRDefault="008F57BC" w:rsidP="00EC13A5">
      <w:pPr>
        <w:keepNext/>
        <w:spacing w:before="240" w:after="240"/>
        <w:outlineLvl w:val="0"/>
        <w:rPr>
          <w:b/>
          <w:bCs/>
          <w:sz w:val="36"/>
          <w:szCs w:val="28"/>
          <w:lang w:bidi="ar-SA"/>
        </w:rPr>
        <w:sectPr w:rsidR="008F57BC" w:rsidSect="00200FB1">
          <w:pgSz w:w="16838" w:h="11906" w:orient="landscape"/>
          <w:pgMar w:top="709" w:right="1418" w:bottom="1418" w:left="1418" w:header="709" w:footer="709" w:gutter="0"/>
          <w:cols w:space="708"/>
          <w:docGrid w:linePitch="360"/>
        </w:sectPr>
      </w:pPr>
      <w:bookmarkStart w:id="114" w:name="_Toc518372104"/>
    </w:p>
    <w:p w14:paraId="3D00A0BC" w14:textId="027859CA" w:rsidR="00EC13A5" w:rsidRPr="00EC13A5" w:rsidRDefault="00EC13A5" w:rsidP="00EC13A5">
      <w:pPr>
        <w:keepNext/>
        <w:spacing w:before="240" w:after="240"/>
        <w:outlineLvl w:val="0"/>
        <w:rPr>
          <w:b/>
          <w:bCs/>
          <w:sz w:val="36"/>
          <w:szCs w:val="28"/>
          <w:lang w:bidi="ar-SA"/>
        </w:rPr>
      </w:pPr>
      <w:bookmarkStart w:id="115" w:name="_Toc520888240"/>
      <w:r w:rsidRPr="00EC13A5">
        <w:rPr>
          <w:b/>
          <w:bCs/>
          <w:sz w:val="36"/>
          <w:szCs w:val="28"/>
          <w:lang w:bidi="ar-SA"/>
        </w:rPr>
        <w:t>Appendix 4</w:t>
      </w:r>
      <w:r w:rsidR="00EC05CA">
        <w:rPr>
          <w:b/>
          <w:bCs/>
          <w:sz w:val="36"/>
          <w:szCs w:val="28"/>
          <w:lang w:bidi="ar-SA"/>
        </w:rPr>
        <w:t xml:space="preserve">: TMAO and </w:t>
      </w:r>
      <w:r w:rsidRPr="00EC13A5">
        <w:rPr>
          <w:b/>
          <w:bCs/>
          <w:sz w:val="36"/>
          <w:szCs w:val="28"/>
          <w:lang w:bidi="ar-SA"/>
        </w:rPr>
        <w:t>mortality and cardiovascular disease</w:t>
      </w:r>
      <w:bookmarkEnd w:id="114"/>
      <w:bookmarkEnd w:id="115"/>
    </w:p>
    <w:p w14:paraId="092D5589" w14:textId="77777777" w:rsidR="00EC13A5" w:rsidRPr="00EC13A5" w:rsidRDefault="00EC13A5" w:rsidP="00EC13A5">
      <w:pPr>
        <w:rPr>
          <w:b/>
        </w:rPr>
      </w:pPr>
      <w:r w:rsidRPr="00EC13A5">
        <w:rPr>
          <w:b/>
        </w:rPr>
        <w:t>Introduction</w:t>
      </w:r>
    </w:p>
    <w:p w14:paraId="2B371DBF" w14:textId="77777777" w:rsidR="00EC13A5" w:rsidRPr="00EC13A5" w:rsidRDefault="00EC13A5" w:rsidP="00EC13A5"/>
    <w:p w14:paraId="7C7CEBF8" w14:textId="08EFE51A" w:rsidR="00EC13A5" w:rsidRPr="00EC13A5" w:rsidRDefault="00EC13A5" w:rsidP="00EC13A5">
      <w:r w:rsidRPr="00EC13A5">
        <w:t xml:space="preserve">A hypothesis has recently been put forward by a group of researchers from Cleveland in the US that trimethylamine-N-oxide (TMAO) increases the risk of all-cause mortality and cardiovascular disease (Koeth </w:t>
      </w:r>
      <w:r w:rsidR="000B7678">
        <w:t>et al. 2</w:t>
      </w:r>
      <w:r w:rsidRPr="00EC13A5">
        <w:t>013)</w:t>
      </w:r>
      <w:r w:rsidR="0055564D">
        <w:t xml:space="preserve">. </w:t>
      </w:r>
      <w:r w:rsidRPr="00EC13A5">
        <w:t>TMAO is a metabolite of L-carnitine, choline and phosphatidyl choline (lecithin) formed by microbial action in the gut followed by conversion in the liver. TMAO is also found in large amounts, pre-formed, in certain fish</w:t>
      </w:r>
      <w:r w:rsidR="0055564D">
        <w:t xml:space="preserve">. </w:t>
      </w:r>
      <w:r w:rsidRPr="00EC13A5">
        <w:t>The research group initially supported their hypothesis with a series of analyses from a cohort study of 4007 people who were referred to a tertiary clinic in Cleveland for coronary angiography. Subsequently, they and other groups of researchers have conducted similar studies in other groups of participant</w:t>
      </w:r>
      <w:r w:rsidR="00811A8E">
        <w:t>s</w:t>
      </w:r>
      <w:r w:rsidR="0055564D">
        <w:t xml:space="preserve">. </w:t>
      </w:r>
    </w:p>
    <w:p w14:paraId="5F758326" w14:textId="77777777" w:rsidR="00EC13A5" w:rsidRPr="00EC13A5" w:rsidRDefault="00EC13A5" w:rsidP="00EC13A5"/>
    <w:p w14:paraId="3A3544F6" w14:textId="36C0C0EC" w:rsidR="00EC13A5" w:rsidRPr="00EC13A5" w:rsidRDefault="00EC13A5" w:rsidP="00EC13A5">
      <w:r w:rsidRPr="00EC13A5">
        <w:t>This appendix summarises research by the Cleveland and other research groups who have examined the possible link between serum TMAO and various outcomes. It does not consider research examining the response of serum TMAO concentrations following changes to the intake of L-carnitine, choline, eggs, macronutrient ratio etc. In addition, the link between fish consumption and heart disease in not reviewed even though certain fish contain large amounts of TMAO</w:t>
      </w:r>
      <w:r w:rsidR="0055564D">
        <w:t xml:space="preserve">. </w:t>
      </w:r>
      <w:r w:rsidRPr="00EC13A5">
        <w:t xml:space="preserve">In 2014, Koeth </w:t>
      </w:r>
      <w:r w:rsidR="000B7678">
        <w:t>et al.</w:t>
      </w:r>
      <w:r w:rsidR="00A4539C">
        <w:t xml:space="preserve"> </w:t>
      </w:r>
      <w:r w:rsidRPr="00EC13A5">
        <w:t xml:space="preserve">used a mouse model and proposed that only the microbial pathway which produced </w:t>
      </w:r>
      <w:r w:rsidR="00590421">
        <w:t xml:space="preserve">TMAO via </w:t>
      </w:r>
      <w:r w:rsidRPr="00EC13A5">
        <w:t>gamma-butyrobetaine was atherogenic</w:t>
      </w:r>
      <w:r w:rsidR="0055564D">
        <w:t xml:space="preserve">. </w:t>
      </w:r>
    </w:p>
    <w:p w14:paraId="28A36A62" w14:textId="77777777" w:rsidR="00EC13A5" w:rsidRPr="00EC13A5" w:rsidRDefault="00EC13A5" w:rsidP="00EC13A5"/>
    <w:p w14:paraId="2CCE4DB1" w14:textId="77777777" w:rsidR="00EC13A5" w:rsidRPr="00EC13A5" w:rsidRDefault="00EC13A5" w:rsidP="00EC13A5">
      <w:pPr>
        <w:rPr>
          <w:b/>
        </w:rPr>
      </w:pPr>
      <w:r w:rsidRPr="00EC13A5">
        <w:rPr>
          <w:b/>
        </w:rPr>
        <w:t>Cohort studies in patients</w:t>
      </w:r>
    </w:p>
    <w:p w14:paraId="01874969" w14:textId="77777777" w:rsidR="00EC13A5" w:rsidRPr="00EC13A5" w:rsidRDefault="00EC13A5" w:rsidP="00EC13A5">
      <w:pPr>
        <w:rPr>
          <w:u w:val="single"/>
        </w:rPr>
      </w:pPr>
    </w:p>
    <w:p w14:paraId="3E17E6E9" w14:textId="77777777" w:rsidR="00EC13A5" w:rsidRPr="00EC13A5" w:rsidRDefault="00EC13A5" w:rsidP="00EC13A5">
      <w:pPr>
        <w:rPr>
          <w:u w:val="single"/>
        </w:rPr>
      </w:pPr>
      <w:r w:rsidRPr="00EC13A5">
        <w:rPr>
          <w:u w:val="single"/>
        </w:rPr>
        <w:t>The Cleveland 4007 Clinical Outcomes Cohort:</w:t>
      </w:r>
    </w:p>
    <w:p w14:paraId="3602411A" w14:textId="77777777" w:rsidR="00EC13A5" w:rsidRPr="00EC13A5" w:rsidRDefault="00EC13A5" w:rsidP="00EC13A5"/>
    <w:p w14:paraId="0F885A31" w14:textId="6147BF28" w:rsidR="00EC13A5" w:rsidRPr="00EC13A5" w:rsidRDefault="00EC13A5" w:rsidP="00EC13A5">
      <w:pPr>
        <w:rPr>
          <w:rFonts w:cs="Arial"/>
        </w:rPr>
      </w:pPr>
      <w:r w:rsidRPr="00EC13A5">
        <w:rPr>
          <w:rFonts w:cs="Arial"/>
        </w:rPr>
        <w:t xml:space="preserve">This cohort </w:t>
      </w:r>
      <w:r w:rsidR="00110BAF">
        <w:rPr>
          <w:rFonts w:cs="Arial"/>
        </w:rPr>
        <w:t xml:space="preserve">of </w:t>
      </w:r>
      <w:r w:rsidRPr="00EC13A5">
        <w:rPr>
          <w:rFonts w:cs="Arial"/>
        </w:rPr>
        <w:t xml:space="preserve">4007 people was recruited between 2001-2007 from the larger GeneBank study (Hartiala </w:t>
      </w:r>
      <w:r w:rsidR="000B7678">
        <w:rPr>
          <w:rFonts w:cs="Arial"/>
        </w:rPr>
        <w:t>et al. 2</w:t>
      </w:r>
      <w:r w:rsidRPr="00EC13A5">
        <w:rPr>
          <w:rFonts w:cs="Arial"/>
        </w:rPr>
        <w:t xml:space="preserve">016). </w:t>
      </w:r>
      <w:r w:rsidR="007C2028">
        <w:rPr>
          <w:rFonts w:cs="Arial"/>
        </w:rPr>
        <w:t xml:space="preserve">The cohort </w:t>
      </w:r>
      <w:r w:rsidRPr="00EC13A5">
        <w:rPr>
          <w:rFonts w:cs="Arial"/>
        </w:rPr>
        <w:t>formation is described to varying extents across the pa</w:t>
      </w:r>
      <w:r w:rsidR="007C2028">
        <w:rPr>
          <w:rFonts w:cs="Arial"/>
        </w:rPr>
        <w:t>pers reporting prevalence</w:t>
      </w:r>
      <w:r w:rsidRPr="00EC13A5">
        <w:rPr>
          <w:rFonts w:cs="Arial"/>
        </w:rPr>
        <w:t xml:space="preserve"> of characteristics or incidence of outcomes. Certain details, such as the qualifying cardiac troponin concentration, are described differently in the various papers outlining the formation of the cohort</w:t>
      </w:r>
      <w:r w:rsidR="0055564D">
        <w:rPr>
          <w:rFonts w:cs="Arial"/>
        </w:rPr>
        <w:t xml:space="preserve">. </w:t>
      </w:r>
    </w:p>
    <w:p w14:paraId="7CF8B1CF" w14:textId="77777777" w:rsidR="00EC13A5" w:rsidRPr="00EC13A5" w:rsidRDefault="00EC13A5" w:rsidP="00EC13A5">
      <w:pPr>
        <w:rPr>
          <w:rFonts w:cs="Arial"/>
        </w:rPr>
      </w:pPr>
    </w:p>
    <w:p w14:paraId="6BCA5240" w14:textId="6479CC71" w:rsidR="00EC13A5" w:rsidRDefault="00EC13A5" w:rsidP="00EC13A5">
      <w:pPr>
        <w:rPr>
          <w:rFonts w:cs="Arial"/>
        </w:rPr>
      </w:pPr>
      <w:r w:rsidRPr="00EC13A5">
        <w:rPr>
          <w:rFonts w:cs="Arial"/>
        </w:rPr>
        <w:t xml:space="preserve">In the paper (Tang </w:t>
      </w:r>
      <w:r w:rsidR="000B7678">
        <w:rPr>
          <w:rFonts w:cs="Arial"/>
        </w:rPr>
        <w:t>et al. 2</w:t>
      </w:r>
      <w:r w:rsidRPr="00EC13A5">
        <w:rPr>
          <w:rFonts w:cs="Arial"/>
        </w:rPr>
        <w:t xml:space="preserve">013) describing the 3-year follow-up and incidence of MACE (all-cause mortality, non-fatal myocardial infarction and non-fatal stroke) the recruitment was described as: </w:t>
      </w:r>
    </w:p>
    <w:p w14:paraId="2FA4F766" w14:textId="77777777" w:rsidR="007C2028" w:rsidRPr="007C2028" w:rsidRDefault="007C2028" w:rsidP="00EC13A5">
      <w:pPr>
        <w:rPr>
          <w:rFonts w:cs="Arial"/>
          <w:sz w:val="6"/>
          <w:szCs w:val="6"/>
        </w:rPr>
      </w:pPr>
    </w:p>
    <w:p w14:paraId="4BC24B6C" w14:textId="4EF0C719" w:rsidR="00EC13A5" w:rsidRDefault="00EC13A5" w:rsidP="00EC13A5">
      <w:pPr>
        <w:ind w:left="567"/>
        <w:rPr>
          <w:rFonts w:eastAsia="OTNEJMQuadraat" w:cs="Arial"/>
        </w:rPr>
      </w:pPr>
      <w:r w:rsidRPr="00EC13A5">
        <w:rPr>
          <w:rFonts w:cs="Arial"/>
        </w:rPr>
        <w:t>W</w:t>
      </w:r>
      <w:r w:rsidRPr="00EC13A5">
        <w:rPr>
          <w:rFonts w:eastAsia="OTNEJMQuadraat" w:cs="Arial"/>
        </w:rPr>
        <w:t>e enrolled 4007 adults who were undergoing elective diagnostic cardiac catheterization; the participants had no evidence of an acute coronary syndrome (cardiac troponin T level, &lt;</w:t>
      </w:r>
      <w:r w:rsidR="007C2028">
        <w:rPr>
          <w:rFonts w:eastAsia="OTNEJMQuadraat" w:cs="Arial"/>
        </w:rPr>
        <w:t> 0.1 </w:t>
      </w:r>
      <w:r w:rsidRPr="00EC13A5">
        <w:rPr>
          <w:rFonts w:eastAsia="OTNEJMQuadraat" w:cs="Arial"/>
        </w:rPr>
        <w:t xml:space="preserve">μg per liter, if available). A history of cardiovascular disease was defined as a documented history of coronary artery disease, peripheral artery disease, coronary or peripheral revascularization, stenosis of 50% or more in one or more vessels observed during coronary angiography, or a remote history of either myocardial infarction or stroke. Fasting blood samples were obtained from all participants at the time of cardiac catheterization… Major adverse cardiovascular events (defined as death from any cause, nonfatal myocardial infarction, and nonfatal stroke) were ascertained and adjudicated for all participants during 3 years of follow-up. </w:t>
      </w:r>
    </w:p>
    <w:p w14:paraId="21EBD92C" w14:textId="77777777" w:rsidR="007C2028" w:rsidRPr="00EC13A5" w:rsidRDefault="007C2028" w:rsidP="00EC13A5">
      <w:pPr>
        <w:ind w:left="567"/>
        <w:rPr>
          <w:rFonts w:eastAsia="OTNEJMQuadraat" w:cs="Arial"/>
        </w:rPr>
      </w:pPr>
    </w:p>
    <w:p w14:paraId="77D456E8" w14:textId="2A09F8C5" w:rsidR="00EC13A5" w:rsidRDefault="00EC13A5" w:rsidP="00EC13A5">
      <w:pPr>
        <w:autoSpaceDE w:val="0"/>
        <w:autoSpaceDN w:val="0"/>
        <w:adjustRightInd w:val="0"/>
        <w:rPr>
          <w:rFonts w:eastAsia="OTNEJMQuadraat" w:cs="Arial"/>
        </w:rPr>
      </w:pPr>
      <w:r w:rsidRPr="00EC13A5">
        <w:rPr>
          <w:rFonts w:eastAsia="OTNEJMQuadraat" w:cs="Arial"/>
        </w:rPr>
        <w:t xml:space="preserve">A subsequent paper describing 5-year all-cause mortality (Senthong </w:t>
      </w:r>
      <w:r w:rsidR="000B7678">
        <w:rPr>
          <w:rFonts w:eastAsia="OTNEJMQuadraat" w:cs="Arial"/>
        </w:rPr>
        <w:t>et al. 2</w:t>
      </w:r>
      <w:r w:rsidRPr="00EC13A5">
        <w:rPr>
          <w:rFonts w:eastAsia="OTNEJMQuadraat" w:cs="Arial"/>
        </w:rPr>
        <w:t>016</w:t>
      </w:r>
      <w:r w:rsidR="00CF2E4C">
        <w:rPr>
          <w:rFonts w:eastAsia="OTNEJMQuadraat" w:cs="Arial"/>
        </w:rPr>
        <w:t>b</w:t>
      </w:r>
      <w:r w:rsidRPr="00EC13A5">
        <w:rPr>
          <w:rFonts w:eastAsia="OTNEJMQuadraat" w:cs="Arial"/>
        </w:rPr>
        <w:t>) gives further elaboration of the study methods:</w:t>
      </w:r>
    </w:p>
    <w:p w14:paraId="2205E075" w14:textId="77777777" w:rsidR="007C2028" w:rsidRPr="007C2028" w:rsidRDefault="007C2028" w:rsidP="00EC13A5">
      <w:pPr>
        <w:autoSpaceDE w:val="0"/>
        <w:autoSpaceDN w:val="0"/>
        <w:adjustRightInd w:val="0"/>
        <w:rPr>
          <w:rFonts w:cs="Arial"/>
          <w:sz w:val="6"/>
          <w:szCs w:val="6"/>
        </w:rPr>
      </w:pPr>
    </w:p>
    <w:p w14:paraId="2816F8F8" w14:textId="1E6DEDA1" w:rsidR="00EC13A5" w:rsidRPr="00EC13A5" w:rsidRDefault="00EC13A5" w:rsidP="00EC13A5">
      <w:pPr>
        <w:ind w:left="567"/>
        <w:rPr>
          <w:rFonts w:cs="Arial"/>
        </w:rPr>
      </w:pPr>
      <w:r w:rsidRPr="00EC13A5">
        <w:rPr>
          <w:rFonts w:cs="Arial"/>
        </w:rPr>
        <w:t xml:space="preserve">This single-center prospective cohort study was approved by the Cleveland Clinic institutional review board. All participants provided written informed consent. We included adult participants (aged </w:t>
      </w:r>
      <w:r w:rsidRPr="00EC13A5">
        <w:rPr>
          <w:rFonts w:eastAsia="AdvTTec369687+22" w:cs="Arial"/>
        </w:rPr>
        <w:t>≥</w:t>
      </w:r>
      <w:r w:rsidR="008F031E">
        <w:rPr>
          <w:rFonts w:eastAsia="AdvTTec369687+22" w:cs="Arial"/>
        </w:rPr>
        <w:t xml:space="preserve"> </w:t>
      </w:r>
      <w:r w:rsidRPr="00EC13A5">
        <w:rPr>
          <w:rFonts w:cs="Arial"/>
        </w:rPr>
        <w:t xml:space="preserve">18 years) </w:t>
      </w:r>
      <w:r w:rsidRPr="00EC13A5">
        <w:rPr>
          <w:rFonts w:cs="Arial"/>
          <w:i/>
        </w:rPr>
        <w:t>with symptoms or signs of CAD</w:t>
      </w:r>
      <w:r w:rsidRPr="00EC13A5">
        <w:rPr>
          <w:rFonts w:cs="Arial"/>
        </w:rPr>
        <w:t xml:space="preserve"> who underwent elective nonurgent coronary angiography at the Cleveland Clinic between 2001 and 2007 without evidence of acute coronary syndrome (cardiac troponin I &lt;</w:t>
      </w:r>
      <w:r w:rsidR="008F031E">
        <w:rPr>
          <w:rFonts w:cs="Arial"/>
        </w:rPr>
        <w:t xml:space="preserve"> </w:t>
      </w:r>
      <w:r w:rsidRPr="00EC13A5">
        <w:rPr>
          <w:rFonts w:cs="Arial"/>
        </w:rPr>
        <w:t>0.03 ng/mL). Patients who had experienced acute coronary syndrome or revascularization procedures within 30 days before enrolment were excluded. All-cause mortality at 5 years was tracked by electronic chart review and Social Security Death Index up to 2011 and confirmed by telephone interviews, official hospital records, or death certificates.</w:t>
      </w:r>
    </w:p>
    <w:p w14:paraId="145A1125" w14:textId="77777777" w:rsidR="00EC13A5" w:rsidRPr="00EC13A5" w:rsidRDefault="00EC13A5" w:rsidP="00EC13A5">
      <w:pPr>
        <w:rPr>
          <w:rFonts w:cs="Arial"/>
        </w:rPr>
      </w:pPr>
    </w:p>
    <w:p w14:paraId="5E50841E" w14:textId="30CAFFB6" w:rsidR="00EC13A5" w:rsidRPr="00EC13A5" w:rsidRDefault="00EC13A5" w:rsidP="00EC13A5">
      <w:r w:rsidRPr="00EC13A5">
        <w:rPr>
          <w:rFonts w:cs="Arial"/>
        </w:rPr>
        <w:t>At baseline, the average age of the 4007 participants was 63 years and 64% were men</w:t>
      </w:r>
      <w:r w:rsidR="0055564D">
        <w:rPr>
          <w:rFonts w:cs="Arial"/>
        </w:rPr>
        <w:t xml:space="preserve">. </w:t>
      </w:r>
      <w:r w:rsidRPr="00EC13A5">
        <w:t>They had a median body mass index (BMI) of 28.7 kg/m</w:t>
      </w:r>
      <w:r w:rsidRPr="00EC13A5">
        <w:rPr>
          <w:vertAlign w:val="superscript"/>
        </w:rPr>
        <w:t>2</w:t>
      </w:r>
      <w:r w:rsidRPr="00EC13A5">
        <w:t xml:space="preserve"> (</w:t>
      </w:r>
      <w:r w:rsidR="00C533CE">
        <w:t>interquartile range (IQR): 25.7–</w:t>
      </w:r>
      <w:r w:rsidRPr="00EC13A5">
        <w:t>32.5), median LDL-cholesterol concentratio</w:t>
      </w:r>
      <w:r w:rsidR="007C2028">
        <w:t>n of 96 mg/dL</w:t>
      </w:r>
      <w:r w:rsidRPr="00EC13A5">
        <w:t>, median estimated glomerul</w:t>
      </w:r>
      <w:r w:rsidR="00C533CE">
        <w:t>ar filtration rate (eGFR) of 82 </w:t>
      </w:r>
      <w:r w:rsidRPr="00EC13A5">
        <w:t>mL/min/1.73</w:t>
      </w:r>
      <w:r w:rsidR="008F031E">
        <w:t xml:space="preserve"> </w:t>
      </w:r>
      <w:r w:rsidRPr="00EC13A5">
        <w:t>m</w:t>
      </w:r>
      <w:r w:rsidRPr="00EC13A5">
        <w:rPr>
          <w:vertAlign w:val="superscript"/>
        </w:rPr>
        <w:t xml:space="preserve">2 </w:t>
      </w:r>
      <w:r w:rsidR="00C533CE">
        <w:t>(IQR: 69–</w:t>
      </w:r>
      <w:r w:rsidRPr="00EC13A5">
        <w:t>95).</w:t>
      </w:r>
      <w:r w:rsidRPr="00EC13A5">
        <w:rPr>
          <w:vertAlign w:val="superscript"/>
        </w:rPr>
        <w:footnoteReference w:id="3"/>
      </w:r>
      <w:r w:rsidRPr="00EC13A5">
        <w:t xml:space="preserve"> There was a substantial prevalence of risk conditions and medication use am</w:t>
      </w:r>
      <w:r w:rsidR="007941B9">
        <w:t xml:space="preserve">ong the participants: </w:t>
      </w:r>
      <w:r w:rsidRPr="00EC13A5">
        <w:t>32% had diabetes, 72% had hypertension, 42% had a history of myocardial infarction, 65% were current or former smokers, 74% taking aspirin, 50% taking ACE inhibitors or ARB, 60% taking statins and 63% taking beta-blockers. The proportion of African Americans in the cohort is not given</w:t>
      </w:r>
      <w:r w:rsidR="0055564D">
        <w:t xml:space="preserve">. </w:t>
      </w:r>
      <w:r w:rsidRPr="00EC13A5">
        <w:t>This is relevant owing to the differential disease rates, for example hypertension, in Whites and African Americans, and the low proportion of people of African origin in Australia. Median TM</w:t>
      </w:r>
      <w:r w:rsidR="0055564D">
        <w:t xml:space="preserve">AO concentration was 3.7 </w:t>
      </w:r>
      <w:r w:rsidR="0055564D" w:rsidRPr="0055564D">
        <w:t xml:space="preserve">µM </w:t>
      </w:r>
      <w:r w:rsidR="00C533CE">
        <w:t>(IQR: 2.4–</w:t>
      </w:r>
      <w:r w:rsidR="0055564D">
        <w:t xml:space="preserve">6.2 </w:t>
      </w:r>
      <w:r w:rsidR="0055564D" w:rsidRPr="0055564D">
        <w:t>µM</w:t>
      </w:r>
      <w:r w:rsidRPr="00EC13A5">
        <w:t xml:space="preserve">) (Tang </w:t>
      </w:r>
      <w:r w:rsidR="000B7678">
        <w:t>et al. 2</w:t>
      </w:r>
      <w:r w:rsidRPr="00EC13A5">
        <w:t>013)</w:t>
      </w:r>
      <w:r w:rsidR="0055564D">
        <w:t>.</w:t>
      </w:r>
    </w:p>
    <w:p w14:paraId="51E95E45" w14:textId="77777777" w:rsidR="00EC13A5" w:rsidRPr="00EC13A5" w:rsidRDefault="00EC13A5" w:rsidP="00EC13A5"/>
    <w:p w14:paraId="00D26213" w14:textId="40E0004D" w:rsidR="00EC13A5" w:rsidRPr="00EC13A5" w:rsidRDefault="00EC13A5" w:rsidP="00EC13A5">
      <w:r w:rsidRPr="00EC13A5">
        <w:t>The participants in this cohort were referred to the clinic for angiography and so do not reflect the general population</w:t>
      </w:r>
      <w:r w:rsidR="0055564D">
        <w:t xml:space="preserve">. </w:t>
      </w:r>
      <w:r w:rsidRPr="00EC13A5">
        <w:t>For comparison, in the 201</w:t>
      </w:r>
      <w:r w:rsidR="00FD0916">
        <w:t>1</w:t>
      </w:r>
      <w:r w:rsidRPr="00EC13A5">
        <w:t>-</w:t>
      </w:r>
      <w:r w:rsidR="00FD0916">
        <w:t>201</w:t>
      </w:r>
      <w:r w:rsidRPr="00EC13A5">
        <w:t xml:space="preserve">2 Australian Health Survey, the prevalence of self-reported history of heart, stroke and vascular diseases was </w:t>
      </w:r>
      <w:r w:rsidR="00C533CE">
        <w:t>8.8% and 17% in persons aged 55–64 years and 65–</w:t>
      </w:r>
      <w:r w:rsidRPr="00EC13A5">
        <w:t>74 years respectively</w:t>
      </w:r>
      <w:r w:rsidR="0055564D">
        <w:t xml:space="preserve">. </w:t>
      </w:r>
      <w:r w:rsidRPr="00EC13A5">
        <w:t>The prevalence of self-reported diabetes in these age groups (both types of diabetes combined) was 9.5% and 16.6% respectively and total kidney disease had a prevalence of 1.0% and 2% respectively.</w:t>
      </w:r>
      <w:r w:rsidRPr="00EC13A5">
        <w:rPr>
          <w:vertAlign w:val="superscript"/>
        </w:rPr>
        <w:footnoteReference w:id="4"/>
      </w:r>
      <w:r w:rsidRPr="00EC13A5">
        <w:t xml:space="preserve"> </w:t>
      </w:r>
    </w:p>
    <w:p w14:paraId="220920B0" w14:textId="77777777" w:rsidR="00EC13A5" w:rsidRPr="00EC13A5" w:rsidRDefault="00EC13A5" w:rsidP="00EC13A5"/>
    <w:p w14:paraId="5337B2BD" w14:textId="1714BC01" w:rsidR="00EC13A5" w:rsidRPr="00EC13A5" w:rsidRDefault="00EC13A5" w:rsidP="00EC13A5">
      <w:r w:rsidRPr="00EC13A5">
        <w:t xml:space="preserve">The primary paper reporting the 3-year follow-up and incidence of the composite outcome, MACE, (all-cause mortality, non-fatal myocardial infarct or stroke) is Tang </w:t>
      </w:r>
      <w:r w:rsidR="000B7678">
        <w:t>et al. (</w:t>
      </w:r>
      <w:r w:rsidRPr="00EC13A5">
        <w:t>2013)</w:t>
      </w:r>
      <w:r w:rsidR="0055564D">
        <w:t xml:space="preserve">. </w:t>
      </w:r>
      <w:r w:rsidRPr="00EC13A5">
        <w:t>The haza</w:t>
      </w:r>
      <w:r w:rsidR="00C533CE">
        <w:t>rd ratio was 1.43 (95% CI: 1.05–</w:t>
      </w:r>
      <w:r w:rsidRPr="00EC13A5">
        <w:t xml:space="preserve">1.94) for those in the highest versus lowest quartile of plasma TMAO at baseline after adjustment for a range of traditional and other risk factors (see Table </w:t>
      </w:r>
      <w:r w:rsidR="003237DC">
        <w:t>A4.</w:t>
      </w:r>
      <w:r w:rsidRPr="00EC13A5">
        <w:t>1). This was also adjusted for eGFR calculated with the MDRD formula</w:t>
      </w:r>
      <w:r w:rsidR="0055564D">
        <w:t xml:space="preserve">. </w:t>
      </w:r>
      <w:r w:rsidRPr="00EC13A5">
        <w:t xml:space="preserve">This paper also reported that the unadjusted effect was similar when the cohort was divided into groups according to baseline characteristics such as high or low cholesterol concentrations, age group etc. As 42% had a history of MI at baseline, the MACE outcome is presumably contains a mixture of primary and secondary infarctions. </w:t>
      </w:r>
    </w:p>
    <w:p w14:paraId="1AD0E7D9" w14:textId="77777777" w:rsidR="00EC13A5" w:rsidRPr="00EC13A5" w:rsidRDefault="00EC13A5" w:rsidP="00EC13A5"/>
    <w:p w14:paraId="5B5B3045" w14:textId="7DA7E6C5" w:rsidR="00EC13A5" w:rsidRPr="00EC13A5" w:rsidRDefault="00EC13A5" w:rsidP="00EC13A5">
      <w:r w:rsidRPr="00EC13A5">
        <w:t xml:space="preserve">Two earlier papers had reported 3-year incidence of MACE in what appear to be subsets of this population (Table </w:t>
      </w:r>
      <w:r w:rsidR="003237DC">
        <w:t>A4.</w:t>
      </w:r>
      <w:r w:rsidRPr="00EC13A5">
        <w:t>1)</w:t>
      </w:r>
      <w:r w:rsidR="0055564D">
        <w:t xml:space="preserve">. </w:t>
      </w:r>
      <w:r w:rsidRPr="00EC13A5">
        <w:t xml:space="preserve">Wang </w:t>
      </w:r>
      <w:r w:rsidR="000B7678">
        <w:t>et al. (</w:t>
      </w:r>
      <w:r w:rsidRPr="00EC13A5">
        <w:t xml:space="preserve">2011) state that their cohort comprised 1020 subjects from the GeneBank study and 856 from the Biobank study whereas Koeth </w:t>
      </w:r>
      <w:r w:rsidR="000B7678">
        <w:t>et al. (</w:t>
      </w:r>
      <w:r w:rsidRPr="00EC13A5">
        <w:t>2013) state that all 2595 subjects in their ‘independent cohort’ came from the GeneBank Study (in addition to the subjects in their learning and validation cohorts)</w:t>
      </w:r>
      <w:r w:rsidR="0055564D">
        <w:t xml:space="preserve">. </w:t>
      </w:r>
      <w:r w:rsidRPr="00EC13A5">
        <w:t xml:space="preserve">FSANZ notes that the definition of MACE was different in Koeth </w:t>
      </w:r>
      <w:r w:rsidR="000B7678">
        <w:t>et al. (</w:t>
      </w:r>
      <w:r w:rsidRPr="00EC13A5">
        <w:t xml:space="preserve">2013) from the other papers because it also included revascularisations and for clarity FSANZ will refer to this composite outcome as MACER even though Koeth </w:t>
      </w:r>
      <w:r w:rsidR="000B7678">
        <w:t>et al. (</w:t>
      </w:r>
      <w:r w:rsidRPr="00EC13A5">
        <w:t xml:space="preserve">2013) refer to it as MACE. A fourth paper describing 3-year MACE in 3903 subjects was published in 2014 (Tang </w:t>
      </w:r>
      <w:r w:rsidR="000B7678">
        <w:t>et al. 2</w:t>
      </w:r>
      <w:r w:rsidR="00C533CE">
        <w:t>014). The PhD thesis (Koeth</w:t>
      </w:r>
      <w:r w:rsidRPr="00EC13A5">
        <w:t xml:space="preserve"> 2013) contai</w:t>
      </w:r>
      <w:r w:rsidR="00AC3CD6">
        <w:t xml:space="preserve">ns manuscripts of or refers to </w:t>
      </w:r>
      <w:r w:rsidRPr="00EC13A5">
        <w:t xml:space="preserve">Wang </w:t>
      </w:r>
      <w:r w:rsidR="000B7678">
        <w:t>et al. (</w:t>
      </w:r>
      <w:r w:rsidRPr="00EC13A5">
        <w:t xml:space="preserve">2011), Koeth </w:t>
      </w:r>
      <w:r w:rsidR="000B7678">
        <w:t>et al. (</w:t>
      </w:r>
      <w:r w:rsidRPr="00EC13A5">
        <w:t xml:space="preserve">2013) and Tang </w:t>
      </w:r>
      <w:r w:rsidR="000B7678">
        <w:t>et al. (</w:t>
      </w:r>
      <w:r w:rsidRPr="00EC13A5">
        <w:t xml:space="preserve">2013) but does not explain the relationship between the subjects of the three papers or why one paper uses MACER, rather than MACE, as the composite outcome. Therefore FSANZ assumes that the results of Wang </w:t>
      </w:r>
      <w:r w:rsidR="000B7678">
        <w:t>et al. (</w:t>
      </w:r>
      <w:r w:rsidRPr="00EC13A5">
        <w:t xml:space="preserve">2011) and Koeth </w:t>
      </w:r>
      <w:r w:rsidR="000B7678">
        <w:t>et al. (</w:t>
      </w:r>
      <w:r w:rsidRPr="00EC13A5">
        <w:t xml:space="preserve">2013) and Wang </w:t>
      </w:r>
      <w:r w:rsidR="000B7678">
        <w:t>et al. (</w:t>
      </w:r>
      <w:r w:rsidRPr="00EC13A5">
        <w:t xml:space="preserve">2014) are overlapping subsets of the results reported by Tang </w:t>
      </w:r>
      <w:r w:rsidR="000B7678">
        <w:t>et al. (</w:t>
      </w:r>
      <w:r w:rsidRPr="00EC13A5">
        <w:t xml:space="preserve">2013). </w:t>
      </w:r>
    </w:p>
    <w:p w14:paraId="5457A8FF" w14:textId="77777777" w:rsidR="00EC13A5" w:rsidRPr="00EC13A5" w:rsidRDefault="00EC13A5" w:rsidP="00EC13A5"/>
    <w:p w14:paraId="41FB27FC" w14:textId="17186126" w:rsidR="00EC13A5" w:rsidRPr="00EC13A5" w:rsidRDefault="00EC13A5" w:rsidP="008F031E">
      <w:pPr>
        <w:keepNext/>
        <w:keepLines/>
      </w:pPr>
      <w:r w:rsidRPr="00EC13A5">
        <w:t xml:space="preserve">FSANZ was unable to find a paper reporting the 5-year all-cause mortality for the whole cohort of 4007 subjects. However there are several papers which describe 5-year mortality for sub-sets of the cohort (Table </w:t>
      </w:r>
      <w:r w:rsidR="003237DC">
        <w:t>A4.</w:t>
      </w:r>
      <w:r w:rsidRPr="00EC13A5">
        <w:t xml:space="preserve">1) such as the 821 with  peripheral arterial disease at baseline (Senthong </w:t>
      </w:r>
      <w:r w:rsidR="000B7678">
        <w:t>et al. 2</w:t>
      </w:r>
      <w:r w:rsidRPr="00EC13A5">
        <w:t xml:space="preserve">016a) or the 3687 who were classified by the presence or absence of chronic kidney disease at baseline (Tang </w:t>
      </w:r>
      <w:r w:rsidR="000B7678">
        <w:t>et al. 2</w:t>
      </w:r>
      <w:r w:rsidRPr="00EC13A5">
        <w:t>015)</w:t>
      </w:r>
      <w:r w:rsidR="0055564D">
        <w:t xml:space="preserve">. </w:t>
      </w:r>
      <w:r w:rsidRPr="00EC13A5">
        <w:t xml:space="preserve">Table </w:t>
      </w:r>
      <w:r w:rsidR="003237DC">
        <w:t>A4.</w:t>
      </w:r>
      <w:r w:rsidRPr="00EC13A5">
        <w:t>1 shows that the 25</w:t>
      </w:r>
      <w:r w:rsidRPr="00EC13A5">
        <w:rPr>
          <w:vertAlign w:val="superscript"/>
        </w:rPr>
        <w:t>th</w:t>
      </w:r>
      <w:r w:rsidRPr="00EC13A5">
        <w:t xml:space="preserve"> centile of the TMAO distribution in those with kidney disease was the same as the 75</w:t>
      </w:r>
      <w:r w:rsidRPr="00EC13A5">
        <w:rPr>
          <w:vertAlign w:val="superscript"/>
        </w:rPr>
        <w:t>th</w:t>
      </w:r>
      <w:r w:rsidRPr="00EC13A5">
        <w:t xml:space="preserve"> centile in those who did not have the condition (Tang </w:t>
      </w:r>
      <w:r w:rsidR="000B7678">
        <w:t>et al. 2</w:t>
      </w:r>
      <w:r w:rsidRPr="00EC13A5">
        <w:t>015) whereas there was relatively little variation in TMAO distribution for subgroups defined by other diseases</w:t>
      </w:r>
      <w:r w:rsidR="0055564D">
        <w:t xml:space="preserve">. </w:t>
      </w:r>
      <w:r w:rsidRPr="00EC13A5">
        <w:t>In none of the papers describing 5-year mortality does the total number of subjects at baseline sum to 4007 and no explanation is given for this. Comparing numbers across the papers, it seems that some subjects had more than one baseline disease. Consequently this set of papers is a series of sub-group analyses of the same data, with no correction for multiple statistical testing</w:t>
      </w:r>
      <w:r w:rsidR="0055564D">
        <w:t xml:space="preserve">. </w:t>
      </w:r>
    </w:p>
    <w:p w14:paraId="5B39D738" w14:textId="77777777" w:rsidR="00EC13A5" w:rsidRPr="00EC13A5" w:rsidRDefault="00EC13A5" w:rsidP="00EC13A5">
      <w:pPr>
        <w:rPr>
          <w:rFonts w:cs="Arial"/>
        </w:rPr>
      </w:pPr>
    </w:p>
    <w:p w14:paraId="55027607" w14:textId="555FB8B3" w:rsidR="00EC13A5" w:rsidRPr="00EC13A5" w:rsidRDefault="00EC13A5" w:rsidP="00EC13A5">
      <w:r w:rsidRPr="00EC13A5">
        <w:t>In some papers, analyses were done to compare the hazard ratio by quartiles of baseline TMAO</w:t>
      </w:r>
      <w:r w:rsidR="0055564D">
        <w:t xml:space="preserve">. </w:t>
      </w:r>
      <w:r w:rsidRPr="00EC13A5">
        <w:t xml:space="preserve">The quartiles were redefined for each paper using only the sub-set of subjects included in each paper. Adjusted hazard ratios (HR) </w:t>
      </w:r>
      <w:r w:rsidRPr="00EC13A5">
        <w:rPr>
          <w:rFonts w:cs="Arial"/>
          <w:szCs w:val="22"/>
        </w:rPr>
        <w:t xml:space="preserve">were calculated, and adjustment for cardiovascular risk factors invariably moved the HR towards the null (for example, the unadjusted HR for 3-year MACE was </w:t>
      </w:r>
      <w:r w:rsidR="00243464">
        <w:rPr>
          <w:rFonts w:cs="Arial"/>
          <w:szCs w:val="22"/>
          <w:lang w:bidi="ar-SA"/>
        </w:rPr>
        <w:t>2.54 (95% CI: 1.96</w:t>
      </w:r>
      <w:r w:rsidR="00243464">
        <w:rPr>
          <w:rFonts w:cs="Arial"/>
          <w:szCs w:val="22"/>
          <w:lang w:bidi="ar-SA"/>
        </w:rPr>
        <w:softHyphen/>
        <w:t>–</w:t>
      </w:r>
      <w:r w:rsidRPr="00EC13A5">
        <w:rPr>
          <w:rFonts w:cs="Arial"/>
          <w:szCs w:val="22"/>
          <w:lang w:bidi="ar-SA"/>
        </w:rPr>
        <w:t>3.28) whereas the adjusted HR was somewhat lower (</w:t>
      </w:r>
      <w:r w:rsidRPr="00EC13A5">
        <w:rPr>
          <w:rFonts w:cs="Arial"/>
          <w:szCs w:val="22"/>
        </w:rPr>
        <w:t>HR=1.43 (</w:t>
      </w:r>
      <w:r w:rsidR="00243464">
        <w:rPr>
          <w:rFonts w:cs="Arial"/>
          <w:szCs w:val="22"/>
        </w:rPr>
        <w:t xml:space="preserve">95% CI: </w:t>
      </w:r>
      <w:r w:rsidRPr="00EC13A5">
        <w:rPr>
          <w:rFonts w:cs="Arial"/>
          <w:szCs w:val="22"/>
        </w:rPr>
        <w:t xml:space="preserve">1.05–1.94) (Tang </w:t>
      </w:r>
      <w:r w:rsidR="000B7678">
        <w:rPr>
          <w:rFonts w:cs="Arial"/>
          <w:szCs w:val="22"/>
        </w:rPr>
        <w:t>et al. 2</w:t>
      </w:r>
      <w:r w:rsidRPr="00EC13A5">
        <w:rPr>
          <w:rFonts w:cs="Arial"/>
          <w:szCs w:val="22"/>
        </w:rPr>
        <w:t>013). In some papers the effects of TMAO was examined as a sub-group analysis in conjunction with a second factor, such as plasma betaine</w:t>
      </w:r>
      <w:r w:rsidRPr="00EC13A5">
        <w:t>, choline, trimethyllysine (TML) or cystatin C. TMAO and the second factor were divided at their median concentrations to form four groups consisting of high and low concentrations of the two factors</w:t>
      </w:r>
      <w:r w:rsidR="0055564D">
        <w:t xml:space="preserve">. </w:t>
      </w:r>
      <w:r w:rsidRPr="00EC13A5">
        <w:t>Typically the authors conclude that the effect of TMAO on mortality varied by the second factor but it is not clear whether a formal test for interaction has been done to support this statement.</w:t>
      </w:r>
      <w:r w:rsidRPr="00EC13A5">
        <w:rPr>
          <w:highlight w:val="green"/>
        </w:rPr>
        <w:t xml:space="preserve"> </w:t>
      </w:r>
    </w:p>
    <w:p w14:paraId="5A76DFF4" w14:textId="77777777" w:rsidR="00EC13A5" w:rsidRPr="00EC13A5" w:rsidRDefault="00EC13A5" w:rsidP="00EC13A5"/>
    <w:p w14:paraId="1D7A85AF" w14:textId="64CF98E2" w:rsidR="00EC13A5" w:rsidRPr="00EC13A5" w:rsidRDefault="00EC13A5" w:rsidP="00EC13A5">
      <w:r w:rsidRPr="00EC13A5">
        <w:t>Multiple papers describing overlapping sub-groups and outcomes from a single study; the results cannot be treated as independent tests o</w:t>
      </w:r>
      <w:r w:rsidR="00C533CE">
        <w:t>f hypothesis (Higgins and Green</w:t>
      </w:r>
      <w:r w:rsidRPr="00EC13A5">
        <w:t xml:space="preserve"> 2011). The ongoing publication of papers describing results from sub-groups in this cohort does not indicate an increasing degree of certainty in the underlying data</w:t>
      </w:r>
      <w:r w:rsidR="0055564D">
        <w:t xml:space="preserve">. </w:t>
      </w:r>
      <w:r w:rsidRPr="00EC13A5">
        <w:t>There is one 3-</w:t>
      </w:r>
      <w:r w:rsidRPr="00F55298">
        <w:rPr>
          <w:rFonts w:cs="Arial"/>
          <w:szCs w:val="22"/>
        </w:rPr>
        <w:t>year MACE result  (HR=1.43 (95% CI: 1.05–1.94) (Tang</w:t>
      </w:r>
      <w:r w:rsidRPr="00EC13A5">
        <w:t xml:space="preserve"> </w:t>
      </w:r>
      <w:r w:rsidR="000B7678">
        <w:t>et al. 2</w:t>
      </w:r>
      <w:r w:rsidRPr="00EC13A5">
        <w:t xml:space="preserve">013) and one (unpublished) 5-year all-cause mortality result. However, even these two results are not independent because the 5-year MACE includes deaths (but not the other endpoints) in the 3-year MACE result. All other papers describe sub-group analyses. In the absence of the 5-year mortality results for the total cohort, </w:t>
      </w:r>
      <w:r w:rsidRPr="00EC13A5">
        <w:rPr>
          <w:rFonts w:cs="Arial"/>
        </w:rPr>
        <w:t xml:space="preserve">FSANZ views the result for those without chronic kidney disease at baseline (Tang </w:t>
      </w:r>
      <w:r w:rsidR="000B7678">
        <w:rPr>
          <w:rFonts w:cs="Arial"/>
        </w:rPr>
        <w:t>et al. 2</w:t>
      </w:r>
      <w:r w:rsidRPr="00EC13A5">
        <w:rPr>
          <w:rFonts w:cs="Arial"/>
        </w:rPr>
        <w:t xml:space="preserve">015) as the best estimator of the 5-year mortality for the cohort, in that it is based on the largest number of subjects (HR=1.47; </w:t>
      </w:r>
      <w:r w:rsidR="00243464">
        <w:rPr>
          <w:rFonts w:cs="Arial"/>
        </w:rPr>
        <w:t>95% CI:</w:t>
      </w:r>
      <w:r w:rsidRPr="00EC13A5">
        <w:rPr>
          <w:rFonts w:cs="Arial"/>
        </w:rPr>
        <w:t xml:space="preserve"> 1.02–2.12; </w:t>
      </w:r>
      <w:r w:rsidR="00243464">
        <w:rPr>
          <w:rFonts w:cs="Arial"/>
        </w:rPr>
        <w:t xml:space="preserve">p &lt; </w:t>
      </w:r>
      <w:r w:rsidRPr="00EC13A5">
        <w:rPr>
          <w:rFonts w:cs="Arial"/>
        </w:rPr>
        <w:t>0.05 for the highest versus lowest quartile of TMAO at baseline)</w:t>
      </w:r>
      <w:r w:rsidR="0055564D">
        <w:rPr>
          <w:rFonts w:cs="Arial"/>
        </w:rPr>
        <w:t xml:space="preserve">. </w:t>
      </w:r>
      <w:r w:rsidRPr="00EC13A5">
        <w:t xml:space="preserve">Only one of these results can be used when comparing the results of this cohort to results from other studies or in a meta-analysis. </w:t>
      </w:r>
    </w:p>
    <w:p w14:paraId="00674F96" w14:textId="77777777" w:rsidR="00EC13A5" w:rsidRPr="00EC13A5" w:rsidRDefault="00EC13A5" w:rsidP="00EC13A5"/>
    <w:p w14:paraId="1664EC23" w14:textId="3306A257" w:rsidR="00EC13A5" w:rsidRPr="00EC13A5" w:rsidRDefault="00EC13A5" w:rsidP="00EC13A5">
      <w:r w:rsidRPr="00EC13A5">
        <w:t>The Cleveland group propose that TMAO must be an independent risk factor because their analysis have controlled for eGFR and so could not be due to TMAO acting as a surrogate for kidney function</w:t>
      </w:r>
      <w:r w:rsidR="0055564D">
        <w:t xml:space="preserve">. </w:t>
      </w:r>
      <w:r w:rsidRPr="00EC13A5">
        <w:t>However, this is open to challenge</w:t>
      </w:r>
      <w:r w:rsidR="0055564D">
        <w:t xml:space="preserve">. </w:t>
      </w:r>
      <w:r w:rsidRPr="00EC13A5">
        <w:t>In their cohort, renal function was estimated using a formula; it was not measured</w:t>
      </w:r>
      <w:r w:rsidR="0055564D">
        <w:t xml:space="preserve">. </w:t>
      </w:r>
      <w:r w:rsidRPr="00EC13A5">
        <w:t xml:space="preserve">Consequently, the eGFR value assigned to each cohort participant contains error and so there will be some amount of residual confounding related to kidney function that has not been adjusted for in the adjusted HR. However, Kuhn </w:t>
      </w:r>
      <w:r w:rsidR="000B7678">
        <w:t>et al. (</w:t>
      </w:r>
      <w:r w:rsidRPr="00EC13A5">
        <w:t xml:space="preserve">2017) report that the correlation between two measurements of TMAO taken a year apart is 0.29 in healthy people, i.e. there is notable within-person variability. </w:t>
      </w:r>
      <w:r w:rsidR="008F031E">
        <w:t>This means that the adjusted HR</w:t>
      </w:r>
      <w:r w:rsidRPr="00EC13A5">
        <w:t xml:space="preserve"> for TMAO would have been underestimated in the models (Clarke </w:t>
      </w:r>
      <w:r w:rsidR="000B7678">
        <w:t>et al. 1</w:t>
      </w:r>
      <w:r w:rsidRPr="00EC13A5">
        <w:t>999)</w:t>
      </w:r>
      <w:r w:rsidR="0055564D">
        <w:t xml:space="preserve">. </w:t>
      </w:r>
      <w:r w:rsidRPr="00EC13A5">
        <w:t xml:space="preserve">Better measures of kidney function, and trials which examine the effect of changing TMAO would be needed to conclude that TMAO is a modifiable risk factor. </w:t>
      </w:r>
    </w:p>
    <w:p w14:paraId="38C3A880" w14:textId="77777777" w:rsidR="00EC13A5" w:rsidRPr="00EC13A5" w:rsidRDefault="00EC13A5" w:rsidP="00EC13A5"/>
    <w:p w14:paraId="4523F7AB" w14:textId="77777777" w:rsidR="00EC13A5" w:rsidRPr="00EC13A5" w:rsidRDefault="00EC13A5" w:rsidP="00EC13A5">
      <w:pPr>
        <w:rPr>
          <w:u w:val="single"/>
        </w:rPr>
      </w:pPr>
      <w:r w:rsidRPr="00EC13A5">
        <w:rPr>
          <w:u w:val="single"/>
        </w:rPr>
        <w:t>Cohort studies of non-diseased populations</w:t>
      </w:r>
    </w:p>
    <w:p w14:paraId="0FE13DE1" w14:textId="77777777" w:rsidR="00EC13A5" w:rsidRPr="00EC13A5" w:rsidRDefault="00EC13A5" w:rsidP="00EC13A5"/>
    <w:p w14:paraId="4F0FA3A6" w14:textId="5E560499" w:rsidR="00EC13A5" w:rsidRPr="00EC13A5" w:rsidRDefault="00EC13A5" w:rsidP="00EC13A5">
      <w:r w:rsidRPr="00EC13A5">
        <w:t>As noted above, the participants in the Cleveland 4007 Cohort were referred for  investigation and have a higher prevalence of many conditions related to cardiovascular disease than the general population</w:t>
      </w:r>
      <w:r w:rsidR="0055564D">
        <w:t xml:space="preserve">. </w:t>
      </w:r>
      <w:r w:rsidRPr="00EC13A5">
        <w:t xml:space="preserve">Two groups of researchers have stored blood samples from prior randomised controlled trials of nutrients and have unfrozen their samples to examine TMAO concentrations at baseline and incident cancer using a nested case-control design (Table </w:t>
      </w:r>
      <w:r w:rsidR="002B3C9C">
        <w:t>A4.</w:t>
      </w:r>
      <w:r w:rsidRPr="00EC13A5">
        <w:t>2). TMAO concentrations were similar in the Finnish study of men and the American study of post-menopausal women. The 25</w:t>
      </w:r>
      <w:r w:rsidRPr="00EC13A5">
        <w:rPr>
          <w:vertAlign w:val="superscript"/>
        </w:rPr>
        <w:t>th</w:t>
      </w:r>
      <w:r w:rsidRPr="00EC13A5">
        <w:t xml:space="preserve"> and 50</w:t>
      </w:r>
      <w:r w:rsidRPr="00EC13A5">
        <w:rPr>
          <w:vertAlign w:val="superscript"/>
        </w:rPr>
        <w:t>th</w:t>
      </w:r>
      <w:r w:rsidRPr="00EC13A5">
        <w:t xml:space="preserve"> centiles of TMAO concentration were similar to those in the Cleveland 4007 Cohort whereas the 75</w:t>
      </w:r>
      <w:r w:rsidRPr="00EC13A5">
        <w:rPr>
          <w:vertAlign w:val="superscript"/>
        </w:rPr>
        <w:t>th</w:t>
      </w:r>
      <w:r w:rsidRPr="00EC13A5">
        <w:t xml:space="preserve"> centile was slightly lower. Both studies examined the incidence of colorectal cancer and had somewhat different results (Table </w:t>
      </w:r>
      <w:r w:rsidR="002B3C9C">
        <w:t>A4.</w:t>
      </w:r>
      <w:r w:rsidRPr="00EC13A5">
        <w:t>2)</w:t>
      </w:r>
      <w:r w:rsidR="0055564D">
        <w:t xml:space="preserve">. </w:t>
      </w:r>
      <w:r w:rsidRPr="00EC13A5">
        <w:t>The Finnish Study examined the relationship between incident prostate cancer and over 600 different metabolites and only reported the statistically significant results</w:t>
      </w:r>
      <w:r w:rsidR="0055564D">
        <w:t xml:space="preserve">. </w:t>
      </w:r>
      <w:r w:rsidRPr="00EC13A5">
        <w:t>Given the number of statistical tests performed, this is a hypothesis generating study and needs to be investigated by other research groups</w:t>
      </w:r>
      <w:r w:rsidR="0055564D">
        <w:t xml:space="preserve">. </w:t>
      </w:r>
      <w:r w:rsidR="00F55298">
        <w:t xml:space="preserve">(Although Obeid </w:t>
      </w:r>
      <w:r w:rsidR="000B7678">
        <w:t>et al. 2</w:t>
      </w:r>
      <w:r w:rsidR="00F55298">
        <w:t>016</w:t>
      </w:r>
      <w:r w:rsidRPr="00EC13A5">
        <w:t xml:space="preserve"> initially appeared to be comprised of two longitudinal studies, the analyses presented were cross-sectional in examining the associations of TMAO with other metabolites measured concurrently in the same blood samples and so this study was not included)</w:t>
      </w:r>
      <w:r w:rsidR="00F55298">
        <w:t>.</w:t>
      </w:r>
    </w:p>
    <w:p w14:paraId="2605F903" w14:textId="77777777" w:rsidR="00EC13A5" w:rsidRPr="00EC13A5" w:rsidRDefault="00EC13A5" w:rsidP="00EC13A5"/>
    <w:p w14:paraId="4E2EBC89" w14:textId="77777777" w:rsidR="00EC13A5" w:rsidRPr="00EC13A5" w:rsidRDefault="00EC13A5" w:rsidP="00EC13A5">
      <w:pPr>
        <w:rPr>
          <w:u w:val="single"/>
        </w:rPr>
      </w:pPr>
      <w:r w:rsidRPr="00EC13A5">
        <w:rPr>
          <w:u w:val="single"/>
        </w:rPr>
        <w:t>Other patient cohort studies – heart disease</w:t>
      </w:r>
    </w:p>
    <w:p w14:paraId="7203A271" w14:textId="77777777" w:rsidR="00EC13A5" w:rsidRPr="00EC13A5" w:rsidRDefault="00EC13A5" w:rsidP="00EC13A5"/>
    <w:p w14:paraId="107BBE9E" w14:textId="5F66BA7C" w:rsidR="00EC13A5" w:rsidRPr="00EC13A5" w:rsidRDefault="00EC13A5" w:rsidP="00EC13A5">
      <w:r w:rsidRPr="00EC13A5">
        <w:t>Results from a number of other cohorts of patients have been reported</w:t>
      </w:r>
      <w:r w:rsidR="0055564D">
        <w:t xml:space="preserve">. </w:t>
      </w:r>
      <w:r w:rsidRPr="00EC13A5">
        <w:t xml:space="preserve">Table </w:t>
      </w:r>
      <w:r w:rsidR="002B3C9C">
        <w:t>A4.</w:t>
      </w:r>
      <w:r w:rsidRPr="00EC13A5">
        <w:t>3 shows data for cohorts of patients with various types of heart disease and that the TMAO concentrations are somewhat varied</w:t>
      </w:r>
      <w:r w:rsidR="0055564D">
        <w:t xml:space="preserve">. </w:t>
      </w:r>
      <w:r w:rsidRPr="00EC13A5">
        <w:t>For exa</w:t>
      </w:r>
      <w:r w:rsidR="0055564D">
        <w:t xml:space="preserve">mple, 75% of </w:t>
      </w:r>
      <w:r w:rsidR="008F031E">
        <w:t xml:space="preserve">the subjects in </w:t>
      </w:r>
      <w:r w:rsidR="0055564D">
        <w:t>Mueller et al</w:t>
      </w:r>
      <w:r w:rsidR="008F031E">
        <w:t>.</w:t>
      </w:r>
      <w:r w:rsidRPr="00EC13A5">
        <w:t xml:space="preserve"> </w:t>
      </w:r>
      <w:r w:rsidR="00A3396D">
        <w:t xml:space="preserve">(2015) </w:t>
      </w:r>
      <w:r w:rsidRPr="00EC13A5">
        <w:t xml:space="preserve">had TMAO concentrations in the same range as the lowest quartile of </w:t>
      </w:r>
      <w:r w:rsidR="008F031E">
        <w:t xml:space="preserve">subjects in </w:t>
      </w:r>
      <w:r w:rsidRPr="00EC13A5">
        <w:t>Tang et al</w:t>
      </w:r>
      <w:r w:rsidR="008F031E">
        <w:t>.</w:t>
      </w:r>
      <w:r w:rsidRPr="00EC13A5">
        <w:t xml:space="preserve"> (2015)</w:t>
      </w:r>
      <w:r w:rsidR="0055564D">
        <w:t xml:space="preserve">. </w:t>
      </w:r>
    </w:p>
    <w:p w14:paraId="764C66B9" w14:textId="77777777" w:rsidR="00EC13A5" w:rsidRPr="00EC13A5" w:rsidRDefault="00EC13A5" w:rsidP="00EC13A5"/>
    <w:p w14:paraId="6C0DB14E" w14:textId="759BEE8E" w:rsidR="00EC13A5" w:rsidRPr="00EC13A5" w:rsidRDefault="00EC13A5" w:rsidP="00EC13A5">
      <w:pPr>
        <w:rPr>
          <w:szCs w:val="22"/>
        </w:rPr>
      </w:pPr>
      <w:r w:rsidRPr="00EC13A5">
        <w:rPr>
          <w:szCs w:val="22"/>
        </w:rPr>
        <w:t xml:space="preserve">It is also noted that plasma concentrations of trimethylamine-N-oxide are confounded by impaired kidney function and poor metabolic control (Mueller </w:t>
      </w:r>
      <w:r w:rsidR="000B7678">
        <w:rPr>
          <w:szCs w:val="22"/>
        </w:rPr>
        <w:t>et al. 2</w:t>
      </w:r>
      <w:r w:rsidRPr="00EC13A5">
        <w:rPr>
          <w:szCs w:val="22"/>
        </w:rPr>
        <w:t>015). In this study of patients undergoing coronary angiography for the evaluation of suspected coronary artery disease, plasma concentrations of TMAO were higher in patients with diabetes compared to eug</w:t>
      </w:r>
      <w:r w:rsidR="00C62CE4">
        <w:rPr>
          <w:szCs w:val="22"/>
        </w:rPr>
        <w:t>lycemic patients (2.39 vs. 0.98</w:t>
      </w:r>
      <w:r w:rsidRPr="00EC13A5">
        <w:t xml:space="preserve"> </w:t>
      </w:r>
      <w:r w:rsidRPr="00EC13A5">
        <w:rPr>
          <w:szCs w:val="22"/>
        </w:rPr>
        <w:t>µM; p &lt; 0.001) as well as in patients with metabolic syndrome as compared to patients without metabolic syndrome (2.37 vs. 1.43</w:t>
      </w:r>
      <w:r w:rsidRPr="00EC13A5">
        <w:t xml:space="preserve"> </w:t>
      </w:r>
      <w:r w:rsidRPr="00EC13A5">
        <w:rPr>
          <w:szCs w:val="22"/>
        </w:rPr>
        <w:t>µM; p &lt; 0.002). Plasma concentrations of TMAO increased significantly with decreasing renal function (p &lt; 0.001), however, plasma levels of TMAO were associated with neither a history of myocardial infarction nor the presence of coronary heart disease (assessed by angiography), nor incident cardiovascular events during 8 years of follow-up.</w:t>
      </w:r>
    </w:p>
    <w:p w14:paraId="6457DEF7" w14:textId="77777777" w:rsidR="00EC13A5" w:rsidRPr="00EC13A5" w:rsidRDefault="00EC13A5" w:rsidP="00EC13A5">
      <w:pPr>
        <w:rPr>
          <w:rFonts w:cs="Arial"/>
          <w:szCs w:val="22"/>
        </w:rPr>
      </w:pPr>
    </w:p>
    <w:p w14:paraId="1A119DA6" w14:textId="36C5D7DF" w:rsidR="00EC13A5" w:rsidRPr="00EC13A5" w:rsidRDefault="00EC13A5" w:rsidP="00E91BE1">
      <w:pPr>
        <w:widowControl/>
        <w:rPr>
          <w:rFonts w:cs="Arial"/>
          <w:szCs w:val="22"/>
        </w:rPr>
      </w:pPr>
      <w:r w:rsidRPr="00EC13A5">
        <w:rPr>
          <w:rFonts w:cs="Arial"/>
          <w:szCs w:val="22"/>
        </w:rPr>
        <w:t xml:space="preserve">Skagen </w:t>
      </w:r>
      <w:r w:rsidR="000B7678">
        <w:rPr>
          <w:rFonts w:cs="Arial"/>
          <w:szCs w:val="22"/>
        </w:rPr>
        <w:t>et al. (</w:t>
      </w:r>
      <w:r w:rsidRPr="00EC13A5">
        <w:rPr>
          <w:rFonts w:cs="Arial"/>
          <w:szCs w:val="22"/>
        </w:rPr>
        <w:t>2016) measured serum TMAO, L-carnitine, gamma-butyrobetaine, and trimethyllysine (TML) in patients with carotid artery atherosclerosis (n = 264; age 67.6 ± 8.4 y) and in healthy controls (n = 62; age 68.0 ± 5.9 y). Serum levels of L-carnitine (median and range; µM) in the patient and healthy control groups were</w:t>
      </w:r>
      <w:r w:rsidRPr="00EC13A5">
        <w:t xml:space="preserve"> </w:t>
      </w:r>
      <w:r w:rsidRPr="00EC13A5">
        <w:rPr>
          <w:rFonts w:cs="Arial"/>
          <w:szCs w:val="22"/>
        </w:rPr>
        <w:t>42.8 (12.9–69.0) and 40.4 (26.2–51.8). Corresponding values for TMAO were 9.77 (0.4–161.7) and 5.8 (1.3–36.8). Statistically significant increases in serum gamma-butyrobetaine (p = 0.024) and L-carnitine (p = 0.001), but not TMAO (p = 0.77) or TML (p = 0.21), were observed in the patient group. Higher levels of gamma-butyrobetaine and TML, but not TMAO or L-carnitine, were independently associated with cardiovascular death, with and without adjustment for age and renal function.</w:t>
      </w:r>
    </w:p>
    <w:p w14:paraId="30D99CB5" w14:textId="77777777" w:rsidR="00EC13A5" w:rsidRPr="00EC13A5" w:rsidRDefault="00EC13A5" w:rsidP="00EC13A5">
      <w:pPr>
        <w:rPr>
          <w:rFonts w:cs="Arial"/>
          <w:szCs w:val="22"/>
        </w:rPr>
      </w:pPr>
    </w:p>
    <w:p w14:paraId="4C61E404" w14:textId="1733369E" w:rsidR="00EC13A5" w:rsidRPr="00EC13A5" w:rsidRDefault="00EC13A5" w:rsidP="00EC13A5">
      <w:pPr>
        <w:rPr>
          <w:rFonts w:cs="Arial"/>
          <w:szCs w:val="22"/>
        </w:rPr>
      </w:pPr>
      <w:r w:rsidRPr="00EC13A5">
        <w:t xml:space="preserve">Most studies in Table </w:t>
      </w:r>
      <w:r w:rsidR="002B3C9C">
        <w:t>A4.</w:t>
      </w:r>
      <w:r w:rsidRPr="00EC13A5">
        <w:t>3 report an increase in their outcome of less than 2-fold for the highest versus lowest TMAO group, although some authors report no association</w:t>
      </w:r>
      <w:r w:rsidR="0055564D">
        <w:t xml:space="preserve">. </w:t>
      </w:r>
      <w:r w:rsidRPr="00EC13A5">
        <w:t>While most studies calculate the HR for the highest versus lowest quartile, there is no obvious increase in HR as the difference in TMAO concentration increases between these two groups which might be expected if a dose-response relationship existed</w:t>
      </w:r>
      <w:r w:rsidR="0055564D">
        <w:t xml:space="preserve">. </w:t>
      </w:r>
      <w:r w:rsidRPr="00EC13A5">
        <w:t>However it is possible that there are too many other differences between the cohorts to allow a dose-response to be seen via an inter-cohort comparison, even if a dose-response truly exists</w:t>
      </w:r>
      <w:r w:rsidR="0055564D">
        <w:t>.</w:t>
      </w:r>
    </w:p>
    <w:p w14:paraId="62753B4D" w14:textId="77777777" w:rsidR="00EC13A5" w:rsidRPr="00EC13A5" w:rsidRDefault="00EC13A5" w:rsidP="0055564D">
      <w:pPr>
        <w:keepNext/>
        <w:keepLines/>
        <w:rPr>
          <w:u w:val="single"/>
        </w:rPr>
      </w:pPr>
      <w:r w:rsidRPr="00EC13A5">
        <w:rPr>
          <w:u w:val="single"/>
        </w:rPr>
        <w:t>Other patient cohort studies – chronic renal failure</w:t>
      </w:r>
    </w:p>
    <w:p w14:paraId="4670EE9C" w14:textId="77777777" w:rsidR="00EC13A5" w:rsidRPr="00EC13A5" w:rsidRDefault="00EC13A5" w:rsidP="0055564D">
      <w:pPr>
        <w:keepNext/>
        <w:keepLines/>
      </w:pPr>
    </w:p>
    <w:p w14:paraId="757EB740" w14:textId="7DBE1907" w:rsidR="00EC13A5" w:rsidRPr="00EC13A5" w:rsidRDefault="00EC13A5" w:rsidP="0055564D">
      <w:pPr>
        <w:keepNext/>
        <w:keepLines/>
      </w:pPr>
      <w:r w:rsidRPr="00EC13A5">
        <w:t xml:space="preserve">There have been several cohorts of patients with chronic kidney disease (Kaysen </w:t>
      </w:r>
      <w:r w:rsidR="000B7678">
        <w:t>et al. 2</w:t>
      </w:r>
      <w:r w:rsidRPr="00EC13A5">
        <w:t xml:space="preserve">015; Robinson-Cohen </w:t>
      </w:r>
      <w:r w:rsidR="000B7678">
        <w:t>et al. 2</w:t>
      </w:r>
      <w:r w:rsidRPr="00EC13A5">
        <w:t xml:space="preserve">016; Kim </w:t>
      </w:r>
      <w:r w:rsidR="000B7678">
        <w:t>et al. 2</w:t>
      </w:r>
      <w:r w:rsidRPr="00EC13A5">
        <w:t xml:space="preserve">016; Missaialdis </w:t>
      </w:r>
      <w:r w:rsidR="000B7678">
        <w:t>et al. 2</w:t>
      </w:r>
      <w:r w:rsidRPr="00EC13A5">
        <w:t xml:space="preserve">016; Poesen </w:t>
      </w:r>
      <w:r w:rsidR="000B7678">
        <w:t>et al. 2</w:t>
      </w:r>
      <w:r w:rsidRPr="00EC13A5">
        <w:t>016) an</w:t>
      </w:r>
      <w:r w:rsidR="007941B9">
        <w:t>d one uncontrolled trial using L</w:t>
      </w:r>
      <w:r w:rsidRPr="00EC13A5">
        <w:t xml:space="preserve">-carnitine (Fukami </w:t>
      </w:r>
      <w:r w:rsidR="000B7678">
        <w:t>et al. 2</w:t>
      </w:r>
      <w:r w:rsidRPr="00EC13A5">
        <w:t>015)</w:t>
      </w:r>
      <w:r w:rsidR="0055564D">
        <w:t xml:space="preserve">. </w:t>
      </w:r>
      <w:r w:rsidRPr="00EC13A5">
        <w:t>Patients with Stage 3-5 renal disease are typically on protein-restricted diets but have higher (e.g. 10-fold) concentrations of TMAO than healthy people</w:t>
      </w:r>
      <w:r w:rsidR="0055564D">
        <w:t xml:space="preserve">. </w:t>
      </w:r>
      <w:r w:rsidRPr="00EC13A5">
        <w:t xml:space="preserve">Following transplantation, TMAO concentrations decline despite liberalisation of the protein content of the diet. As people with renal failure do not excrete TMAO efficiently (Robinson-Cohen </w:t>
      </w:r>
      <w:r w:rsidR="000B7678">
        <w:t>et al. 2</w:t>
      </w:r>
      <w:r w:rsidRPr="00EC13A5">
        <w:t>016), any associations between mortality and TMAO found in these studies do not resolve the question of whether TMAO is acting as a marker for declining renal function or has an independent action</w:t>
      </w:r>
      <w:r w:rsidR="0055564D">
        <w:t xml:space="preserve">. </w:t>
      </w:r>
      <w:r w:rsidRPr="00EC13A5">
        <w:t xml:space="preserve">In addition, Fukami </w:t>
      </w:r>
      <w:r w:rsidR="000B7678">
        <w:t>et al. (</w:t>
      </w:r>
      <w:r w:rsidRPr="00EC13A5">
        <w:t>2015) found a decrease in blood pressure and some relevant markers following supplementation with 900</w:t>
      </w:r>
      <w:r w:rsidR="00243464">
        <w:t xml:space="preserve"> </w:t>
      </w:r>
      <w:r w:rsidRPr="00EC13A5">
        <w:t xml:space="preserve">mg/day L-carnitine and a large increase in TMAO concentration which further raises questions about the exact role of TMAO. </w:t>
      </w:r>
    </w:p>
    <w:p w14:paraId="194917A0" w14:textId="77777777" w:rsidR="00EC13A5" w:rsidRPr="00EC13A5" w:rsidRDefault="00EC13A5" w:rsidP="00EC13A5"/>
    <w:p w14:paraId="241C14E4" w14:textId="5C95636F" w:rsidR="00EC13A5" w:rsidRPr="00EC13A5" w:rsidRDefault="00EC13A5" w:rsidP="00EC13A5">
      <w:pPr>
        <w:rPr>
          <w:rFonts w:cs="Arial"/>
          <w:szCs w:val="22"/>
        </w:rPr>
      </w:pPr>
      <w:r w:rsidRPr="00EC13A5">
        <w:rPr>
          <w:rFonts w:cs="Arial"/>
          <w:szCs w:val="22"/>
        </w:rPr>
        <w:t>In an observational study, TMAO was measured in the serum of 235 patients receiving haemodialysis and in pooled serum from healthy controls. Serum TMAO concentrations (median 43</w:t>
      </w:r>
      <w:r w:rsidRPr="00EC13A5">
        <w:t> </w:t>
      </w:r>
      <w:r w:rsidRPr="00EC13A5">
        <w:rPr>
          <w:rFonts w:cs="Arial"/>
          <w:szCs w:val="22"/>
        </w:rPr>
        <w:t>μM, interquartile range 28–67 μM) were markedly higher compared to subjects with normal or near normal kidney funct</w:t>
      </w:r>
      <w:r w:rsidR="006C3FF4">
        <w:rPr>
          <w:rFonts w:cs="Arial"/>
          <w:szCs w:val="22"/>
        </w:rPr>
        <w:t xml:space="preserve">ion (1.41 ± 0.49 μM). </w:t>
      </w:r>
      <w:r w:rsidRPr="00EC13A5">
        <w:rPr>
          <w:rFonts w:cs="Arial"/>
          <w:szCs w:val="22"/>
        </w:rPr>
        <w:t xml:space="preserve">TMAO </w:t>
      </w:r>
      <w:r w:rsidR="00811A8E" w:rsidRPr="00EC13A5">
        <w:rPr>
          <w:rFonts w:cs="Arial"/>
          <w:szCs w:val="22"/>
        </w:rPr>
        <w:t xml:space="preserve">serum concentrations </w:t>
      </w:r>
      <w:r w:rsidRPr="00EC13A5">
        <w:rPr>
          <w:rFonts w:cs="Arial"/>
          <w:szCs w:val="22"/>
        </w:rPr>
        <w:t xml:space="preserve">were not significantly associated with time to death (hazard ratio 0.84, 95% CI 0.65–1.09, p = 0.19) or time to cardiovascular hospitalization or cardiovascular death (HR=0.88, 95% CI 0.57–1.35, p = 0.55) (Kaysen </w:t>
      </w:r>
      <w:r w:rsidR="000B7678">
        <w:rPr>
          <w:rFonts w:cs="Arial"/>
          <w:szCs w:val="22"/>
        </w:rPr>
        <w:t>et al. 2</w:t>
      </w:r>
      <w:r w:rsidRPr="00EC13A5">
        <w:rPr>
          <w:rFonts w:cs="Arial"/>
          <w:szCs w:val="22"/>
        </w:rPr>
        <w:t>015).</w:t>
      </w:r>
    </w:p>
    <w:p w14:paraId="645A3868" w14:textId="77777777" w:rsidR="00EC13A5" w:rsidRPr="00EC13A5" w:rsidRDefault="00EC13A5" w:rsidP="00EC13A5">
      <w:pPr>
        <w:rPr>
          <w:rFonts w:cs="Arial"/>
          <w:szCs w:val="22"/>
        </w:rPr>
      </w:pPr>
    </w:p>
    <w:p w14:paraId="7432D5DB" w14:textId="2E8CF8AE" w:rsidR="00EC13A5" w:rsidRPr="00EC13A5" w:rsidRDefault="00EC13A5" w:rsidP="00EC13A5">
      <w:pPr>
        <w:rPr>
          <w:rFonts w:cs="Arial"/>
          <w:szCs w:val="22"/>
        </w:rPr>
      </w:pPr>
      <w:r w:rsidRPr="00EC13A5">
        <w:rPr>
          <w:rFonts w:cs="Arial"/>
          <w:szCs w:val="22"/>
        </w:rPr>
        <w:t>In a study of 339 patients with moderate-to-severe chronic kidney disease, it was shown that a specific FMO3 genotype was associated with increased plasma TMAO concentrations, kidney function decline, and all cause-mortality. Median plasma concentrations of TMAO for the nine FMO3 variants studied ranged from 0.97 to 2.05 µg/mL (13–27 µM). However, plasma TMAO itself was not associated with adverse outcomes after adjustment for potential confounders</w:t>
      </w:r>
      <w:r w:rsidRPr="00EC13A5">
        <w:t xml:space="preserve"> (</w:t>
      </w:r>
      <w:r w:rsidRPr="00EC13A5">
        <w:rPr>
          <w:rFonts w:cs="Arial"/>
          <w:szCs w:val="22"/>
        </w:rPr>
        <w:t xml:space="preserve">age, sex, race, renal function, and plasma choline concentration) (Robinson-Cohen </w:t>
      </w:r>
      <w:r w:rsidR="000B7678">
        <w:rPr>
          <w:rFonts w:cs="Arial"/>
          <w:szCs w:val="22"/>
        </w:rPr>
        <w:t>et al. 2</w:t>
      </w:r>
      <w:r w:rsidRPr="00EC13A5">
        <w:rPr>
          <w:rFonts w:cs="Arial"/>
          <w:szCs w:val="22"/>
        </w:rPr>
        <w:t>016).</w:t>
      </w:r>
    </w:p>
    <w:p w14:paraId="5D4317DC" w14:textId="77777777" w:rsidR="00EC13A5" w:rsidRPr="00EC13A5" w:rsidRDefault="00EC13A5" w:rsidP="00EC13A5">
      <w:pPr>
        <w:rPr>
          <w:rFonts w:cs="Arial"/>
          <w:szCs w:val="22"/>
        </w:rPr>
      </w:pPr>
    </w:p>
    <w:p w14:paraId="71F742F0" w14:textId="65198D0F" w:rsidR="00EC13A5" w:rsidRPr="00EC13A5" w:rsidRDefault="00EC13A5" w:rsidP="00EC13A5">
      <w:pPr>
        <w:rPr>
          <w:rFonts w:cs="Arial"/>
          <w:szCs w:val="22"/>
        </w:rPr>
      </w:pPr>
      <w:r w:rsidRPr="00EC13A5">
        <w:rPr>
          <w:rFonts w:cs="Arial"/>
          <w:szCs w:val="22"/>
        </w:rPr>
        <w:t xml:space="preserve">In an intervention study, 31 patients on haemodialysis with evident carnitine deficiency were treated with oral L-carnitine (900 mg/day) for 6 months. At baseline and after treatment, clinical variables including plasma L-carnitine, TMAO, and several biochemical markers of vascular injury and oxidative stress [malondialdehyde (MDA), and soluble forms of intracellular adhesion molecule-1 (sICAM-1), and vascular cell adhesion molecule-1 (sVCAM-1)] were measured. Serum L-carnitine and TMAO concentrations at baseline (mean ± SD) were 25.2 ± 4.7 µM and 223 ± 112 µM, respectively. Corresponding values after 6 months of oral L-carnitine were 164 ± 47 and 548 ± 206 µM (i.e. increases of 6.5x and 2.5x, respectively; p &lt; 0.001). (This mean concentration of TMAO greatly exceeds that reported in any other study reviewed here) Oral L-carnitine decreased markers of vascular injury and oxidative stress: sICAM-1 (p = 0.016), sVCAM-1 (p = 0.015), and MDA (p &lt; 0.001). Systolic blood pressure decreased after 6 months supplementation from 151.0 ± 17.3 to 141.5 ± 16.1 mmHg (p = 0.006). Mean body mass index was unchanged (Fukami </w:t>
      </w:r>
      <w:r w:rsidR="000B7678">
        <w:rPr>
          <w:rFonts w:cs="Arial"/>
          <w:szCs w:val="22"/>
        </w:rPr>
        <w:t>et al. 2</w:t>
      </w:r>
      <w:r w:rsidRPr="00EC13A5">
        <w:rPr>
          <w:rFonts w:cs="Arial"/>
          <w:szCs w:val="22"/>
        </w:rPr>
        <w:t>015).</w:t>
      </w:r>
    </w:p>
    <w:p w14:paraId="35CFE03B" w14:textId="77777777" w:rsidR="00EC13A5" w:rsidRPr="00EC13A5" w:rsidRDefault="00EC13A5" w:rsidP="00EC13A5"/>
    <w:p w14:paraId="03F4EF2C" w14:textId="77777777" w:rsidR="00EC13A5" w:rsidRPr="00EC13A5" w:rsidRDefault="00EC13A5" w:rsidP="00EC13A5">
      <w:pPr>
        <w:rPr>
          <w:u w:val="single"/>
        </w:rPr>
      </w:pPr>
      <w:r w:rsidRPr="00EC13A5">
        <w:rPr>
          <w:u w:val="single"/>
        </w:rPr>
        <w:t>Systematic reviews</w:t>
      </w:r>
    </w:p>
    <w:p w14:paraId="668827E7" w14:textId="77777777" w:rsidR="00EC13A5" w:rsidRPr="00EC13A5" w:rsidRDefault="00EC13A5" w:rsidP="00EC13A5"/>
    <w:p w14:paraId="106FAD3E" w14:textId="42E24073" w:rsidR="00EC13A5" w:rsidRPr="00EC13A5" w:rsidRDefault="00EC13A5" w:rsidP="00EC13A5">
      <w:r w:rsidRPr="00EC13A5">
        <w:t xml:space="preserve">Two systematic reviews were found which examined the association between TMAO and MACE (Heianza </w:t>
      </w:r>
      <w:r w:rsidR="000B7678">
        <w:t>et al. 2</w:t>
      </w:r>
      <w:r w:rsidRPr="00EC13A5">
        <w:t xml:space="preserve">017; Schiattarella </w:t>
      </w:r>
      <w:r w:rsidR="000B7678">
        <w:t>et al. 2</w:t>
      </w:r>
      <w:r w:rsidRPr="00EC13A5">
        <w:t xml:space="preserve">017) and all-cause mortality (Schiattarella </w:t>
      </w:r>
      <w:r w:rsidR="000B7678">
        <w:t>et al. 2</w:t>
      </w:r>
      <w:r w:rsidRPr="00EC13A5">
        <w:t>017) in the cohort studies described above</w:t>
      </w:r>
      <w:r w:rsidR="0055564D">
        <w:t xml:space="preserve">. </w:t>
      </w:r>
      <w:r w:rsidRPr="00EC13A5">
        <w:t>Both reviews failed to recognise the non-independent nature of the multiple reports from the Cleveland 4007 Cohort and entered several results from this study as independent data points</w:t>
      </w:r>
      <w:r w:rsidR="0055564D">
        <w:t xml:space="preserve">. </w:t>
      </w:r>
      <w:r w:rsidRPr="00EC13A5">
        <w:t xml:space="preserve">Both found statistically significant associations. However these findings do not address the fundamental question of whether or not TMAO is an independent modifiable risk factor which can be intervened on or is a surrogate marker for some other factor such as renal function and might therefore be useful in clinical triaging. </w:t>
      </w:r>
    </w:p>
    <w:p w14:paraId="4AC9E346" w14:textId="77777777" w:rsidR="00EC13A5" w:rsidRPr="00EC13A5" w:rsidRDefault="00EC13A5" w:rsidP="00EC13A5"/>
    <w:p w14:paraId="0414F815" w14:textId="77777777" w:rsidR="008F57BC" w:rsidRDefault="008F57BC" w:rsidP="00EC13A5">
      <w:pPr>
        <w:rPr>
          <w:b/>
        </w:rPr>
        <w:sectPr w:rsidR="008F57BC" w:rsidSect="003D354D">
          <w:headerReference w:type="default" r:id="rId145"/>
          <w:footerReference w:type="even" r:id="rId146"/>
          <w:headerReference w:type="first" r:id="rId147"/>
          <w:pgSz w:w="11906" w:h="16838"/>
          <w:pgMar w:top="1440" w:right="1440" w:bottom="1440" w:left="1440" w:header="709" w:footer="709" w:gutter="0"/>
          <w:cols w:space="708"/>
          <w:docGrid w:linePitch="360"/>
        </w:sectPr>
      </w:pPr>
    </w:p>
    <w:p w14:paraId="3E20BE76" w14:textId="1E62D04A" w:rsidR="00EC13A5" w:rsidRDefault="00EC13A5" w:rsidP="00EC13A5">
      <w:pPr>
        <w:rPr>
          <w:b/>
        </w:rPr>
      </w:pPr>
      <w:r w:rsidRPr="0055564D">
        <w:rPr>
          <w:b/>
        </w:rPr>
        <w:t xml:space="preserve">Table </w:t>
      </w:r>
      <w:r w:rsidR="003237DC">
        <w:rPr>
          <w:b/>
        </w:rPr>
        <w:t>A4.</w:t>
      </w:r>
      <w:r w:rsidRPr="0055564D">
        <w:rPr>
          <w:b/>
        </w:rPr>
        <w:t>1</w:t>
      </w:r>
      <w:r w:rsidR="003237DC">
        <w:rPr>
          <w:b/>
        </w:rPr>
        <w:t>:</w:t>
      </w:r>
      <w:r w:rsidRPr="0055564D">
        <w:rPr>
          <w:b/>
        </w:rPr>
        <w:t xml:space="preserve"> Papers describing mortality and cardiovascular events at 3 and 5 years of follow-up in the Cleveland Clinical Outcomes Cohort </w:t>
      </w:r>
      <w:r w:rsidR="00DB0260">
        <w:rPr>
          <w:b/>
        </w:rPr>
        <w:t>(</w:t>
      </w:r>
      <w:r w:rsidRPr="0055564D">
        <w:rPr>
          <w:b/>
        </w:rPr>
        <w:t>n=4007)</w:t>
      </w:r>
    </w:p>
    <w:p w14:paraId="2FD08783" w14:textId="77777777" w:rsidR="0055564D" w:rsidRPr="0055564D" w:rsidRDefault="0055564D" w:rsidP="00EC13A5">
      <w:pPr>
        <w:rPr>
          <w:b/>
        </w:rPr>
      </w:pPr>
    </w:p>
    <w:tbl>
      <w:tblPr>
        <w:tblStyle w:val="TableGrid5"/>
        <w:tblW w:w="0" w:type="auto"/>
        <w:tblLook w:val="04A0" w:firstRow="1" w:lastRow="0" w:firstColumn="1" w:lastColumn="0" w:noHBand="0" w:noVBand="1"/>
        <w:tblCaption w:val="Papers describing mortality and cardiovascular events at 3 and 5 years of follow-up in the Cleveland Clinical Outcomes Cohort"/>
        <w:tblDescription w:val="Papers describing mortality and cardiovascular events at 3 and 5 years of follow-up in the Cleveland Clinical Outcomes Cohort"/>
      </w:tblPr>
      <w:tblGrid>
        <w:gridCol w:w="1510"/>
        <w:gridCol w:w="3057"/>
        <w:gridCol w:w="1374"/>
        <w:gridCol w:w="1197"/>
        <w:gridCol w:w="1316"/>
        <w:gridCol w:w="2071"/>
        <w:gridCol w:w="3467"/>
      </w:tblGrid>
      <w:tr w:rsidR="00EC13A5" w:rsidRPr="0055564D" w14:paraId="6175CC42" w14:textId="77777777" w:rsidTr="00DB0260">
        <w:trPr>
          <w:cantSplit/>
          <w:tblHeader/>
        </w:trPr>
        <w:tc>
          <w:tcPr>
            <w:tcW w:w="0" w:type="auto"/>
          </w:tcPr>
          <w:p w14:paraId="09377A08" w14:textId="77777777" w:rsidR="00EC13A5" w:rsidRPr="00611B76" w:rsidRDefault="00EC13A5" w:rsidP="0055564D">
            <w:pPr>
              <w:spacing w:before="40" w:after="40"/>
              <w:rPr>
                <w:rFonts w:cs="Arial"/>
                <w:b/>
                <w:sz w:val="20"/>
                <w:szCs w:val="20"/>
              </w:rPr>
            </w:pPr>
            <w:r w:rsidRPr="00611B76">
              <w:rPr>
                <w:rFonts w:cs="Arial"/>
                <w:b/>
                <w:sz w:val="20"/>
                <w:szCs w:val="20"/>
              </w:rPr>
              <w:t>First author, year</w:t>
            </w:r>
          </w:p>
        </w:tc>
        <w:tc>
          <w:tcPr>
            <w:tcW w:w="0" w:type="auto"/>
          </w:tcPr>
          <w:p w14:paraId="30512B1F" w14:textId="77777777" w:rsidR="00EC13A5" w:rsidRPr="00611B76" w:rsidRDefault="00EC13A5" w:rsidP="0055564D">
            <w:pPr>
              <w:spacing w:before="40" w:after="40"/>
              <w:rPr>
                <w:rFonts w:cs="Arial"/>
                <w:b/>
                <w:sz w:val="20"/>
                <w:szCs w:val="20"/>
              </w:rPr>
            </w:pPr>
            <w:r w:rsidRPr="00611B76">
              <w:rPr>
                <w:rFonts w:cs="Arial"/>
                <w:b/>
                <w:sz w:val="20"/>
                <w:szCs w:val="20"/>
              </w:rPr>
              <w:t>Group or sub-group analysed</w:t>
            </w:r>
          </w:p>
        </w:tc>
        <w:tc>
          <w:tcPr>
            <w:tcW w:w="0" w:type="auto"/>
          </w:tcPr>
          <w:p w14:paraId="34F0102A" w14:textId="77777777" w:rsidR="00EC13A5" w:rsidRPr="00611B76" w:rsidRDefault="00EC13A5" w:rsidP="0055564D">
            <w:pPr>
              <w:spacing w:before="40" w:after="40"/>
              <w:rPr>
                <w:rFonts w:cs="Arial"/>
                <w:b/>
                <w:sz w:val="20"/>
                <w:szCs w:val="20"/>
              </w:rPr>
            </w:pPr>
            <w:r w:rsidRPr="00611B76">
              <w:rPr>
                <w:rFonts w:cs="Arial"/>
                <w:b/>
                <w:sz w:val="20"/>
                <w:szCs w:val="20"/>
              </w:rPr>
              <w:t>Baseline N</w:t>
            </w:r>
          </w:p>
        </w:tc>
        <w:tc>
          <w:tcPr>
            <w:tcW w:w="0" w:type="auto"/>
          </w:tcPr>
          <w:p w14:paraId="78A8F52B" w14:textId="77777777" w:rsidR="00EC13A5" w:rsidRPr="00611B76" w:rsidRDefault="00EC13A5" w:rsidP="0055564D">
            <w:pPr>
              <w:spacing w:before="40" w:after="40"/>
              <w:rPr>
                <w:rFonts w:cs="Arial"/>
                <w:b/>
                <w:sz w:val="20"/>
                <w:szCs w:val="20"/>
              </w:rPr>
            </w:pPr>
            <w:r w:rsidRPr="00611B76">
              <w:rPr>
                <w:rFonts w:cs="Arial"/>
                <w:b/>
                <w:sz w:val="20"/>
                <w:szCs w:val="20"/>
              </w:rPr>
              <w:t xml:space="preserve">Follow-up duration </w:t>
            </w:r>
          </w:p>
        </w:tc>
        <w:tc>
          <w:tcPr>
            <w:tcW w:w="0" w:type="auto"/>
          </w:tcPr>
          <w:p w14:paraId="04D271A1" w14:textId="77777777" w:rsidR="00EC13A5" w:rsidRPr="00611B76" w:rsidRDefault="00EC13A5" w:rsidP="0055564D">
            <w:pPr>
              <w:spacing w:before="40" w:after="40"/>
              <w:rPr>
                <w:rFonts w:cs="Arial"/>
                <w:b/>
                <w:sz w:val="20"/>
                <w:szCs w:val="20"/>
              </w:rPr>
            </w:pPr>
            <w:r w:rsidRPr="00611B76">
              <w:rPr>
                <w:rFonts w:cs="Arial"/>
                <w:b/>
                <w:sz w:val="20"/>
                <w:szCs w:val="20"/>
              </w:rPr>
              <w:t>Outcome (N events)</w:t>
            </w:r>
          </w:p>
        </w:tc>
        <w:tc>
          <w:tcPr>
            <w:tcW w:w="0" w:type="auto"/>
          </w:tcPr>
          <w:p w14:paraId="185DDC79" w14:textId="08C787D3" w:rsidR="00EC13A5" w:rsidRPr="00611B76" w:rsidRDefault="00EC13A5" w:rsidP="0055564D">
            <w:pPr>
              <w:spacing w:before="40" w:after="40"/>
              <w:rPr>
                <w:rFonts w:cs="Arial"/>
                <w:b/>
                <w:sz w:val="20"/>
                <w:szCs w:val="20"/>
              </w:rPr>
            </w:pPr>
            <w:r w:rsidRPr="00611B76">
              <w:rPr>
                <w:rFonts w:cs="Arial"/>
                <w:b/>
                <w:sz w:val="20"/>
                <w:szCs w:val="20"/>
              </w:rPr>
              <w:t>Plasma TMAO c</w:t>
            </w:r>
            <w:r w:rsidR="0055564D" w:rsidRPr="00611B76">
              <w:rPr>
                <w:rFonts w:cs="Arial"/>
                <w:b/>
                <w:sz w:val="20"/>
                <w:szCs w:val="20"/>
              </w:rPr>
              <w:t>oncentration (percentile: µM</w:t>
            </w:r>
            <w:r w:rsidRPr="00611B76">
              <w:rPr>
                <w:rFonts w:cs="Arial"/>
                <w:b/>
                <w:sz w:val="20"/>
                <w:szCs w:val="20"/>
              </w:rPr>
              <w:t>)</w:t>
            </w:r>
          </w:p>
        </w:tc>
        <w:tc>
          <w:tcPr>
            <w:tcW w:w="0" w:type="auto"/>
          </w:tcPr>
          <w:p w14:paraId="63DFBD29" w14:textId="77777777" w:rsidR="00EC13A5" w:rsidRPr="00611B76" w:rsidRDefault="00EC13A5" w:rsidP="0055564D">
            <w:pPr>
              <w:spacing w:before="40" w:after="40"/>
              <w:rPr>
                <w:rFonts w:cs="Arial"/>
                <w:b/>
                <w:sz w:val="20"/>
                <w:szCs w:val="20"/>
              </w:rPr>
            </w:pPr>
            <w:r w:rsidRPr="00611B76">
              <w:rPr>
                <w:rFonts w:cs="Arial"/>
                <w:b/>
                <w:sz w:val="20"/>
                <w:szCs w:val="20"/>
              </w:rPr>
              <w:t>Results</w:t>
            </w:r>
          </w:p>
          <w:p w14:paraId="1968B85F" w14:textId="297E9373" w:rsidR="00EC13A5" w:rsidRPr="00611B76" w:rsidRDefault="00611B76" w:rsidP="0055564D">
            <w:pPr>
              <w:spacing w:before="40" w:after="40"/>
              <w:rPr>
                <w:rFonts w:cs="Arial"/>
                <w:b/>
                <w:sz w:val="20"/>
                <w:szCs w:val="20"/>
              </w:rPr>
            </w:pPr>
            <w:r w:rsidRPr="00611B76">
              <w:rPr>
                <w:rFonts w:cs="Arial"/>
                <w:b/>
                <w:sz w:val="20"/>
                <w:szCs w:val="20"/>
              </w:rPr>
              <w:t>(</w:t>
            </w:r>
            <w:r w:rsidR="00EC13A5" w:rsidRPr="00611B76">
              <w:rPr>
                <w:rFonts w:cs="Arial"/>
                <w:b/>
                <w:sz w:val="20"/>
                <w:szCs w:val="20"/>
              </w:rPr>
              <w:t>The most adjusted hazard ratio (95% CI) for the highest vs lowest quartile of TMAO unless otherwise noted</w:t>
            </w:r>
            <w:r w:rsidRPr="00611B76">
              <w:rPr>
                <w:rFonts w:cs="Arial"/>
                <w:b/>
                <w:sz w:val="20"/>
                <w:szCs w:val="20"/>
              </w:rPr>
              <w:t>)</w:t>
            </w:r>
            <w:r w:rsidR="00EC13A5" w:rsidRPr="00611B76">
              <w:rPr>
                <w:rFonts w:cs="Arial"/>
                <w:b/>
                <w:sz w:val="20"/>
                <w:szCs w:val="20"/>
              </w:rPr>
              <w:t xml:space="preserve"> </w:t>
            </w:r>
          </w:p>
        </w:tc>
      </w:tr>
      <w:tr w:rsidR="00EC13A5" w:rsidRPr="0055564D" w14:paraId="0E191958" w14:textId="77777777" w:rsidTr="00DB0260">
        <w:trPr>
          <w:cantSplit/>
        </w:trPr>
        <w:tc>
          <w:tcPr>
            <w:tcW w:w="0" w:type="auto"/>
          </w:tcPr>
          <w:p w14:paraId="7F29DF35" w14:textId="77777777" w:rsidR="00EC13A5" w:rsidRPr="0055564D" w:rsidRDefault="00EC13A5" w:rsidP="0055564D">
            <w:pPr>
              <w:spacing w:before="40" w:after="40"/>
              <w:rPr>
                <w:rFonts w:cs="Arial"/>
                <w:sz w:val="20"/>
                <w:szCs w:val="20"/>
              </w:rPr>
            </w:pPr>
            <w:r w:rsidRPr="0055564D">
              <w:rPr>
                <w:rFonts w:cs="Arial"/>
                <w:sz w:val="20"/>
                <w:szCs w:val="20"/>
              </w:rPr>
              <w:t>Tang 2013</w:t>
            </w:r>
          </w:p>
        </w:tc>
        <w:tc>
          <w:tcPr>
            <w:tcW w:w="0" w:type="auto"/>
          </w:tcPr>
          <w:p w14:paraId="0464EF4A" w14:textId="77777777" w:rsidR="00EC13A5" w:rsidRPr="0055564D" w:rsidRDefault="00EC13A5" w:rsidP="0055564D">
            <w:pPr>
              <w:spacing w:before="40" w:after="40"/>
              <w:rPr>
                <w:rFonts w:cs="Arial"/>
                <w:sz w:val="20"/>
                <w:szCs w:val="20"/>
              </w:rPr>
            </w:pPr>
            <w:r w:rsidRPr="0055564D">
              <w:rPr>
                <w:rFonts w:cs="Arial"/>
                <w:sz w:val="20"/>
                <w:szCs w:val="20"/>
              </w:rPr>
              <w:t xml:space="preserve">Total group </w:t>
            </w:r>
          </w:p>
        </w:tc>
        <w:tc>
          <w:tcPr>
            <w:tcW w:w="0" w:type="auto"/>
          </w:tcPr>
          <w:p w14:paraId="2F3CA740" w14:textId="77777777" w:rsidR="00EC13A5" w:rsidRPr="0055564D" w:rsidRDefault="00EC13A5" w:rsidP="0055564D">
            <w:pPr>
              <w:spacing w:before="40" w:after="40"/>
              <w:rPr>
                <w:rFonts w:cs="Arial"/>
                <w:sz w:val="20"/>
                <w:szCs w:val="20"/>
              </w:rPr>
            </w:pPr>
            <w:r w:rsidRPr="0055564D">
              <w:rPr>
                <w:rFonts w:cs="Arial"/>
                <w:sz w:val="20"/>
                <w:szCs w:val="20"/>
              </w:rPr>
              <w:t>4007</w:t>
            </w:r>
          </w:p>
        </w:tc>
        <w:tc>
          <w:tcPr>
            <w:tcW w:w="0" w:type="auto"/>
          </w:tcPr>
          <w:p w14:paraId="44E91306" w14:textId="77777777" w:rsidR="00EC13A5" w:rsidRPr="0055564D" w:rsidRDefault="00EC13A5" w:rsidP="0055564D">
            <w:pPr>
              <w:spacing w:before="40" w:after="40"/>
              <w:rPr>
                <w:rFonts w:cs="Arial"/>
                <w:sz w:val="20"/>
                <w:szCs w:val="20"/>
              </w:rPr>
            </w:pPr>
            <w:r w:rsidRPr="0055564D">
              <w:rPr>
                <w:rFonts w:cs="Arial"/>
                <w:sz w:val="20"/>
                <w:szCs w:val="20"/>
              </w:rPr>
              <w:t>3 years</w:t>
            </w:r>
          </w:p>
          <w:p w14:paraId="3C8B9FAD" w14:textId="77777777" w:rsidR="00EC13A5" w:rsidRPr="0055564D" w:rsidRDefault="00EC13A5" w:rsidP="0055564D">
            <w:pPr>
              <w:spacing w:before="40" w:after="40"/>
              <w:rPr>
                <w:rFonts w:cs="Arial"/>
                <w:sz w:val="20"/>
                <w:szCs w:val="20"/>
              </w:rPr>
            </w:pPr>
          </w:p>
        </w:tc>
        <w:tc>
          <w:tcPr>
            <w:tcW w:w="0" w:type="auto"/>
          </w:tcPr>
          <w:p w14:paraId="53798929" w14:textId="77777777" w:rsidR="00EC13A5" w:rsidRPr="0055564D" w:rsidRDefault="00EC13A5" w:rsidP="0055564D">
            <w:pPr>
              <w:spacing w:before="40" w:after="40"/>
              <w:rPr>
                <w:rFonts w:cs="Arial"/>
                <w:sz w:val="20"/>
                <w:szCs w:val="20"/>
              </w:rPr>
            </w:pPr>
            <w:r w:rsidRPr="0055564D">
              <w:rPr>
                <w:rFonts w:cs="Arial"/>
                <w:sz w:val="20"/>
                <w:szCs w:val="20"/>
              </w:rPr>
              <w:t>MACE*</w:t>
            </w:r>
          </w:p>
          <w:p w14:paraId="788FD783" w14:textId="77777777" w:rsidR="00EC13A5" w:rsidRPr="0055564D" w:rsidRDefault="00EC13A5" w:rsidP="0055564D">
            <w:pPr>
              <w:spacing w:before="40" w:after="40"/>
              <w:rPr>
                <w:rFonts w:cs="Arial"/>
                <w:sz w:val="20"/>
                <w:szCs w:val="20"/>
              </w:rPr>
            </w:pPr>
            <w:r w:rsidRPr="0055564D">
              <w:rPr>
                <w:rFonts w:cs="Arial"/>
                <w:sz w:val="20"/>
                <w:szCs w:val="20"/>
              </w:rPr>
              <w:t>(513)</w:t>
            </w:r>
          </w:p>
        </w:tc>
        <w:tc>
          <w:tcPr>
            <w:tcW w:w="0" w:type="auto"/>
          </w:tcPr>
          <w:p w14:paraId="414BB2D4" w14:textId="77777777" w:rsidR="00EC13A5" w:rsidRPr="0055564D" w:rsidRDefault="00EC13A5" w:rsidP="0055564D">
            <w:pPr>
              <w:spacing w:before="40" w:after="40"/>
              <w:rPr>
                <w:rFonts w:cs="Arial"/>
                <w:sz w:val="20"/>
                <w:szCs w:val="20"/>
              </w:rPr>
            </w:pPr>
            <w:r w:rsidRPr="0055564D">
              <w:rPr>
                <w:rFonts w:cs="Arial"/>
                <w:sz w:val="20"/>
                <w:szCs w:val="20"/>
              </w:rPr>
              <w:t>25</w:t>
            </w:r>
            <w:r w:rsidRPr="0055564D">
              <w:rPr>
                <w:rFonts w:cs="Arial"/>
                <w:sz w:val="20"/>
                <w:szCs w:val="20"/>
                <w:vertAlign w:val="superscript"/>
              </w:rPr>
              <w:t>th</w:t>
            </w:r>
            <w:r w:rsidRPr="0055564D">
              <w:rPr>
                <w:rFonts w:cs="Arial"/>
                <w:sz w:val="20"/>
                <w:szCs w:val="20"/>
              </w:rPr>
              <w:t xml:space="preserve"> 2.43</w:t>
            </w:r>
          </w:p>
          <w:p w14:paraId="10183AC5" w14:textId="77777777" w:rsidR="00EC13A5" w:rsidRPr="0055564D" w:rsidRDefault="00EC13A5" w:rsidP="0055564D">
            <w:pPr>
              <w:spacing w:before="40" w:after="40"/>
              <w:rPr>
                <w:rFonts w:cs="Arial"/>
                <w:sz w:val="20"/>
                <w:szCs w:val="20"/>
              </w:rPr>
            </w:pPr>
            <w:r w:rsidRPr="0055564D">
              <w:rPr>
                <w:rFonts w:cs="Arial"/>
                <w:sz w:val="20"/>
                <w:szCs w:val="20"/>
              </w:rPr>
              <w:t>50</w:t>
            </w:r>
            <w:r w:rsidRPr="0055564D">
              <w:rPr>
                <w:rFonts w:cs="Arial"/>
                <w:sz w:val="20"/>
                <w:szCs w:val="20"/>
                <w:vertAlign w:val="superscript"/>
              </w:rPr>
              <w:t>th</w:t>
            </w:r>
            <w:r w:rsidRPr="0055564D">
              <w:rPr>
                <w:rFonts w:cs="Arial"/>
                <w:sz w:val="20"/>
                <w:szCs w:val="20"/>
              </w:rPr>
              <w:t xml:space="preserve"> 3.66</w:t>
            </w:r>
          </w:p>
          <w:p w14:paraId="0C93638C" w14:textId="77777777" w:rsidR="00EC13A5" w:rsidRPr="0055564D" w:rsidRDefault="00EC13A5" w:rsidP="0055564D">
            <w:pPr>
              <w:spacing w:before="40" w:after="40"/>
              <w:rPr>
                <w:rFonts w:cs="Arial"/>
                <w:sz w:val="20"/>
                <w:szCs w:val="20"/>
              </w:rPr>
            </w:pPr>
            <w:r w:rsidRPr="0055564D">
              <w:rPr>
                <w:rFonts w:cs="Arial"/>
                <w:sz w:val="20"/>
                <w:szCs w:val="20"/>
              </w:rPr>
              <w:t>75</w:t>
            </w:r>
            <w:r w:rsidRPr="0055564D">
              <w:rPr>
                <w:rFonts w:cs="Arial"/>
                <w:sz w:val="20"/>
                <w:szCs w:val="20"/>
                <w:vertAlign w:val="superscript"/>
              </w:rPr>
              <w:t>th</w:t>
            </w:r>
            <w:r w:rsidRPr="0055564D">
              <w:rPr>
                <w:rFonts w:cs="Arial"/>
                <w:sz w:val="20"/>
                <w:szCs w:val="20"/>
              </w:rPr>
              <w:t xml:space="preserve"> 6.18</w:t>
            </w:r>
          </w:p>
        </w:tc>
        <w:tc>
          <w:tcPr>
            <w:tcW w:w="0" w:type="auto"/>
          </w:tcPr>
          <w:p w14:paraId="0D5EAC62" w14:textId="0026388B" w:rsidR="00EC13A5" w:rsidRPr="0055564D" w:rsidRDefault="00EC13A5" w:rsidP="0055564D">
            <w:pPr>
              <w:spacing w:before="40" w:after="40"/>
              <w:rPr>
                <w:rFonts w:cs="Arial"/>
                <w:sz w:val="20"/>
                <w:szCs w:val="20"/>
              </w:rPr>
            </w:pPr>
            <w:r w:rsidRPr="0055564D">
              <w:rPr>
                <w:rFonts w:cs="Arial"/>
                <w:sz w:val="20"/>
                <w:szCs w:val="20"/>
              </w:rPr>
              <w:t>HR=1.43 (</w:t>
            </w:r>
            <w:r w:rsidR="00C533CE">
              <w:rPr>
                <w:rFonts w:cs="Arial"/>
                <w:sz w:val="20"/>
                <w:szCs w:val="20"/>
              </w:rPr>
              <w:t xml:space="preserve">95% CI: </w:t>
            </w:r>
            <w:r w:rsidRPr="0055564D">
              <w:rPr>
                <w:rFonts w:cs="Arial"/>
                <w:sz w:val="20"/>
                <w:szCs w:val="20"/>
              </w:rPr>
              <w:t xml:space="preserve">1.05–1.94) </w:t>
            </w:r>
          </w:p>
          <w:p w14:paraId="0407D9C3" w14:textId="77777777" w:rsidR="00EC13A5" w:rsidRPr="0055564D" w:rsidRDefault="00EC13A5" w:rsidP="0055564D">
            <w:pPr>
              <w:spacing w:before="40" w:after="40"/>
              <w:rPr>
                <w:rFonts w:cs="Arial"/>
                <w:sz w:val="20"/>
                <w:szCs w:val="20"/>
              </w:rPr>
            </w:pPr>
          </w:p>
          <w:p w14:paraId="3C39BD1F" w14:textId="77777777" w:rsidR="00EC13A5" w:rsidRPr="0055564D" w:rsidRDefault="00EC13A5" w:rsidP="0055564D">
            <w:pPr>
              <w:spacing w:before="40" w:after="40"/>
              <w:rPr>
                <w:rFonts w:cs="Arial"/>
                <w:sz w:val="20"/>
                <w:szCs w:val="20"/>
              </w:rPr>
            </w:pPr>
          </w:p>
        </w:tc>
      </w:tr>
      <w:tr w:rsidR="00EC13A5" w:rsidRPr="0055564D" w14:paraId="0BF1AE75" w14:textId="77777777" w:rsidTr="00DB0260">
        <w:trPr>
          <w:cantSplit/>
        </w:trPr>
        <w:tc>
          <w:tcPr>
            <w:tcW w:w="0" w:type="auto"/>
          </w:tcPr>
          <w:p w14:paraId="73EDF897" w14:textId="77777777" w:rsidR="00EC13A5" w:rsidRPr="0055564D" w:rsidRDefault="00EC13A5" w:rsidP="0055564D">
            <w:pPr>
              <w:spacing w:before="40" w:after="40"/>
              <w:rPr>
                <w:rFonts w:cs="Arial"/>
                <w:sz w:val="20"/>
                <w:szCs w:val="20"/>
              </w:rPr>
            </w:pPr>
            <w:r w:rsidRPr="0055564D">
              <w:rPr>
                <w:rFonts w:cs="Arial"/>
                <w:sz w:val="20"/>
                <w:szCs w:val="20"/>
              </w:rPr>
              <w:t>Koeth 2013</w:t>
            </w:r>
          </w:p>
        </w:tc>
        <w:tc>
          <w:tcPr>
            <w:tcW w:w="0" w:type="auto"/>
          </w:tcPr>
          <w:p w14:paraId="0B66BED5" w14:textId="77777777" w:rsidR="00EC13A5" w:rsidRPr="0055564D" w:rsidRDefault="00EC13A5" w:rsidP="0055564D">
            <w:pPr>
              <w:spacing w:before="40" w:after="40"/>
              <w:rPr>
                <w:rFonts w:cs="Arial"/>
                <w:sz w:val="20"/>
                <w:szCs w:val="20"/>
              </w:rPr>
            </w:pPr>
            <w:r w:rsidRPr="0055564D">
              <w:rPr>
                <w:rFonts w:cs="Arial"/>
                <w:sz w:val="20"/>
                <w:szCs w:val="20"/>
              </w:rPr>
              <w:t xml:space="preserve">2595 archival specimens from Genebank </w:t>
            </w:r>
          </w:p>
        </w:tc>
        <w:tc>
          <w:tcPr>
            <w:tcW w:w="0" w:type="auto"/>
          </w:tcPr>
          <w:p w14:paraId="7FB39C29" w14:textId="77777777" w:rsidR="00EC13A5" w:rsidRPr="0055564D" w:rsidRDefault="00EC13A5" w:rsidP="0055564D">
            <w:pPr>
              <w:spacing w:before="40" w:after="40"/>
              <w:rPr>
                <w:rFonts w:cs="Arial"/>
                <w:sz w:val="20"/>
                <w:szCs w:val="20"/>
              </w:rPr>
            </w:pPr>
            <w:r w:rsidRPr="0055564D">
              <w:rPr>
                <w:rFonts w:cs="Arial"/>
                <w:sz w:val="20"/>
                <w:szCs w:val="20"/>
              </w:rPr>
              <w:t>2595</w:t>
            </w:r>
          </w:p>
        </w:tc>
        <w:tc>
          <w:tcPr>
            <w:tcW w:w="0" w:type="auto"/>
          </w:tcPr>
          <w:p w14:paraId="287AC63C" w14:textId="77777777" w:rsidR="00EC13A5" w:rsidRPr="0055564D" w:rsidRDefault="00EC13A5" w:rsidP="0055564D">
            <w:pPr>
              <w:spacing w:before="40" w:after="40"/>
              <w:rPr>
                <w:rFonts w:cs="Arial"/>
                <w:sz w:val="20"/>
                <w:szCs w:val="20"/>
              </w:rPr>
            </w:pPr>
            <w:r w:rsidRPr="0055564D">
              <w:rPr>
                <w:rFonts w:cs="Arial"/>
                <w:sz w:val="20"/>
                <w:szCs w:val="20"/>
              </w:rPr>
              <w:t>3 years</w:t>
            </w:r>
          </w:p>
        </w:tc>
        <w:tc>
          <w:tcPr>
            <w:tcW w:w="0" w:type="auto"/>
          </w:tcPr>
          <w:p w14:paraId="0913B0A9" w14:textId="77777777" w:rsidR="00EC13A5" w:rsidRPr="0055564D" w:rsidRDefault="00EC13A5" w:rsidP="0055564D">
            <w:pPr>
              <w:spacing w:before="40" w:after="40"/>
              <w:rPr>
                <w:rFonts w:cs="Arial"/>
                <w:sz w:val="20"/>
                <w:szCs w:val="20"/>
              </w:rPr>
            </w:pPr>
            <w:r w:rsidRPr="0055564D">
              <w:rPr>
                <w:rFonts w:cs="Arial"/>
                <w:sz w:val="20"/>
                <w:szCs w:val="20"/>
              </w:rPr>
              <w:t>MACER*</w:t>
            </w:r>
          </w:p>
          <w:p w14:paraId="536CF419" w14:textId="77777777" w:rsidR="00EC13A5" w:rsidRPr="0055564D" w:rsidRDefault="00EC13A5" w:rsidP="0055564D">
            <w:pPr>
              <w:spacing w:before="40" w:after="40"/>
              <w:rPr>
                <w:rFonts w:cs="Arial"/>
                <w:sz w:val="20"/>
                <w:szCs w:val="20"/>
              </w:rPr>
            </w:pPr>
          </w:p>
        </w:tc>
        <w:tc>
          <w:tcPr>
            <w:tcW w:w="0" w:type="auto"/>
          </w:tcPr>
          <w:p w14:paraId="15DD3F79" w14:textId="77777777" w:rsidR="00EC13A5" w:rsidRPr="0055564D" w:rsidRDefault="00EC13A5" w:rsidP="0055564D">
            <w:pPr>
              <w:spacing w:before="40" w:after="40"/>
              <w:rPr>
                <w:rFonts w:cs="Arial"/>
                <w:sz w:val="20"/>
                <w:szCs w:val="20"/>
              </w:rPr>
            </w:pPr>
            <w:r w:rsidRPr="0055564D">
              <w:rPr>
                <w:rFonts w:cs="Arial"/>
                <w:sz w:val="20"/>
                <w:szCs w:val="20"/>
              </w:rPr>
              <w:t>Not given</w:t>
            </w:r>
          </w:p>
        </w:tc>
        <w:tc>
          <w:tcPr>
            <w:tcW w:w="0" w:type="auto"/>
          </w:tcPr>
          <w:p w14:paraId="63D8B702" w14:textId="3573E753" w:rsidR="00EC13A5" w:rsidRPr="0055564D" w:rsidRDefault="00EC13A5" w:rsidP="0055564D">
            <w:pPr>
              <w:spacing w:before="40" w:after="40"/>
              <w:rPr>
                <w:rFonts w:cs="Arial"/>
                <w:sz w:val="20"/>
                <w:szCs w:val="20"/>
              </w:rPr>
            </w:pPr>
            <w:r w:rsidRPr="0055564D">
              <w:rPr>
                <w:rFonts w:cs="Arial"/>
                <w:sz w:val="20"/>
                <w:szCs w:val="20"/>
              </w:rPr>
              <w:t>Carnitine and TMAO greater than the median for both compared to less than the medi</w:t>
            </w:r>
            <w:r w:rsidR="00C533CE">
              <w:rPr>
                <w:rFonts w:cs="Arial"/>
                <w:sz w:val="20"/>
                <w:szCs w:val="20"/>
              </w:rPr>
              <w:t>an for both: HR=2.1 (95% CI:1.5–</w:t>
            </w:r>
            <w:r w:rsidRPr="0055564D">
              <w:rPr>
                <w:rFonts w:cs="Arial"/>
                <w:sz w:val="20"/>
                <w:szCs w:val="20"/>
              </w:rPr>
              <w:t>2.8)</w:t>
            </w:r>
          </w:p>
        </w:tc>
      </w:tr>
      <w:tr w:rsidR="00EC13A5" w:rsidRPr="0055564D" w14:paraId="7E9E0B60" w14:textId="77777777" w:rsidTr="00DB0260">
        <w:trPr>
          <w:cantSplit/>
        </w:trPr>
        <w:tc>
          <w:tcPr>
            <w:tcW w:w="0" w:type="auto"/>
          </w:tcPr>
          <w:p w14:paraId="51BE731A" w14:textId="77777777" w:rsidR="00EC13A5" w:rsidRPr="0055564D" w:rsidRDefault="00EC13A5" w:rsidP="0055564D">
            <w:pPr>
              <w:spacing w:before="40" w:after="40"/>
              <w:rPr>
                <w:rFonts w:cs="Arial"/>
                <w:sz w:val="20"/>
                <w:szCs w:val="20"/>
              </w:rPr>
            </w:pPr>
            <w:r w:rsidRPr="0055564D">
              <w:rPr>
                <w:rFonts w:cs="Arial"/>
                <w:sz w:val="20"/>
                <w:szCs w:val="20"/>
              </w:rPr>
              <w:t>Wang  2104</w:t>
            </w:r>
          </w:p>
        </w:tc>
        <w:tc>
          <w:tcPr>
            <w:tcW w:w="0" w:type="auto"/>
          </w:tcPr>
          <w:p w14:paraId="125299EB" w14:textId="77777777" w:rsidR="00EC13A5" w:rsidRPr="0055564D" w:rsidRDefault="00EC13A5" w:rsidP="0055564D">
            <w:pPr>
              <w:autoSpaceDE w:val="0"/>
              <w:autoSpaceDN w:val="0"/>
              <w:adjustRightInd w:val="0"/>
              <w:spacing w:before="40" w:after="40"/>
              <w:rPr>
                <w:rFonts w:cs="Arial"/>
                <w:color w:val="000000"/>
                <w:sz w:val="20"/>
                <w:szCs w:val="20"/>
              </w:rPr>
            </w:pPr>
            <w:r w:rsidRPr="0055564D">
              <w:rPr>
                <w:rFonts w:cs="Arial"/>
                <w:color w:val="000000"/>
                <w:sz w:val="20"/>
                <w:szCs w:val="20"/>
              </w:rPr>
              <w:t xml:space="preserve">Sequential stable subjects </w:t>
            </w:r>
            <w:r w:rsidRPr="0055564D">
              <w:rPr>
                <w:rFonts w:cs="Arial"/>
                <w:sz w:val="20"/>
                <w:szCs w:val="20"/>
              </w:rPr>
              <w:t xml:space="preserve">(cardiac troponin I </w:t>
            </w:r>
            <w:r w:rsidRPr="0055564D">
              <w:rPr>
                <w:rFonts w:eastAsia="AdvPS4C9543" w:cs="Arial"/>
                <w:sz w:val="20"/>
                <w:szCs w:val="20"/>
              </w:rPr>
              <w:t>≤</w:t>
            </w:r>
            <w:r w:rsidRPr="0055564D">
              <w:rPr>
                <w:rFonts w:cs="Arial"/>
                <w:sz w:val="20"/>
                <w:szCs w:val="20"/>
              </w:rPr>
              <w:t>0.03 ng/mL)</w:t>
            </w:r>
          </w:p>
        </w:tc>
        <w:tc>
          <w:tcPr>
            <w:tcW w:w="0" w:type="auto"/>
          </w:tcPr>
          <w:p w14:paraId="05E78E50" w14:textId="77777777" w:rsidR="00EC13A5" w:rsidRPr="0055564D" w:rsidRDefault="00EC13A5" w:rsidP="0055564D">
            <w:pPr>
              <w:spacing w:before="40" w:after="40"/>
              <w:rPr>
                <w:rFonts w:cs="Arial"/>
                <w:sz w:val="20"/>
                <w:szCs w:val="20"/>
              </w:rPr>
            </w:pPr>
            <w:r w:rsidRPr="0055564D">
              <w:rPr>
                <w:rFonts w:cs="Arial"/>
                <w:sz w:val="20"/>
                <w:szCs w:val="20"/>
              </w:rPr>
              <w:t>3903</w:t>
            </w:r>
          </w:p>
          <w:p w14:paraId="1F4B408C" w14:textId="77777777" w:rsidR="00EC13A5" w:rsidRPr="0055564D" w:rsidRDefault="00EC13A5" w:rsidP="0055564D">
            <w:pPr>
              <w:spacing w:before="40" w:after="40"/>
              <w:rPr>
                <w:rFonts w:cs="Arial"/>
                <w:sz w:val="20"/>
                <w:szCs w:val="20"/>
              </w:rPr>
            </w:pPr>
          </w:p>
          <w:p w14:paraId="24F7F827" w14:textId="77777777" w:rsidR="00EC13A5" w:rsidRPr="0055564D" w:rsidRDefault="00EC13A5" w:rsidP="0055564D">
            <w:pPr>
              <w:spacing w:before="40" w:after="40"/>
              <w:rPr>
                <w:rFonts w:cs="Arial"/>
                <w:sz w:val="20"/>
                <w:szCs w:val="20"/>
              </w:rPr>
            </w:pPr>
          </w:p>
        </w:tc>
        <w:tc>
          <w:tcPr>
            <w:tcW w:w="0" w:type="auto"/>
          </w:tcPr>
          <w:p w14:paraId="57F7B9F9" w14:textId="77777777" w:rsidR="00EC13A5" w:rsidRPr="0055564D" w:rsidRDefault="00EC13A5" w:rsidP="0055564D">
            <w:pPr>
              <w:spacing w:before="40" w:after="40"/>
              <w:rPr>
                <w:rFonts w:cs="Arial"/>
                <w:sz w:val="20"/>
                <w:szCs w:val="20"/>
              </w:rPr>
            </w:pPr>
            <w:r w:rsidRPr="0055564D">
              <w:rPr>
                <w:rFonts w:cs="Arial"/>
                <w:sz w:val="20"/>
                <w:szCs w:val="20"/>
              </w:rPr>
              <w:t>3 years</w:t>
            </w:r>
          </w:p>
        </w:tc>
        <w:tc>
          <w:tcPr>
            <w:tcW w:w="0" w:type="auto"/>
          </w:tcPr>
          <w:p w14:paraId="55A65C13" w14:textId="77777777" w:rsidR="00EC13A5" w:rsidRPr="0055564D" w:rsidRDefault="00EC13A5" w:rsidP="0055564D">
            <w:pPr>
              <w:spacing w:before="40" w:after="40"/>
              <w:rPr>
                <w:rFonts w:cs="Arial"/>
                <w:sz w:val="20"/>
                <w:szCs w:val="20"/>
              </w:rPr>
            </w:pPr>
            <w:r w:rsidRPr="0055564D">
              <w:rPr>
                <w:rFonts w:cs="Arial"/>
                <w:sz w:val="20"/>
                <w:szCs w:val="20"/>
              </w:rPr>
              <w:t>MACE (495)</w:t>
            </w:r>
          </w:p>
        </w:tc>
        <w:tc>
          <w:tcPr>
            <w:tcW w:w="0" w:type="auto"/>
          </w:tcPr>
          <w:p w14:paraId="6A271DD7" w14:textId="77777777" w:rsidR="00EC13A5" w:rsidRPr="0055564D" w:rsidRDefault="00EC13A5" w:rsidP="0055564D">
            <w:pPr>
              <w:spacing w:before="40" w:after="40"/>
              <w:rPr>
                <w:rFonts w:cs="Arial"/>
                <w:sz w:val="20"/>
                <w:szCs w:val="20"/>
              </w:rPr>
            </w:pPr>
            <w:r w:rsidRPr="0055564D">
              <w:rPr>
                <w:rFonts w:cs="Arial"/>
                <w:sz w:val="20"/>
                <w:szCs w:val="20"/>
              </w:rPr>
              <w:t>25</w:t>
            </w:r>
            <w:r w:rsidRPr="0055564D">
              <w:rPr>
                <w:rFonts w:cs="Arial"/>
                <w:sz w:val="20"/>
                <w:szCs w:val="20"/>
                <w:vertAlign w:val="superscript"/>
              </w:rPr>
              <w:t xml:space="preserve">th </w:t>
            </w:r>
            <w:r w:rsidRPr="0055564D">
              <w:rPr>
                <w:rFonts w:cs="Arial"/>
                <w:sz w:val="20"/>
                <w:szCs w:val="20"/>
              </w:rPr>
              <w:t>2.4</w:t>
            </w:r>
          </w:p>
          <w:p w14:paraId="79B0B23E" w14:textId="77777777" w:rsidR="00EC13A5" w:rsidRPr="0055564D" w:rsidRDefault="00EC13A5" w:rsidP="0055564D">
            <w:pPr>
              <w:spacing w:before="40" w:after="40"/>
              <w:rPr>
                <w:rFonts w:cs="Arial"/>
                <w:sz w:val="20"/>
                <w:szCs w:val="20"/>
                <w:vertAlign w:val="superscript"/>
              </w:rPr>
            </w:pPr>
            <w:r w:rsidRPr="0055564D">
              <w:rPr>
                <w:rFonts w:cs="Arial"/>
                <w:sz w:val="20"/>
                <w:szCs w:val="20"/>
              </w:rPr>
              <w:t>50</w:t>
            </w:r>
            <w:r w:rsidRPr="0055564D">
              <w:rPr>
                <w:rFonts w:cs="Arial"/>
                <w:sz w:val="20"/>
                <w:szCs w:val="20"/>
                <w:vertAlign w:val="superscript"/>
              </w:rPr>
              <w:t xml:space="preserve">th </w:t>
            </w:r>
            <w:r w:rsidRPr="0055564D">
              <w:rPr>
                <w:rFonts w:cs="Arial"/>
                <w:sz w:val="20"/>
                <w:szCs w:val="20"/>
              </w:rPr>
              <w:t>3.7</w:t>
            </w:r>
          </w:p>
          <w:p w14:paraId="0AB2FF5F" w14:textId="77777777" w:rsidR="00EC13A5" w:rsidRPr="0055564D" w:rsidRDefault="00EC13A5" w:rsidP="0055564D">
            <w:pPr>
              <w:spacing w:before="40" w:after="40"/>
              <w:rPr>
                <w:rFonts w:cs="Arial"/>
                <w:sz w:val="20"/>
                <w:szCs w:val="20"/>
              </w:rPr>
            </w:pPr>
            <w:r w:rsidRPr="0055564D">
              <w:rPr>
                <w:rFonts w:cs="Arial"/>
                <w:sz w:val="20"/>
                <w:szCs w:val="20"/>
              </w:rPr>
              <w:t>75</w:t>
            </w:r>
            <w:r w:rsidRPr="0055564D">
              <w:rPr>
                <w:rFonts w:cs="Arial"/>
                <w:sz w:val="20"/>
                <w:szCs w:val="20"/>
                <w:vertAlign w:val="superscript"/>
              </w:rPr>
              <w:t xml:space="preserve">th  </w:t>
            </w:r>
            <w:r w:rsidRPr="0055564D">
              <w:rPr>
                <w:rFonts w:cs="Arial"/>
                <w:sz w:val="20"/>
                <w:szCs w:val="20"/>
              </w:rPr>
              <w:t>6.2</w:t>
            </w:r>
          </w:p>
          <w:p w14:paraId="0FFB82F5" w14:textId="77777777" w:rsidR="00EC13A5" w:rsidRPr="0055564D" w:rsidRDefault="00EC13A5" w:rsidP="0055564D">
            <w:pPr>
              <w:spacing w:before="40" w:after="40"/>
              <w:rPr>
                <w:rFonts w:cs="Arial"/>
                <w:sz w:val="20"/>
                <w:szCs w:val="20"/>
              </w:rPr>
            </w:pPr>
          </w:p>
        </w:tc>
        <w:tc>
          <w:tcPr>
            <w:tcW w:w="0" w:type="auto"/>
          </w:tcPr>
          <w:p w14:paraId="3EDBA142" w14:textId="4923B1F5" w:rsidR="00EC13A5" w:rsidRPr="0055564D" w:rsidRDefault="00EC13A5" w:rsidP="0055564D">
            <w:pPr>
              <w:spacing w:before="40" w:after="40"/>
              <w:rPr>
                <w:rFonts w:cs="Arial"/>
                <w:sz w:val="20"/>
                <w:szCs w:val="20"/>
              </w:rPr>
            </w:pPr>
            <w:r w:rsidRPr="0055564D">
              <w:rPr>
                <w:rFonts w:cs="Arial"/>
                <w:sz w:val="20"/>
                <w:szCs w:val="20"/>
              </w:rPr>
              <w:t>HR: 2.5-fold increase, p</w:t>
            </w:r>
            <w:r w:rsidR="00C533CE">
              <w:rPr>
                <w:rFonts w:cs="Arial"/>
                <w:sz w:val="20"/>
                <w:szCs w:val="20"/>
              </w:rPr>
              <w:t xml:space="preserve"> </w:t>
            </w:r>
            <w:r w:rsidRPr="0055564D">
              <w:rPr>
                <w:rFonts w:cs="Arial"/>
                <w:sz w:val="20"/>
                <w:szCs w:val="20"/>
              </w:rPr>
              <w:t>&lt;</w:t>
            </w:r>
            <w:r w:rsidR="00C533CE">
              <w:rPr>
                <w:rFonts w:cs="Arial"/>
                <w:sz w:val="20"/>
                <w:szCs w:val="20"/>
              </w:rPr>
              <w:t xml:space="preserve"> </w:t>
            </w:r>
            <w:r w:rsidRPr="0055564D">
              <w:rPr>
                <w:rFonts w:cs="Arial"/>
                <w:sz w:val="20"/>
                <w:szCs w:val="20"/>
              </w:rPr>
              <w:t>0.01</w:t>
            </w:r>
          </w:p>
          <w:p w14:paraId="0AC639EC" w14:textId="77777777" w:rsidR="00EC13A5" w:rsidRPr="0055564D" w:rsidRDefault="00EC13A5" w:rsidP="0055564D">
            <w:pPr>
              <w:spacing w:before="40" w:after="40"/>
              <w:rPr>
                <w:rFonts w:cs="Arial"/>
                <w:sz w:val="20"/>
                <w:szCs w:val="20"/>
              </w:rPr>
            </w:pPr>
          </w:p>
          <w:p w14:paraId="71A8B726" w14:textId="3C0F3B10" w:rsidR="00EC13A5" w:rsidRPr="0055564D" w:rsidRDefault="00EC13A5" w:rsidP="0055564D">
            <w:pPr>
              <w:spacing w:before="40" w:after="40"/>
              <w:rPr>
                <w:rFonts w:cs="Arial"/>
                <w:sz w:val="20"/>
                <w:szCs w:val="20"/>
              </w:rPr>
            </w:pPr>
            <w:r w:rsidRPr="0055564D">
              <w:rPr>
                <w:rFonts w:cs="Arial"/>
                <w:sz w:val="20"/>
                <w:szCs w:val="20"/>
              </w:rPr>
              <w:t>Choline and TMAO greater than the median for both compared to less than the medi</w:t>
            </w:r>
            <w:r w:rsidR="00C533CE">
              <w:rPr>
                <w:rFonts w:cs="Arial"/>
                <w:sz w:val="20"/>
                <w:szCs w:val="20"/>
              </w:rPr>
              <w:t>an for both: HR=1.6 (95% CI: 1.2–</w:t>
            </w:r>
            <w:r w:rsidRPr="0055564D">
              <w:rPr>
                <w:rFonts w:cs="Arial"/>
                <w:sz w:val="20"/>
                <w:szCs w:val="20"/>
              </w:rPr>
              <w:t xml:space="preserve">2.0) </w:t>
            </w:r>
          </w:p>
          <w:p w14:paraId="70871148" w14:textId="77777777" w:rsidR="00EC13A5" w:rsidRPr="0055564D" w:rsidRDefault="00EC13A5" w:rsidP="0055564D">
            <w:pPr>
              <w:spacing w:before="40" w:after="40"/>
              <w:rPr>
                <w:rFonts w:cs="Arial"/>
                <w:sz w:val="20"/>
                <w:szCs w:val="20"/>
              </w:rPr>
            </w:pPr>
          </w:p>
          <w:p w14:paraId="08AEE754" w14:textId="77777777" w:rsidR="00EC13A5" w:rsidRPr="0055564D" w:rsidRDefault="00EC13A5" w:rsidP="0055564D">
            <w:pPr>
              <w:spacing w:before="40" w:after="40"/>
              <w:rPr>
                <w:rFonts w:cs="Arial"/>
                <w:sz w:val="20"/>
                <w:szCs w:val="20"/>
              </w:rPr>
            </w:pPr>
            <w:r w:rsidRPr="0055564D">
              <w:rPr>
                <w:rFonts w:cs="Arial"/>
                <w:sz w:val="20"/>
                <w:szCs w:val="20"/>
              </w:rPr>
              <w:t>Betaine and TMAO greater than the median for both compared to less than the median for both:</w:t>
            </w:r>
          </w:p>
          <w:p w14:paraId="38ED31D8" w14:textId="60C0F04E" w:rsidR="00EC13A5" w:rsidRPr="0055564D" w:rsidRDefault="00C533CE" w:rsidP="0055564D">
            <w:pPr>
              <w:spacing w:before="40" w:after="40"/>
              <w:rPr>
                <w:rFonts w:cs="Arial"/>
                <w:sz w:val="20"/>
                <w:szCs w:val="20"/>
              </w:rPr>
            </w:pPr>
            <w:r>
              <w:rPr>
                <w:rFonts w:cs="Arial"/>
                <w:sz w:val="20"/>
                <w:szCs w:val="20"/>
              </w:rPr>
              <w:t>HR=1.6 (95% CI: 1.2–</w:t>
            </w:r>
            <w:r w:rsidR="00EC13A5" w:rsidRPr="0055564D">
              <w:rPr>
                <w:rFonts w:cs="Arial"/>
                <w:sz w:val="20"/>
                <w:szCs w:val="20"/>
              </w:rPr>
              <w:t xml:space="preserve">2.0) </w:t>
            </w:r>
          </w:p>
        </w:tc>
      </w:tr>
      <w:tr w:rsidR="00EC13A5" w:rsidRPr="0055564D" w14:paraId="3EDC4407" w14:textId="77777777" w:rsidTr="00DB0260">
        <w:trPr>
          <w:cantSplit/>
        </w:trPr>
        <w:tc>
          <w:tcPr>
            <w:tcW w:w="0" w:type="auto"/>
          </w:tcPr>
          <w:p w14:paraId="10274EE6" w14:textId="23AB3000" w:rsidR="00EC13A5" w:rsidRPr="0055564D" w:rsidRDefault="00611B76" w:rsidP="0055564D">
            <w:pPr>
              <w:spacing w:before="40" w:after="40"/>
              <w:rPr>
                <w:rFonts w:cs="Arial"/>
                <w:sz w:val="20"/>
                <w:szCs w:val="20"/>
              </w:rPr>
            </w:pPr>
            <w:r>
              <w:rPr>
                <w:rFonts w:cs="Arial"/>
                <w:sz w:val="20"/>
                <w:szCs w:val="20"/>
              </w:rPr>
              <w:t>Tang</w:t>
            </w:r>
            <w:r w:rsidR="00EC13A5" w:rsidRPr="0055564D">
              <w:rPr>
                <w:rFonts w:cs="Arial"/>
                <w:sz w:val="20"/>
                <w:szCs w:val="20"/>
              </w:rPr>
              <w:t xml:space="preserve"> 2014</w:t>
            </w:r>
          </w:p>
        </w:tc>
        <w:tc>
          <w:tcPr>
            <w:tcW w:w="0" w:type="auto"/>
          </w:tcPr>
          <w:p w14:paraId="4F0A8C1F" w14:textId="77777777" w:rsidR="00EC13A5" w:rsidRPr="0055564D" w:rsidRDefault="00EC13A5" w:rsidP="0055564D">
            <w:pPr>
              <w:autoSpaceDE w:val="0"/>
              <w:autoSpaceDN w:val="0"/>
              <w:adjustRightInd w:val="0"/>
              <w:spacing w:before="40" w:after="40"/>
              <w:rPr>
                <w:rFonts w:cs="Arial"/>
                <w:sz w:val="20"/>
                <w:szCs w:val="20"/>
              </w:rPr>
            </w:pPr>
            <w:r w:rsidRPr="0055564D">
              <w:rPr>
                <w:rFonts w:cs="Arial"/>
                <w:sz w:val="20"/>
                <w:szCs w:val="20"/>
              </w:rPr>
              <w:t>Patients with a history of heart failure fulfilling inclusion and exclusion criteria”</w:t>
            </w:r>
          </w:p>
        </w:tc>
        <w:tc>
          <w:tcPr>
            <w:tcW w:w="0" w:type="auto"/>
          </w:tcPr>
          <w:p w14:paraId="62AE4E70" w14:textId="77777777" w:rsidR="00EC13A5" w:rsidRPr="0055564D" w:rsidRDefault="00EC13A5" w:rsidP="0055564D">
            <w:pPr>
              <w:spacing w:before="40" w:after="40"/>
              <w:rPr>
                <w:rFonts w:cs="Arial"/>
                <w:sz w:val="20"/>
                <w:szCs w:val="20"/>
              </w:rPr>
            </w:pPr>
            <w:r w:rsidRPr="0055564D">
              <w:rPr>
                <w:rFonts w:cs="Arial"/>
                <w:sz w:val="20"/>
                <w:szCs w:val="20"/>
              </w:rPr>
              <w:t>720</w:t>
            </w:r>
          </w:p>
        </w:tc>
        <w:tc>
          <w:tcPr>
            <w:tcW w:w="0" w:type="auto"/>
          </w:tcPr>
          <w:p w14:paraId="5403FBF9" w14:textId="77777777" w:rsidR="00EC13A5" w:rsidRPr="0055564D" w:rsidRDefault="00EC13A5" w:rsidP="0055564D">
            <w:pPr>
              <w:spacing w:before="40" w:after="40"/>
              <w:rPr>
                <w:rFonts w:cs="Arial"/>
                <w:sz w:val="20"/>
                <w:szCs w:val="20"/>
              </w:rPr>
            </w:pPr>
            <w:r w:rsidRPr="0055564D">
              <w:rPr>
                <w:rFonts w:cs="Arial"/>
                <w:sz w:val="20"/>
                <w:szCs w:val="20"/>
              </w:rPr>
              <w:t>5 years</w:t>
            </w:r>
          </w:p>
        </w:tc>
        <w:tc>
          <w:tcPr>
            <w:tcW w:w="0" w:type="auto"/>
          </w:tcPr>
          <w:p w14:paraId="37E65EC4" w14:textId="77777777" w:rsidR="00EC13A5" w:rsidRPr="0055564D" w:rsidRDefault="00EC13A5" w:rsidP="0055564D">
            <w:pPr>
              <w:spacing w:before="40" w:after="40"/>
              <w:rPr>
                <w:rFonts w:cs="Arial"/>
                <w:sz w:val="20"/>
                <w:szCs w:val="20"/>
              </w:rPr>
            </w:pPr>
            <w:r w:rsidRPr="0055564D">
              <w:rPr>
                <w:rFonts w:cs="Arial"/>
                <w:sz w:val="20"/>
                <w:szCs w:val="20"/>
              </w:rPr>
              <w:t>All-cause mortality (207)</w:t>
            </w:r>
          </w:p>
        </w:tc>
        <w:tc>
          <w:tcPr>
            <w:tcW w:w="0" w:type="auto"/>
          </w:tcPr>
          <w:p w14:paraId="1BCE60D8" w14:textId="77777777" w:rsidR="00EC13A5" w:rsidRPr="0055564D" w:rsidRDefault="00EC13A5" w:rsidP="0055564D">
            <w:pPr>
              <w:spacing w:before="40" w:after="40"/>
              <w:rPr>
                <w:rFonts w:cs="Arial"/>
                <w:sz w:val="20"/>
                <w:szCs w:val="20"/>
              </w:rPr>
            </w:pPr>
            <w:r w:rsidRPr="0055564D">
              <w:rPr>
                <w:rFonts w:cs="Arial"/>
                <w:sz w:val="20"/>
                <w:szCs w:val="20"/>
              </w:rPr>
              <w:t>25</w:t>
            </w:r>
            <w:r w:rsidRPr="0055564D">
              <w:rPr>
                <w:rFonts w:cs="Arial"/>
                <w:sz w:val="20"/>
                <w:szCs w:val="20"/>
                <w:vertAlign w:val="superscript"/>
              </w:rPr>
              <w:t>th</w:t>
            </w:r>
            <w:r w:rsidRPr="0055564D">
              <w:rPr>
                <w:rFonts w:cs="Arial"/>
                <w:sz w:val="20"/>
                <w:szCs w:val="20"/>
              </w:rPr>
              <w:t xml:space="preserve"> 3.0</w:t>
            </w:r>
          </w:p>
          <w:p w14:paraId="5765F790" w14:textId="77777777" w:rsidR="00EC13A5" w:rsidRPr="0055564D" w:rsidRDefault="00EC13A5" w:rsidP="0055564D">
            <w:pPr>
              <w:spacing w:before="40" w:after="40"/>
              <w:rPr>
                <w:rFonts w:cs="Arial"/>
                <w:sz w:val="20"/>
                <w:szCs w:val="20"/>
              </w:rPr>
            </w:pPr>
            <w:r w:rsidRPr="0055564D">
              <w:rPr>
                <w:rFonts w:cs="Arial"/>
                <w:sz w:val="20"/>
                <w:szCs w:val="20"/>
              </w:rPr>
              <w:t>50</w:t>
            </w:r>
            <w:r w:rsidRPr="0055564D">
              <w:rPr>
                <w:rFonts w:cs="Arial"/>
                <w:sz w:val="20"/>
                <w:szCs w:val="20"/>
                <w:vertAlign w:val="superscript"/>
              </w:rPr>
              <w:t>th</w:t>
            </w:r>
            <w:r w:rsidRPr="0055564D">
              <w:rPr>
                <w:rFonts w:cs="Arial"/>
                <w:sz w:val="20"/>
                <w:szCs w:val="20"/>
              </w:rPr>
              <w:t xml:space="preserve"> 5.0</w:t>
            </w:r>
          </w:p>
          <w:p w14:paraId="7DD738E2" w14:textId="77777777" w:rsidR="00EC13A5" w:rsidRPr="0055564D" w:rsidRDefault="00EC13A5" w:rsidP="0055564D">
            <w:pPr>
              <w:spacing w:before="40" w:after="40"/>
              <w:rPr>
                <w:rFonts w:cs="Arial"/>
                <w:sz w:val="20"/>
                <w:szCs w:val="20"/>
              </w:rPr>
            </w:pPr>
            <w:r w:rsidRPr="0055564D">
              <w:rPr>
                <w:rFonts w:cs="Arial"/>
                <w:sz w:val="20"/>
                <w:szCs w:val="20"/>
              </w:rPr>
              <w:t>75</w:t>
            </w:r>
            <w:r w:rsidRPr="0055564D">
              <w:rPr>
                <w:rFonts w:cs="Arial"/>
                <w:sz w:val="20"/>
                <w:szCs w:val="20"/>
                <w:vertAlign w:val="superscript"/>
              </w:rPr>
              <w:t>th</w:t>
            </w:r>
            <w:r w:rsidRPr="0055564D">
              <w:rPr>
                <w:rFonts w:cs="Arial"/>
                <w:sz w:val="20"/>
                <w:szCs w:val="20"/>
              </w:rPr>
              <w:t xml:space="preserve"> 8.5</w:t>
            </w:r>
          </w:p>
        </w:tc>
        <w:tc>
          <w:tcPr>
            <w:tcW w:w="0" w:type="auto"/>
          </w:tcPr>
          <w:p w14:paraId="44AE33AE" w14:textId="21C0C77E" w:rsidR="00EC13A5" w:rsidRPr="0055564D" w:rsidRDefault="00EC13A5" w:rsidP="0055564D">
            <w:pPr>
              <w:spacing w:before="40" w:after="40"/>
              <w:rPr>
                <w:rFonts w:cs="Arial"/>
                <w:sz w:val="20"/>
                <w:szCs w:val="20"/>
              </w:rPr>
            </w:pPr>
            <w:r w:rsidRPr="0055564D">
              <w:rPr>
                <w:rFonts w:cs="Arial"/>
                <w:sz w:val="20"/>
                <w:szCs w:val="20"/>
              </w:rPr>
              <w:t xml:space="preserve">HR=1.85 </w:t>
            </w:r>
            <w:r w:rsidR="00C533CE">
              <w:rPr>
                <w:rFonts w:cs="Arial"/>
                <w:sz w:val="20"/>
                <w:szCs w:val="20"/>
              </w:rPr>
              <w:t>(95% CI: 1.14–</w:t>
            </w:r>
            <w:r w:rsidRPr="0055564D">
              <w:rPr>
                <w:rFonts w:cs="Arial"/>
                <w:sz w:val="20"/>
                <w:szCs w:val="20"/>
              </w:rPr>
              <w:t>3.00)</w:t>
            </w:r>
          </w:p>
          <w:p w14:paraId="6A018488" w14:textId="77777777" w:rsidR="00EC13A5" w:rsidRPr="0055564D" w:rsidRDefault="00EC13A5" w:rsidP="0055564D">
            <w:pPr>
              <w:spacing w:before="40" w:after="40"/>
              <w:rPr>
                <w:rFonts w:cs="Arial"/>
                <w:sz w:val="20"/>
                <w:szCs w:val="20"/>
              </w:rPr>
            </w:pPr>
          </w:p>
          <w:p w14:paraId="57464BF1" w14:textId="77777777" w:rsidR="00EC13A5" w:rsidRPr="0055564D" w:rsidRDefault="00EC13A5" w:rsidP="0055564D">
            <w:pPr>
              <w:spacing w:before="40" w:after="40"/>
              <w:rPr>
                <w:rFonts w:cs="Arial"/>
                <w:sz w:val="20"/>
                <w:szCs w:val="20"/>
              </w:rPr>
            </w:pPr>
          </w:p>
        </w:tc>
      </w:tr>
      <w:tr w:rsidR="00EC13A5" w:rsidRPr="0055564D" w14:paraId="506AD6E0" w14:textId="77777777" w:rsidTr="00DB0260">
        <w:trPr>
          <w:cantSplit/>
        </w:trPr>
        <w:tc>
          <w:tcPr>
            <w:tcW w:w="0" w:type="auto"/>
          </w:tcPr>
          <w:p w14:paraId="232A9477" w14:textId="7D6F8609" w:rsidR="00EC13A5" w:rsidRPr="0055564D" w:rsidRDefault="00611B76" w:rsidP="0055564D">
            <w:pPr>
              <w:spacing w:before="40" w:after="40"/>
              <w:rPr>
                <w:rFonts w:cs="Arial"/>
                <w:sz w:val="20"/>
                <w:szCs w:val="20"/>
              </w:rPr>
            </w:pPr>
            <w:r>
              <w:rPr>
                <w:rFonts w:cs="Arial"/>
                <w:sz w:val="20"/>
                <w:szCs w:val="20"/>
              </w:rPr>
              <w:t>Tang</w:t>
            </w:r>
            <w:r w:rsidR="00EC13A5" w:rsidRPr="0055564D">
              <w:rPr>
                <w:rFonts w:cs="Arial"/>
                <w:sz w:val="20"/>
                <w:szCs w:val="20"/>
              </w:rPr>
              <w:t xml:space="preserve"> 2015</w:t>
            </w:r>
          </w:p>
        </w:tc>
        <w:tc>
          <w:tcPr>
            <w:tcW w:w="0" w:type="auto"/>
          </w:tcPr>
          <w:p w14:paraId="338E5D7E" w14:textId="77777777" w:rsidR="00EC13A5" w:rsidRPr="0055564D" w:rsidRDefault="00EC13A5" w:rsidP="0055564D">
            <w:pPr>
              <w:spacing w:before="40" w:after="40"/>
              <w:rPr>
                <w:rFonts w:cs="Arial"/>
                <w:sz w:val="20"/>
                <w:szCs w:val="20"/>
              </w:rPr>
            </w:pPr>
            <w:r w:rsidRPr="0055564D">
              <w:rPr>
                <w:rFonts w:cs="Arial"/>
                <w:sz w:val="20"/>
                <w:szCs w:val="20"/>
              </w:rPr>
              <w:t xml:space="preserve">Subjects with and without chronic kidney disease (CKD): total included in analysis=3687 </w:t>
            </w:r>
          </w:p>
          <w:p w14:paraId="77A57074" w14:textId="77777777" w:rsidR="00EC13A5" w:rsidRPr="0055564D" w:rsidRDefault="00EC13A5" w:rsidP="0055564D">
            <w:pPr>
              <w:spacing w:before="40" w:after="40"/>
              <w:rPr>
                <w:rFonts w:cs="Arial"/>
                <w:sz w:val="20"/>
                <w:szCs w:val="20"/>
              </w:rPr>
            </w:pPr>
          </w:p>
          <w:p w14:paraId="20D80F7F" w14:textId="77777777" w:rsidR="00EC13A5" w:rsidRPr="0055564D" w:rsidRDefault="00EC13A5" w:rsidP="0055564D">
            <w:pPr>
              <w:spacing w:before="40" w:after="40"/>
              <w:rPr>
                <w:rFonts w:cs="Arial"/>
                <w:sz w:val="20"/>
                <w:szCs w:val="20"/>
              </w:rPr>
            </w:pPr>
          </w:p>
        </w:tc>
        <w:tc>
          <w:tcPr>
            <w:tcW w:w="0" w:type="auto"/>
          </w:tcPr>
          <w:p w14:paraId="1BD750A2" w14:textId="77777777" w:rsidR="00EC13A5" w:rsidRPr="0055564D" w:rsidRDefault="00EC13A5" w:rsidP="0055564D">
            <w:pPr>
              <w:spacing w:before="40" w:after="40"/>
              <w:rPr>
                <w:rFonts w:cs="Arial"/>
                <w:sz w:val="20"/>
                <w:szCs w:val="20"/>
              </w:rPr>
            </w:pPr>
            <w:r w:rsidRPr="0055564D">
              <w:rPr>
                <w:rFonts w:cs="Arial"/>
                <w:sz w:val="20"/>
                <w:szCs w:val="20"/>
              </w:rPr>
              <w:t xml:space="preserve">521 stable with CKD Stage 3+ </w:t>
            </w:r>
          </w:p>
          <w:p w14:paraId="2E3D13FF" w14:textId="77777777" w:rsidR="00EC13A5" w:rsidRPr="0055564D" w:rsidRDefault="00EC13A5" w:rsidP="0055564D">
            <w:pPr>
              <w:spacing w:before="40" w:after="40"/>
              <w:rPr>
                <w:rFonts w:cs="Arial"/>
                <w:sz w:val="20"/>
                <w:szCs w:val="20"/>
              </w:rPr>
            </w:pPr>
          </w:p>
          <w:p w14:paraId="7834D980" w14:textId="77777777" w:rsidR="00EC13A5" w:rsidRPr="0055564D" w:rsidRDefault="00EC13A5" w:rsidP="0055564D">
            <w:pPr>
              <w:spacing w:before="40" w:after="40"/>
              <w:rPr>
                <w:rFonts w:cs="Arial"/>
                <w:sz w:val="20"/>
                <w:szCs w:val="20"/>
              </w:rPr>
            </w:pPr>
            <w:r w:rsidRPr="0055564D">
              <w:rPr>
                <w:rFonts w:cs="Arial"/>
                <w:sz w:val="20"/>
                <w:szCs w:val="20"/>
              </w:rPr>
              <w:t xml:space="preserve">3166 without CKD </w:t>
            </w:r>
          </w:p>
        </w:tc>
        <w:tc>
          <w:tcPr>
            <w:tcW w:w="0" w:type="auto"/>
          </w:tcPr>
          <w:p w14:paraId="1E8908BA" w14:textId="77777777" w:rsidR="00EC13A5" w:rsidRPr="0055564D" w:rsidRDefault="00EC13A5" w:rsidP="0055564D">
            <w:pPr>
              <w:spacing w:before="40" w:after="40"/>
              <w:rPr>
                <w:rFonts w:cs="Arial"/>
                <w:sz w:val="20"/>
                <w:szCs w:val="20"/>
              </w:rPr>
            </w:pPr>
            <w:r w:rsidRPr="0055564D">
              <w:rPr>
                <w:rFonts w:cs="Arial"/>
                <w:sz w:val="20"/>
                <w:szCs w:val="20"/>
              </w:rPr>
              <w:t>5 year</w:t>
            </w:r>
          </w:p>
        </w:tc>
        <w:tc>
          <w:tcPr>
            <w:tcW w:w="0" w:type="auto"/>
          </w:tcPr>
          <w:p w14:paraId="0A20798D" w14:textId="77777777" w:rsidR="00EC13A5" w:rsidRPr="0055564D" w:rsidRDefault="00EC13A5" w:rsidP="0055564D">
            <w:pPr>
              <w:spacing w:before="40" w:after="40"/>
              <w:rPr>
                <w:rFonts w:cs="Arial"/>
                <w:sz w:val="20"/>
                <w:szCs w:val="20"/>
              </w:rPr>
            </w:pPr>
            <w:r w:rsidRPr="0055564D">
              <w:rPr>
                <w:rFonts w:cs="Arial"/>
                <w:sz w:val="20"/>
                <w:szCs w:val="20"/>
              </w:rPr>
              <w:t>All-cause mortality (466)</w:t>
            </w:r>
          </w:p>
        </w:tc>
        <w:tc>
          <w:tcPr>
            <w:tcW w:w="0" w:type="auto"/>
          </w:tcPr>
          <w:p w14:paraId="1AE3CF9F" w14:textId="77777777" w:rsidR="00EC13A5" w:rsidRPr="0055564D" w:rsidRDefault="00EC13A5" w:rsidP="0055564D">
            <w:pPr>
              <w:spacing w:before="40" w:after="40"/>
              <w:rPr>
                <w:rFonts w:cs="Arial"/>
                <w:sz w:val="20"/>
                <w:szCs w:val="20"/>
              </w:rPr>
            </w:pPr>
            <w:r w:rsidRPr="0055564D">
              <w:rPr>
                <w:rFonts w:cs="Arial"/>
                <w:sz w:val="20"/>
                <w:szCs w:val="20"/>
              </w:rPr>
              <w:t>With CKD</w:t>
            </w:r>
          </w:p>
          <w:p w14:paraId="30A0BF7C" w14:textId="77777777" w:rsidR="00EC13A5" w:rsidRPr="0055564D" w:rsidRDefault="00EC13A5" w:rsidP="0055564D">
            <w:pPr>
              <w:spacing w:before="40" w:after="40"/>
              <w:rPr>
                <w:rFonts w:cs="Arial"/>
                <w:sz w:val="20"/>
                <w:szCs w:val="20"/>
              </w:rPr>
            </w:pPr>
            <w:r w:rsidRPr="0055564D">
              <w:rPr>
                <w:rFonts w:cs="Arial"/>
                <w:sz w:val="20"/>
                <w:szCs w:val="20"/>
              </w:rPr>
              <w:t>25</w:t>
            </w:r>
            <w:r w:rsidRPr="0055564D">
              <w:rPr>
                <w:rFonts w:cs="Arial"/>
                <w:sz w:val="20"/>
                <w:szCs w:val="20"/>
                <w:vertAlign w:val="superscript"/>
              </w:rPr>
              <w:t>th</w:t>
            </w:r>
            <w:r w:rsidRPr="0055564D">
              <w:rPr>
                <w:rFonts w:cs="Arial"/>
                <w:sz w:val="20"/>
                <w:szCs w:val="20"/>
              </w:rPr>
              <w:t xml:space="preserve"> 5.2</w:t>
            </w:r>
          </w:p>
          <w:p w14:paraId="21DEBEC8" w14:textId="77777777" w:rsidR="00EC13A5" w:rsidRPr="0055564D" w:rsidRDefault="00EC13A5" w:rsidP="0055564D">
            <w:pPr>
              <w:spacing w:before="40" w:after="40"/>
              <w:rPr>
                <w:rFonts w:cs="Arial"/>
                <w:sz w:val="20"/>
                <w:szCs w:val="20"/>
              </w:rPr>
            </w:pPr>
            <w:r w:rsidRPr="0055564D">
              <w:rPr>
                <w:rFonts w:cs="Arial"/>
                <w:sz w:val="20"/>
                <w:szCs w:val="20"/>
              </w:rPr>
              <w:t>50</w:t>
            </w:r>
            <w:r w:rsidRPr="0055564D">
              <w:rPr>
                <w:rFonts w:cs="Arial"/>
                <w:sz w:val="20"/>
                <w:szCs w:val="20"/>
                <w:vertAlign w:val="superscript"/>
              </w:rPr>
              <w:t>th</w:t>
            </w:r>
            <w:r w:rsidRPr="0055564D">
              <w:rPr>
                <w:rFonts w:cs="Arial"/>
                <w:sz w:val="20"/>
                <w:szCs w:val="20"/>
              </w:rPr>
              <w:t xml:space="preserve"> 7.9</w:t>
            </w:r>
          </w:p>
          <w:p w14:paraId="7949C41D" w14:textId="77777777" w:rsidR="00EC13A5" w:rsidRPr="0055564D" w:rsidRDefault="00EC13A5" w:rsidP="0055564D">
            <w:pPr>
              <w:spacing w:before="40" w:after="40"/>
              <w:rPr>
                <w:rFonts w:cs="Arial"/>
                <w:sz w:val="20"/>
                <w:szCs w:val="20"/>
              </w:rPr>
            </w:pPr>
            <w:r w:rsidRPr="0055564D">
              <w:rPr>
                <w:rFonts w:cs="Arial"/>
                <w:sz w:val="20"/>
                <w:szCs w:val="20"/>
              </w:rPr>
              <w:t>75</w:t>
            </w:r>
            <w:r w:rsidRPr="0055564D">
              <w:rPr>
                <w:rFonts w:cs="Arial"/>
                <w:sz w:val="20"/>
                <w:szCs w:val="20"/>
                <w:vertAlign w:val="superscript"/>
              </w:rPr>
              <w:t>th</w:t>
            </w:r>
            <w:r w:rsidRPr="0055564D">
              <w:rPr>
                <w:rFonts w:cs="Arial"/>
                <w:sz w:val="20"/>
                <w:szCs w:val="20"/>
              </w:rPr>
              <w:t xml:space="preserve"> 12.4</w:t>
            </w:r>
          </w:p>
          <w:p w14:paraId="1DF574FD" w14:textId="77777777" w:rsidR="00EC13A5" w:rsidRPr="0055564D" w:rsidRDefault="00EC13A5" w:rsidP="0055564D">
            <w:pPr>
              <w:spacing w:before="40" w:after="40"/>
              <w:rPr>
                <w:rFonts w:cs="Arial"/>
                <w:sz w:val="20"/>
                <w:szCs w:val="20"/>
              </w:rPr>
            </w:pPr>
          </w:p>
          <w:p w14:paraId="6C95C97A" w14:textId="77777777" w:rsidR="00EC13A5" w:rsidRPr="0055564D" w:rsidRDefault="00EC13A5" w:rsidP="0055564D">
            <w:pPr>
              <w:spacing w:before="40" w:after="40"/>
              <w:rPr>
                <w:rFonts w:cs="Arial"/>
                <w:sz w:val="20"/>
                <w:szCs w:val="20"/>
              </w:rPr>
            </w:pPr>
            <w:r w:rsidRPr="0055564D">
              <w:rPr>
                <w:rFonts w:cs="Arial"/>
                <w:sz w:val="20"/>
                <w:szCs w:val="20"/>
              </w:rPr>
              <w:t>Without CKD</w:t>
            </w:r>
          </w:p>
          <w:p w14:paraId="495F36AB" w14:textId="77777777" w:rsidR="00EC13A5" w:rsidRPr="0055564D" w:rsidRDefault="00EC13A5" w:rsidP="0055564D">
            <w:pPr>
              <w:spacing w:before="40" w:after="40"/>
              <w:rPr>
                <w:rFonts w:cs="Arial"/>
                <w:sz w:val="20"/>
                <w:szCs w:val="20"/>
              </w:rPr>
            </w:pPr>
            <w:r w:rsidRPr="0055564D">
              <w:rPr>
                <w:rFonts w:cs="Arial"/>
                <w:sz w:val="20"/>
                <w:szCs w:val="20"/>
              </w:rPr>
              <w:t>25</w:t>
            </w:r>
            <w:r w:rsidRPr="00243464">
              <w:rPr>
                <w:rFonts w:cs="Arial"/>
                <w:sz w:val="20"/>
                <w:szCs w:val="20"/>
                <w:vertAlign w:val="superscript"/>
              </w:rPr>
              <w:t>th</w:t>
            </w:r>
            <w:r w:rsidRPr="0055564D">
              <w:rPr>
                <w:rFonts w:cs="Arial"/>
                <w:sz w:val="20"/>
                <w:szCs w:val="20"/>
              </w:rPr>
              <w:t xml:space="preserve"> 2.3</w:t>
            </w:r>
          </w:p>
          <w:p w14:paraId="64C126F2" w14:textId="77777777" w:rsidR="00EC13A5" w:rsidRPr="0055564D" w:rsidRDefault="00EC13A5" w:rsidP="0055564D">
            <w:pPr>
              <w:spacing w:before="40" w:after="40"/>
              <w:rPr>
                <w:rFonts w:cs="Arial"/>
                <w:sz w:val="20"/>
                <w:szCs w:val="20"/>
              </w:rPr>
            </w:pPr>
            <w:r w:rsidRPr="0055564D">
              <w:rPr>
                <w:rFonts w:cs="Arial"/>
                <w:sz w:val="20"/>
                <w:szCs w:val="20"/>
              </w:rPr>
              <w:t>50</w:t>
            </w:r>
            <w:r w:rsidRPr="0055564D">
              <w:rPr>
                <w:rFonts w:cs="Arial"/>
                <w:sz w:val="20"/>
                <w:szCs w:val="20"/>
                <w:vertAlign w:val="superscript"/>
              </w:rPr>
              <w:t>th</w:t>
            </w:r>
            <w:r w:rsidRPr="0055564D">
              <w:rPr>
                <w:rFonts w:cs="Arial"/>
                <w:sz w:val="20"/>
                <w:szCs w:val="20"/>
              </w:rPr>
              <w:t xml:space="preserve"> 3.4</w:t>
            </w:r>
          </w:p>
          <w:p w14:paraId="60FFF02C" w14:textId="77777777" w:rsidR="00EC13A5" w:rsidRPr="0055564D" w:rsidRDefault="00EC13A5" w:rsidP="0055564D">
            <w:pPr>
              <w:spacing w:before="40" w:after="40"/>
              <w:rPr>
                <w:rFonts w:cs="Arial"/>
                <w:sz w:val="20"/>
                <w:szCs w:val="20"/>
              </w:rPr>
            </w:pPr>
            <w:r w:rsidRPr="0055564D">
              <w:rPr>
                <w:rFonts w:cs="Arial"/>
                <w:sz w:val="20"/>
                <w:szCs w:val="20"/>
              </w:rPr>
              <w:t>75</w:t>
            </w:r>
            <w:r w:rsidRPr="0055564D">
              <w:rPr>
                <w:rFonts w:cs="Arial"/>
                <w:sz w:val="20"/>
                <w:szCs w:val="20"/>
                <w:vertAlign w:val="superscript"/>
              </w:rPr>
              <w:t>th</w:t>
            </w:r>
            <w:r w:rsidRPr="0055564D">
              <w:rPr>
                <w:rFonts w:cs="Arial"/>
                <w:sz w:val="20"/>
                <w:szCs w:val="20"/>
              </w:rPr>
              <w:t xml:space="preserve"> 5.3</w:t>
            </w:r>
          </w:p>
        </w:tc>
        <w:tc>
          <w:tcPr>
            <w:tcW w:w="0" w:type="auto"/>
          </w:tcPr>
          <w:p w14:paraId="55ADB527" w14:textId="77777777" w:rsidR="00EC13A5" w:rsidRPr="0055564D" w:rsidRDefault="00EC13A5" w:rsidP="0055564D">
            <w:pPr>
              <w:spacing w:before="40" w:after="40"/>
              <w:rPr>
                <w:rFonts w:cs="Arial"/>
                <w:sz w:val="20"/>
                <w:szCs w:val="20"/>
              </w:rPr>
            </w:pPr>
            <w:r w:rsidRPr="0055564D">
              <w:rPr>
                <w:rFonts w:cs="Arial"/>
                <w:sz w:val="20"/>
                <w:szCs w:val="20"/>
              </w:rPr>
              <w:t xml:space="preserve">With CKD: </w:t>
            </w:r>
          </w:p>
          <w:p w14:paraId="040B8BF6" w14:textId="41C2BF21" w:rsidR="00EC13A5" w:rsidRPr="0055564D" w:rsidRDefault="00C533CE" w:rsidP="0055564D">
            <w:pPr>
              <w:spacing w:before="40" w:after="40"/>
              <w:rPr>
                <w:rFonts w:cs="Arial"/>
                <w:sz w:val="20"/>
                <w:szCs w:val="20"/>
              </w:rPr>
            </w:pPr>
            <w:r>
              <w:rPr>
                <w:rFonts w:cs="Arial"/>
                <w:sz w:val="20"/>
                <w:szCs w:val="20"/>
              </w:rPr>
              <w:t>HR=1.93 (95</w:t>
            </w:r>
            <w:r w:rsidR="00EC13A5" w:rsidRPr="0055564D">
              <w:rPr>
                <w:rFonts w:cs="Arial"/>
                <w:sz w:val="20"/>
                <w:szCs w:val="20"/>
              </w:rPr>
              <w:t>%</w:t>
            </w:r>
            <w:r>
              <w:rPr>
                <w:rFonts w:cs="Arial"/>
                <w:sz w:val="20"/>
                <w:szCs w:val="20"/>
              </w:rPr>
              <w:t xml:space="preserve"> CI: 1.13–</w:t>
            </w:r>
            <w:r w:rsidR="00EC13A5" w:rsidRPr="0055564D">
              <w:rPr>
                <w:rFonts w:cs="Arial"/>
                <w:sz w:val="20"/>
                <w:szCs w:val="20"/>
              </w:rPr>
              <w:t>3.29)</w:t>
            </w:r>
          </w:p>
          <w:p w14:paraId="4A051A55" w14:textId="77777777" w:rsidR="00EC13A5" w:rsidRPr="0055564D" w:rsidRDefault="00EC13A5" w:rsidP="0055564D">
            <w:pPr>
              <w:spacing w:before="40" w:after="40"/>
              <w:rPr>
                <w:rFonts w:cs="Arial"/>
                <w:sz w:val="20"/>
                <w:szCs w:val="20"/>
              </w:rPr>
            </w:pPr>
          </w:p>
          <w:p w14:paraId="092A5E2A" w14:textId="77777777" w:rsidR="00EC13A5" w:rsidRPr="0055564D" w:rsidRDefault="00EC13A5" w:rsidP="0055564D">
            <w:pPr>
              <w:spacing w:before="40" w:after="40"/>
              <w:rPr>
                <w:rFonts w:cs="Arial"/>
                <w:sz w:val="20"/>
                <w:szCs w:val="20"/>
              </w:rPr>
            </w:pPr>
          </w:p>
          <w:p w14:paraId="396B2735" w14:textId="77777777" w:rsidR="00EC13A5" w:rsidRPr="0055564D" w:rsidRDefault="00EC13A5" w:rsidP="0055564D">
            <w:pPr>
              <w:spacing w:before="40" w:after="40"/>
              <w:rPr>
                <w:rFonts w:cs="Arial"/>
                <w:sz w:val="20"/>
                <w:szCs w:val="20"/>
              </w:rPr>
            </w:pPr>
            <w:r w:rsidRPr="0055564D">
              <w:rPr>
                <w:rFonts w:cs="Arial"/>
                <w:sz w:val="20"/>
                <w:szCs w:val="20"/>
              </w:rPr>
              <w:t>Without CKD</w:t>
            </w:r>
          </w:p>
          <w:p w14:paraId="5ECBEDB3" w14:textId="77777777" w:rsidR="00EC13A5" w:rsidRPr="0055564D" w:rsidRDefault="00EC13A5" w:rsidP="0055564D">
            <w:pPr>
              <w:spacing w:before="40" w:after="40"/>
              <w:rPr>
                <w:rFonts w:cs="Arial"/>
                <w:sz w:val="20"/>
                <w:szCs w:val="20"/>
              </w:rPr>
            </w:pPr>
            <w:r w:rsidRPr="0055564D">
              <w:rPr>
                <w:rFonts w:cs="Arial"/>
                <w:sz w:val="20"/>
                <w:szCs w:val="20"/>
              </w:rPr>
              <w:t>HR=1.47 (95% CI: 1.02–2.12)</w:t>
            </w:r>
          </w:p>
        </w:tc>
      </w:tr>
      <w:tr w:rsidR="00EC13A5" w:rsidRPr="0055564D" w14:paraId="229DD907" w14:textId="77777777" w:rsidTr="00DB0260">
        <w:trPr>
          <w:cantSplit/>
        </w:trPr>
        <w:tc>
          <w:tcPr>
            <w:tcW w:w="0" w:type="auto"/>
          </w:tcPr>
          <w:p w14:paraId="2DC229F7" w14:textId="65A3A184" w:rsidR="00EC13A5" w:rsidRPr="0055564D" w:rsidRDefault="00611B76" w:rsidP="0055564D">
            <w:pPr>
              <w:spacing w:before="40" w:after="40"/>
              <w:rPr>
                <w:rFonts w:cs="Arial"/>
                <w:sz w:val="20"/>
                <w:szCs w:val="20"/>
              </w:rPr>
            </w:pPr>
            <w:r>
              <w:rPr>
                <w:rFonts w:cs="Arial"/>
                <w:sz w:val="20"/>
                <w:szCs w:val="20"/>
              </w:rPr>
              <w:t>Senthong</w:t>
            </w:r>
            <w:r w:rsidR="00EC13A5" w:rsidRPr="0055564D">
              <w:rPr>
                <w:rFonts w:cs="Arial"/>
                <w:sz w:val="20"/>
                <w:szCs w:val="20"/>
              </w:rPr>
              <w:t xml:space="preserve"> 2016b</w:t>
            </w:r>
          </w:p>
        </w:tc>
        <w:tc>
          <w:tcPr>
            <w:tcW w:w="0" w:type="auto"/>
          </w:tcPr>
          <w:p w14:paraId="0CD0B35D" w14:textId="77777777" w:rsidR="00EC13A5" w:rsidRPr="0055564D" w:rsidRDefault="00EC13A5" w:rsidP="0055564D">
            <w:pPr>
              <w:autoSpaceDE w:val="0"/>
              <w:autoSpaceDN w:val="0"/>
              <w:adjustRightInd w:val="0"/>
              <w:spacing w:before="40" w:after="40"/>
              <w:rPr>
                <w:rFonts w:cs="Arial"/>
                <w:sz w:val="20"/>
                <w:szCs w:val="20"/>
              </w:rPr>
            </w:pPr>
            <w:r w:rsidRPr="0055564D">
              <w:rPr>
                <w:rFonts w:cs="Arial"/>
                <w:sz w:val="20"/>
                <w:szCs w:val="20"/>
              </w:rPr>
              <w:t xml:space="preserve">Patients with coronary artery stenosis managed with optimal treatment (COURAGE*-like) </w:t>
            </w:r>
          </w:p>
        </w:tc>
        <w:tc>
          <w:tcPr>
            <w:tcW w:w="0" w:type="auto"/>
          </w:tcPr>
          <w:p w14:paraId="3D7DA6F7" w14:textId="77777777" w:rsidR="00EC13A5" w:rsidRPr="0055564D" w:rsidRDefault="00EC13A5" w:rsidP="0055564D">
            <w:pPr>
              <w:spacing w:before="40" w:after="40"/>
              <w:rPr>
                <w:rFonts w:cs="Arial"/>
                <w:sz w:val="20"/>
                <w:szCs w:val="20"/>
              </w:rPr>
            </w:pPr>
            <w:r w:rsidRPr="0055564D">
              <w:rPr>
                <w:rFonts w:cs="Arial"/>
                <w:sz w:val="20"/>
                <w:szCs w:val="20"/>
              </w:rPr>
              <w:t>2235</w:t>
            </w:r>
          </w:p>
        </w:tc>
        <w:tc>
          <w:tcPr>
            <w:tcW w:w="0" w:type="auto"/>
          </w:tcPr>
          <w:p w14:paraId="187B23B4" w14:textId="77777777" w:rsidR="00EC13A5" w:rsidRPr="0055564D" w:rsidRDefault="00EC13A5" w:rsidP="0055564D">
            <w:pPr>
              <w:spacing w:before="40" w:after="40"/>
              <w:rPr>
                <w:rFonts w:cs="Arial"/>
                <w:sz w:val="20"/>
                <w:szCs w:val="20"/>
              </w:rPr>
            </w:pPr>
            <w:r w:rsidRPr="0055564D">
              <w:rPr>
                <w:rFonts w:cs="Arial"/>
                <w:sz w:val="20"/>
                <w:szCs w:val="20"/>
              </w:rPr>
              <w:t>5 years</w:t>
            </w:r>
          </w:p>
        </w:tc>
        <w:tc>
          <w:tcPr>
            <w:tcW w:w="0" w:type="auto"/>
          </w:tcPr>
          <w:p w14:paraId="47157F4A" w14:textId="77777777" w:rsidR="00EC13A5" w:rsidRPr="0055564D" w:rsidRDefault="00EC13A5" w:rsidP="0055564D">
            <w:pPr>
              <w:spacing w:before="40" w:after="40"/>
              <w:rPr>
                <w:rFonts w:cs="Arial"/>
                <w:sz w:val="20"/>
                <w:szCs w:val="20"/>
              </w:rPr>
            </w:pPr>
            <w:r w:rsidRPr="0055564D">
              <w:rPr>
                <w:rFonts w:cs="Arial"/>
                <w:sz w:val="20"/>
                <w:szCs w:val="20"/>
              </w:rPr>
              <w:t>All-cause mortality (338)</w:t>
            </w:r>
          </w:p>
        </w:tc>
        <w:tc>
          <w:tcPr>
            <w:tcW w:w="0" w:type="auto"/>
          </w:tcPr>
          <w:p w14:paraId="1EC11DFD" w14:textId="77777777" w:rsidR="00EC13A5" w:rsidRPr="0055564D" w:rsidRDefault="00EC13A5" w:rsidP="0055564D">
            <w:pPr>
              <w:spacing w:before="40" w:after="40"/>
              <w:rPr>
                <w:rFonts w:cs="Arial"/>
                <w:sz w:val="20"/>
                <w:szCs w:val="20"/>
              </w:rPr>
            </w:pPr>
            <w:r w:rsidRPr="0055564D">
              <w:rPr>
                <w:rFonts w:cs="Arial"/>
                <w:sz w:val="20"/>
                <w:szCs w:val="20"/>
              </w:rPr>
              <w:t>25</w:t>
            </w:r>
            <w:r w:rsidRPr="0055564D">
              <w:rPr>
                <w:rFonts w:cs="Arial"/>
                <w:sz w:val="20"/>
                <w:szCs w:val="20"/>
                <w:vertAlign w:val="superscript"/>
              </w:rPr>
              <w:t xml:space="preserve">th </w:t>
            </w:r>
            <w:r w:rsidRPr="0055564D">
              <w:rPr>
                <w:rFonts w:cs="Arial"/>
                <w:sz w:val="20"/>
                <w:szCs w:val="20"/>
              </w:rPr>
              <w:t>2.5</w:t>
            </w:r>
          </w:p>
          <w:p w14:paraId="71A84029" w14:textId="77777777" w:rsidR="00EC13A5" w:rsidRPr="0055564D" w:rsidRDefault="00EC13A5" w:rsidP="0055564D">
            <w:pPr>
              <w:spacing w:before="40" w:after="40"/>
              <w:rPr>
                <w:rFonts w:cs="Arial"/>
                <w:sz w:val="20"/>
                <w:szCs w:val="20"/>
              </w:rPr>
            </w:pPr>
            <w:r w:rsidRPr="0055564D">
              <w:rPr>
                <w:rFonts w:cs="Arial"/>
                <w:sz w:val="20"/>
                <w:szCs w:val="20"/>
              </w:rPr>
              <w:t>50</w:t>
            </w:r>
            <w:r w:rsidRPr="0055564D">
              <w:rPr>
                <w:rFonts w:cs="Arial"/>
                <w:sz w:val="20"/>
                <w:szCs w:val="20"/>
                <w:vertAlign w:val="superscript"/>
              </w:rPr>
              <w:t xml:space="preserve">th </w:t>
            </w:r>
            <w:r w:rsidRPr="0055564D">
              <w:rPr>
                <w:rFonts w:cs="Arial"/>
                <w:sz w:val="20"/>
                <w:szCs w:val="20"/>
              </w:rPr>
              <w:t>3.8</w:t>
            </w:r>
          </w:p>
          <w:p w14:paraId="5EB24926" w14:textId="77777777" w:rsidR="00EC13A5" w:rsidRPr="0055564D" w:rsidRDefault="00EC13A5" w:rsidP="0055564D">
            <w:pPr>
              <w:spacing w:before="40" w:after="40"/>
              <w:rPr>
                <w:rFonts w:cs="Arial"/>
                <w:sz w:val="20"/>
                <w:szCs w:val="20"/>
              </w:rPr>
            </w:pPr>
            <w:r w:rsidRPr="0055564D">
              <w:rPr>
                <w:rFonts w:cs="Arial"/>
                <w:sz w:val="20"/>
                <w:szCs w:val="20"/>
              </w:rPr>
              <w:t>75</w:t>
            </w:r>
            <w:r w:rsidRPr="0055564D">
              <w:rPr>
                <w:rFonts w:cs="Arial"/>
                <w:sz w:val="20"/>
                <w:szCs w:val="20"/>
                <w:vertAlign w:val="superscript"/>
              </w:rPr>
              <w:t xml:space="preserve">th </w:t>
            </w:r>
            <w:r w:rsidRPr="0055564D">
              <w:rPr>
                <w:rFonts w:cs="Arial"/>
                <w:sz w:val="20"/>
                <w:szCs w:val="20"/>
              </w:rPr>
              <w:t>6.5</w:t>
            </w:r>
          </w:p>
        </w:tc>
        <w:tc>
          <w:tcPr>
            <w:tcW w:w="0" w:type="auto"/>
          </w:tcPr>
          <w:p w14:paraId="78AD1224" w14:textId="1D555222" w:rsidR="00EC13A5" w:rsidRPr="0055564D" w:rsidRDefault="00C533CE" w:rsidP="0055564D">
            <w:pPr>
              <w:spacing w:before="40" w:after="40"/>
              <w:rPr>
                <w:rFonts w:cs="Arial"/>
                <w:sz w:val="20"/>
                <w:szCs w:val="20"/>
              </w:rPr>
            </w:pPr>
            <w:r>
              <w:rPr>
                <w:rFonts w:cs="Arial"/>
                <w:sz w:val="20"/>
                <w:szCs w:val="20"/>
              </w:rPr>
              <w:t>HR=1.71 (95% CI: 1.11–</w:t>
            </w:r>
            <w:r w:rsidR="00EC13A5" w:rsidRPr="0055564D">
              <w:rPr>
                <w:rFonts w:cs="Arial"/>
                <w:sz w:val="20"/>
                <w:szCs w:val="20"/>
              </w:rPr>
              <w:t>2.61)</w:t>
            </w:r>
          </w:p>
        </w:tc>
      </w:tr>
      <w:tr w:rsidR="00EC13A5" w:rsidRPr="0055564D" w14:paraId="5A05DA1C" w14:textId="77777777" w:rsidTr="00DB0260">
        <w:trPr>
          <w:cantSplit/>
        </w:trPr>
        <w:tc>
          <w:tcPr>
            <w:tcW w:w="0" w:type="auto"/>
          </w:tcPr>
          <w:p w14:paraId="1C8A7A9F" w14:textId="348171F9" w:rsidR="00EC13A5" w:rsidRPr="0055564D" w:rsidRDefault="00611B76" w:rsidP="008D5447">
            <w:pPr>
              <w:spacing w:before="40" w:after="40"/>
              <w:rPr>
                <w:rFonts w:cs="Arial"/>
                <w:sz w:val="20"/>
                <w:szCs w:val="20"/>
              </w:rPr>
            </w:pPr>
            <w:r>
              <w:rPr>
                <w:rFonts w:cs="Arial"/>
                <w:sz w:val="20"/>
                <w:szCs w:val="20"/>
              </w:rPr>
              <w:t>Senthong 2015 and Senthong</w:t>
            </w:r>
            <w:r w:rsidR="00EC13A5" w:rsidRPr="0055564D">
              <w:rPr>
                <w:rFonts w:cs="Arial"/>
                <w:sz w:val="20"/>
                <w:szCs w:val="20"/>
              </w:rPr>
              <w:t xml:space="preserve"> 2016a </w:t>
            </w:r>
          </w:p>
        </w:tc>
        <w:tc>
          <w:tcPr>
            <w:tcW w:w="0" w:type="auto"/>
          </w:tcPr>
          <w:p w14:paraId="078EEF92" w14:textId="77777777" w:rsidR="00EC13A5" w:rsidRPr="0055564D" w:rsidRDefault="00EC13A5" w:rsidP="0055564D">
            <w:pPr>
              <w:spacing w:before="40" w:after="40"/>
              <w:rPr>
                <w:rFonts w:cs="Arial"/>
                <w:sz w:val="20"/>
                <w:szCs w:val="20"/>
              </w:rPr>
            </w:pPr>
            <w:r w:rsidRPr="0055564D">
              <w:rPr>
                <w:rFonts w:cs="Arial"/>
                <w:sz w:val="20"/>
                <w:szCs w:val="20"/>
              </w:rPr>
              <w:t>Patients with history of peripheral arterial disease (935) without aortic aneurysm (minus 100) minus no data (14)</w:t>
            </w:r>
          </w:p>
        </w:tc>
        <w:tc>
          <w:tcPr>
            <w:tcW w:w="0" w:type="auto"/>
          </w:tcPr>
          <w:p w14:paraId="1189644C" w14:textId="77777777" w:rsidR="00EC13A5" w:rsidRPr="0055564D" w:rsidRDefault="00EC13A5" w:rsidP="0055564D">
            <w:pPr>
              <w:spacing w:before="40" w:after="40"/>
              <w:rPr>
                <w:rFonts w:cs="Arial"/>
                <w:sz w:val="20"/>
                <w:szCs w:val="20"/>
              </w:rPr>
            </w:pPr>
            <w:r w:rsidRPr="0055564D">
              <w:rPr>
                <w:rFonts w:cs="Arial"/>
                <w:sz w:val="20"/>
                <w:szCs w:val="20"/>
              </w:rPr>
              <w:t>821</w:t>
            </w:r>
          </w:p>
          <w:p w14:paraId="5ED96A2F" w14:textId="77777777" w:rsidR="00EC13A5" w:rsidRPr="0055564D" w:rsidRDefault="00EC13A5" w:rsidP="0055564D">
            <w:pPr>
              <w:spacing w:before="40" w:after="40"/>
              <w:rPr>
                <w:rFonts w:cs="Arial"/>
                <w:sz w:val="20"/>
                <w:szCs w:val="20"/>
              </w:rPr>
            </w:pPr>
          </w:p>
          <w:p w14:paraId="55CB7E37" w14:textId="77777777" w:rsidR="00EC13A5" w:rsidRPr="0055564D" w:rsidRDefault="00EC13A5" w:rsidP="0055564D">
            <w:pPr>
              <w:spacing w:before="40" w:after="40"/>
              <w:rPr>
                <w:rFonts w:cs="Arial"/>
                <w:sz w:val="20"/>
                <w:szCs w:val="20"/>
              </w:rPr>
            </w:pPr>
          </w:p>
        </w:tc>
        <w:tc>
          <w:tcPr>
            <w:tcW w:w="0" w:type="auto"/>
          </w:tcPr>
          <w:p w14:paraId="7AB5E875" w14:textId="77777777" w:rsidR="00EC13A5" w:rsidRPr="0055564D" w:rsidRDefault="00EC13A5" w:rsidP="0055564D">
            <w:pPr>
              <w:spacing w:before="40" w:after="40"/>
              <w:rPr>
                <w:rFonts w:cs="Arial"/>
                <w:sz w:val="20"/>
                <w:szCs w:val="20"/>
              </w:rPr>
            </w:pPr>
            <w:r w:rsidRPr="0055564D">
              <w:rPr>
                <w:rFonts w:cs="Arial"/>
                <w:sz w:val="20"/>
                <w:szCs w:val="20"/>
              </w:rPr>
              <w:t>3 years</w:t>
            </w:r>
          </w:p>
          <w:p w14:paraId="2FA3C099" w14:textId="77777777" w:rsidR="00EC13A5" w:rsidRPr="0055564D" w:rsidRDefault="00EC13A5" w:rsidP="0055564D">
            <w:pPr>
              <w:spacing w:before="40" w:after="40"/>
              <w:rPr>
                <w:rFonts w:cs="Arial"/>
                <w:sz w:val="20"/>
                <w:szCs w:val="20"/>
              </w:rPr>
            </w:pPr>
          </w:p>
          <w:p w14:paraId="38207D3B" w14:textId="77777777" w:rsidR="00EC13A5" w:rsidRPr="0055564D" w:rsidRDefault="00EC13A5" w:rsidP="0055564D">
            <w:pPr>
              <w:spacing w:before="40" w:after="40"/>
              <w:rPr>
                <w:rFonts w:cs="Arial"/>
                <w:sz w:val="20"/>
                <w:szCs w:val="20"/>
              </w:rPr>
            </w:pPr>
          </w:p>
          <w:p w14:paraId="51711D7E" w14:textId="77777777" w:rsidR="00EC13A5" w:rsidRPr="0055564D" w:rsidRDefault="00EC13A5" w:rsidP="0055564D">
            <w:pPr>
              <w:spacing w:before="40" w:after="40"/>
              <w:rPr>
                <w:rFonts w:cs="Arial"/>
                <w:sz w:val="20"/>
                <w:szCs w:val="20"/>
              </w:rPr>
            </w:pPr>
            <w:r w:rsidRPr="0055564D">
              <w:rPr>
                <w:rFonts w:cs="Arial"/>
                <w:sz w:val="20"/>
                <w:szCs w:val="20"/>
              </w:rPr>
              <w:t>5 years</w:t>
            </w:r>
          </w:p>
        </w:tc>
        <w:tc>
          <w:tcPr>
            <w:tcW w:w="0" w:type="auto"/>
          </w:tcPr>
          <w:p w14:paraId="7B855B8A" w14:textId="77777777" w:rsidR="00EC13A5" w:rsidRPr="0055564D" w:rsidRDefault="00EC13A5" w:rsidP="0055564D">
            <w:pPr>
              <w:spacing w:before="40" w:after="40"/>
              <w:rPr>
                <w:rFonts w:cs="Arial"/>
                <w:sz w:val="20"/>
                <w:szCs w:val="20"/>
              </w:rPr>
            </w:pPr>
            <w:r w:rsidRPr="0055564D">
              <w:rPr>
                <w:rFonts w:cs="Arial"/>
                <w:sz w:val="20"/>
                <w:szCs w:val="20"/>
              </w:rPr>
              <w:t>MACE</w:t>
            </w:r>
          </w:p>
          <w:p w14:paraId="4615A522" w14:textId="77777777" w:rsidR="00EC13A5" w:rsidRPr="0055564D" w:rsidRDefault="00EC13A5" w:rsidP="0055564D">
            <w:pPr>
              <w:spacing w:before="40" w:after="40"/>
              <w:rPr>
                <w:rFonts w:cs="Arial"/>
                <w:sz w:val="20"/>
                <w:szCs w:val="20"/>
              </w:rPr>
            </w:pPr>
          </w:p>
          <w:p w14:paraId="476CE7B0" w14:textId="77777777" w:rsidR="00EC13A5" w:rsidRPr="0055564D" w:rsidRDefault="00EC13A5" w:rsidP="0055564D">
            <w:pPr>
              <w:spacing w:before="40" w:after="40"/>
              <w:rPr>
                <w:rFonts w:cs="Arial"/>
                <w:sz w:val="20"/>
                <w:szCs w:val="20"/>
              </w:rPr>
            </w:pPr>
            <w:r w:rsidRPr="0055564D">
              <w:rPr>
                <w:rFonts w:cs="Arial"/>
                <w:sz w:val="20"/>
                <w:szCs w:val="20"/>
              </w:rPr>
              <w:t>All-cause mortality (222)</w:t>
            </w:r>
          </w:p>
        </w:tc>
        <w:tc>
          <w:tcPr>
            <w:tcW w:w="0" w:type="auto"/>
          </w:tcPr>
          <w:p w14:paraId="380118B7" w14:textId="77777777" w:rsidR="00EC13A5" w:rsidRPr="0055564D" w:rsidRDefault="00EC13A5" w:rsidP="0055564D">
            <w:pPr>
              <w:spacing w:before="40" w:after="40"/>
              <w:rPr>
                <w:rFonts w:cs="Arial"/>
                <w:sz w:val="20"/>
                <w:szCs w:val="20"/>
              </w:rPr>
            </w:pPr>
            <w:r w:rsidRPr="0055564D">
              <w:rPr>
                <w:rFonts w:cs="Arial"/>
                <w:sz w:val="20"/>
                <w:szCs w:val="20"/>
              </w:rPr>
              <w:t>25</w:t>
            </w:r>
            <w:r w:rsidRPr="0055564D">
              <w:rPr>
                <w:rFonts w:cs="Arial"/>
                <w:sz w:val="20"/>
                <w:szCs w:val="20"/>
                <w:vertAlign w:val="superscript"/>
              </w:rPr>
              <w:t xml:space="preserve">th </w:t>
            </w:r>
            <w:r w:rsidRPr="0055564D">
              <w:rPr>
                <w:rFonts w:cs="Arial"/>
                <w:sz w:val="20"/>
                <w:szCs w:val="20"/>
              </w:rPr>
              <w:t>2.9</w:t>
            </w:r>
          </w:p>
          <w:p w14:paraId="1D1DECCA" w14:textId="77777777" w:rsidR="00EC13A5" w:rsidRPr="0055564D" w:rsidRDefault="00EC13A5" w:rsidP="0055564D">
            <w:pPr>
              <w:spacing w:before="40" w:after="40"/>
              <w:rPr>
                <w:rFonts w:cs="Arial"/>
                <w:sz w:val="20"/>
                <w:szCs w:val="20"/>
              </w:rPr>
            </w:pPr>
            <w:r w:rsidRPr="0055564D">
              <w:rPr>
                <w:rFonts w:cs="Arial"/>
                <w:sz w:val="20"/>
                <w:szCs w:val="20"/>
              </w:rPr>
              <w:t>50</w:t>
            </w:r>
            <w:r w:rsidRPr="0055564D">
              <w:rPr>
                <w:rFonts w:cs="Arial"/>
                <w:sz w:val="20"/>
                <w:szCs w:val="20"/>
                <w:vertAlign w:val="superscript"/>
              </w:rPr>
              <w:t xml:space="preserve">th </w:t>
            </w:r>
            <w:r w:rsidRPr="0055564D">
              <w:rPr>
                <w:rFonts w:cs="Arial"/>
                <w:sz w:val="20"/>
                <w:szCs w:val="20"/>
              </w:rPr>
              <w:t>4.8</w:t>
            </w:r>
          </w:p>
          <w:p w14:paraId="2011BFBA" w14:textId="77777777" w:rsidR="00EC13A5" w:rsidRPr="0055564D" w:rsidRDefault="00EC13A5" w:rsidP="0055564D">
            <w:pPr>
              <w:spacing w:before="40" w:after="40"/>
              <w:rPr>
                <w:rFonts w:cs="Arial"/>
                <w:sz w:val="20"/>
                <w:szCs w:val="20"/>
              </w:rPr>
            </w:pPr>
            <w:r w:rsidRPr="0055564D">
              <w:rPr>
                <w:rFonts w:cs="Arial"/>
                <w:sz w:val="20"/>
                <w:szCs w:val="20"/>
              </w:rPr>
              <w:t>75</w:t>
            </w:r>
            <w:r w:rsidRPr="0055564D">
              <w:rPr>
                <w:rFonts w:cs="Arial"/>
                <w:sz w:val="20"/>
                <w:szCs w:val="20"/>
                <w:vertAlign w:val="superscript"/>
              </w:rPr>
              <w:t xml:space="preserve">th </w:t>
            </w:r>
            <w:r w:rsidRPr="0055564D">
              <w:rPr>
                <w:rFonts w:cs="Arial"/>
                <w:sz w:val="20"/>
                <w:szCs w:val="20"/>
              </w:rPr>
              <w:t>8.0</w:t>
            </w:r>
          </w:p>
        </w:tc>
        <w:tc>
          <w:tcPr>
            <w:tcW w:w="0" w:type="auto"/>
          </w:tcPr>
          <w:p w14:paraId="63F4FAD7" w14:textId="58356339" w:rsidR="00EC13A5" w:rsidRPr="0055564D" w:rsidRDefault="00C533CE" w:rsidP="0055564D">
            <w:pPr>
              <w:spacing w:before="40" w:after="40"/>
              <w:rPr>
                <w:rFonts w:cs="Arial"/>
                <w:sz w:val="20"/>
                <w:szCs w:val="20"/>
              </w:rPr>
            </w:pPr>
            <w:r>
              <w:rPr>
                <w:rFonts w:cs="Arial"/>
                <w:sz w:val="20"/>
                <w:szCs w:val="20"/>
              </w:rPr>
              <w:t>HR=1.74 (95% CI: 1.2–</w:t>
            </w:r>
            <w:r w:rsidR="00EC13A5" w:rsidRPr="0055564D">
              <w:rPr>
                <w:rFonts w:cs="Arial"/>
                <w:sz w:val="20"/>
                <w:szCs w:val="20"/>
              </w:rPr>
              <w:t>2.51)</w:t>
            </w:r>
          </w:p>
          <w:p w14:paraId="4847F3C1" w14:textId="77777777" w:rsidR="00EC13A5" w:rsidRPr="0055564D" w:rsidRDefault="00EC13A5" w:rsidP="0055564D">
            <w:pPr>
              <w:spacing w:before="40" w:after="40"/>
              <w:rPr>
                <w:rFonts w:cs="Arial"/>
                <w:sz w:val="20"/>
                <w:szCs w:val="20"/>
              </w:rPr>
            </w:pPr>
          </w:p>
          <w:p w14:paraId="0B5F114D" w14:textId="77777777" w:rsidR="00EC13A5" w:rsidRPr="0055564D" w:rsidRDefault="00EC13A5" w:rsidP="0055564D">
            <w:pPr>
              <w:spacing w:before="40" w:after="40"/>
              <w:rPr>
                <w:rFonts w:cs="Arial"/>
                <w:sz w:val="20"/>
                <w:szCs w:val="20"/>
              </w:rPr>
            </w:pPr>
          </w:p>
          <w:p w14:paraId="592776CF" w14:textId="77777777" w:rsidR="00EC13A5" w:rsidRPr="0055564D" w:rsidRDefault="00EC13A5" w:rsidP="0055564D">
            <w:pPr>
              <w:spacing w:before="40" w:after="40"/>
              <w:rPr>
                <w:rFonts w:cs="Arial"/>
                <w:sz w:val="20"/>
                <w:szCs w:val="20"/>
              </w:rPr>
            </w:pPr>
            <w:r w:rsidRPr="0055564D">
              <w:rPr>
                <w:rFonts w:cs="Arial"/>
                <w:sz w:val="20"/>
                <w:szCs w:val="20"/>
              </w:rPr>
              <w:t>HR=1.88 (95% CI:1.21–2.92)</w:t>
            </w:r>
          </w:p>
        </w:tc>
      </w:tr>
      <w:tr w:rsidR="00EC13A5" w:rsidRPr="0055564D" w14:paraId="753048AE" w14:textId="77777777" w:rsidTr="00DB0260">
        <w:trPr>
          <w:cantSplit/>
        </w:trPr>
        <w:tc>
          <w:tcPr>
            <w:tcW w:w="0" w:type="auto"/>
          </w:tcPr>
          <w:p w14:paraId="2D8D4821" w14:textId="77777777" w:rsidR="00EC13A5" w:rsidRPr="0055564D" w:rsidRDefault="00EC13A5" w:rsidP="0055564D">
            <w:pPr>
              <w:spacing w:before="40" w:after="40"/>
              <w:rPr>
                <w:rFonts w:cs="Arial"/>
                <w:sz w:val="20"/>
                <w:szCs w:val="20"/>
              </w:rPr>
            </w:pPr>
            <w:r w:rsidRPr="0055564D">
              <w:rPr>
                <w:rFonts w:cs="Arial"/>
                <w:sz w:val="20"/>
                <w:szCs w:val="20"/>
              </w:rPr>
              <w:t>Li 2018</w:t>
            </w:r>
          </w:p>
        </w:tc>
        <w:tc>
          <w:tcPr>
            <w:tcW w:w="0" w:type="auto"/>
          </w:tcPr>
          <w:p w14:paraId="2014D94E" w14:textId="58F7AB74" w:rsidR="00EC13A5" w:rsidRPr="0055564D" w:rsidRDefault="00EC13A5" w:rsidP="0055564D">
            <w:pPr>
              <w:spacing w:before="40" w:after="40"/>
              <w:rPr>
                <w:rFonts w:cs="Arial"/>
                <w:sz w:val="20"/>
                <w:szCs w:val="20"/>
              </w:rPr>
            </w:pPr>
            <w:r w:rsidRPr="0055564D">
              <w:rPr>
                <w:rFonts w:cs="Arial"/>
                <w:sz w:val="20"/>
                <w:szCs w:val="20"/>
              </w:rPr>
              <w:t>At least some, if not all, of the subjects may be part of the 4007 cohort</w:t>
            </w:r>
            <w:r w:rsidR="0055564D" w:rsidRPr="0055564D">
              <w:rPr>
                <w:rFonts w:cs="Arial"/>
                <w:sz w:val="20"/>
                <w:szCs w:val="20"/>
              </w:rPr>
              <w:t xml:space="preserve">. </w:t>
            </w:r>
          </w:p>
        </w:tc>
        <w:tc>
          <w:tcPr>
            <w:tcW w:w="0" w:type="auto"/>
          </w:tcPr>
          <w:p w14:paraId="5AE14B78" w14:textId="77777777" w:rsidR="00EC13A5" w:rsidRPr="0055564D" w:rsidRDefault="00EC13A5" w:rsidP="0055564D">
            <w:pPr>
              <w:spacing w:before="40" w:after="40"/>
              <w:rPr>
                <w:rFonts w:cs="Arial"/>
                <w:sz w:val="20"/>
                <w:szCs w:val="20"/>
              </w:rPr>
            </w:pPr>
            <w:r w:rsidRPr="0055564D">
              <w:rPr>
                <w:rFonts w:cs="Arial"/>
                <w:sz w:val="20"/>
                <w:szCs w:val="20"/>
              </w:rPr>
              <w:t>2140</w:t>
            </w:r>
          </w:p>
        </w:tc>
        <w:tc>
          <w:tcPr>
            <w:tcW w:w="0" w:type="auto"/>
          </w:tcPr>
          <w:p w14:paraId="10191509" w14:textId="77777777" w:rsidR="00EC13A5" w:rsidRPr="0055564D" w:rsidRDefault="00EC13A5" w:rsidP="0055564D">
            <w:pPr>
              <w:spacing w:before="40" w:after="40"/>
              <w:rPr>
                <w:rFonts w:cs="Arial"/>
                <w:sz w:val="20"/>
                <w:szCs w:val="20"/>
              </w:rPr>
            </w:pPr>
            <w:r w:rsidRPr="0055564D">
              <w:rPr>
                <w:rFonts w:cs="Arial"/>
                <w:sz w:val="20"/>
                <w:szCs w:val="20"/>
              </w:rPr>
              <w:t>3 years</w:t>
            </w:r>
          </w:p>
          <w:p w14:paraId="2D48B6F7" w14:textId="77777777" w:rsidR="00EC13A5" w:rsidRPr="0055564D" w:rsidRDefault="00EC13A5" w:rsidP="0055564D">
            <w:pPr>
              <w:spacing w:before="40" w:after="40"/>
              <w:rPr>
                <w:rFonts w:cs="Arial"/>
                <w:sz w:val="20"/>
                <w:szCs w:val="20"/>
              </w:rPr>
            </w:pPr>
          </w:p>
          <w:p w14:paraId="09313853" w14:textId="77777777" w:rsidR="00EC13A5" w:rsidRPr="0055564D" w:rsidRDefault="00EC13A5" w:rsidP="0055564D">
            <w:pPr>
              <w:spacing w:before="40" w:after="40"/>
              <w:rPr>
                <w:rFonts w:cs="Arial"/>
                <w:sz w:val="20"/>
                <w:szCs w:val="20"/>
              </w:rPr>
            </w:pPr>
          </w:p>
          <w:p w14:paraId="404A82E5" w14:textId="77777777" w:rsidR="00EC13A5" w:rsidRPr="0055564D" w:rsidRDefault="00EC13A5" w:rsidP="0055564D">
            <w:pPr>
              <w:spacing w:before="40" w:after="40"/>
              <w:rPr>
                <w:rFonts w:cs="Arial"/>
                <w:sz w:val="20"/>
                <w:szCs w:val="20"/>
              </w:rPr>
            </w:pPr>
            <w:r w:rsidRPr="0055564D">
              <w:rPr>
                <w:rFonts w:cs="Arial"/>
                <w:sz w:val="20"/>
                <w:szCs w:val="20"/>
              </w:rPr>
              <w:t>5 years</w:t>
            </w:r>
          </w:p>
        </w:tc>
        <w:tc>
          <w:tcPr>
            <w:tcW w:w="0" w:type="auto"/>
          </w:tcPr>
          <w:p w14:paraId="058C749F" w14:textId="77777777" w:rsidR="00EC13A5" w:rsidRPr="0055564D" w:rsidRDefault="00EC13A5" w:rsidP="0055564D">
            <w:pPr>
              <w:spacing w:before="40" w:after="40"/>
              <w:rPr>
                <w:rFonts w:cs="Arial"/>
                <w:sz w:val="20"/>
                <w:szCs w:val="20"/>
              </w:rPr>
            </w:pPr>
            <w:r w:rsidRPr="0055564D">
              <w:rPr>
                <w:rFonts w:cs="Arial"/>
                <w:sz w:val="20"/>
                <w:szCs w:val="20"/>
              </w:rPr>
              <w:t>MACE (326)</w:t>
            </w:r>
          </w:p>
          <w:p w14:paraId="78629AAD" w14:textId="77777777" w:rsidR="00EC13A5" w:rsidRPr="0055564D" w:rsidRDefault="00EC13A5" w:rsidP="0055564D">
            <w:pPr>
              <w:spacing w:before="40" w:after="40"/>
              <w:rPr>
                <w:rFonts w:cs="Arial"/>
                <w:sz w:val="20"/>
                <w:szCs w:val="20"/>
              </w:rPr>
            </w:pPr>
          </w:p>
          <w:p w14:paraId="6294E066" w14:textId="77777777" w:rsidR="00EC13A5" w:rsidRPr="0055564D" w:rsidRDefault="00EC13A5" w:rsidP="0055564D">
            <w:pPr>
              <w:spacing w:before="40" w:after="40"/>
              <w:rPr>
                <w:rFonts w:cs="Arial"/>
                <w:sz w:val="20"/>
                <w:szCs w:val="20"/>
              </w:rPr>
            </w:pPr>
            <w:r w:rsidRPr="0055564D">
              <w:rPr>
                <w:rFonts w:cs="Arial"/>
                <w:sz w:val="20"/>
                <w:szCs w:val="20"/>
              </w:rPr>
              <w:t>All-cause mortality (304)</w:t>
            </w:r>
          </w:p>
        </w:tc>
        <w:tc>
          <w:tcPr>
            <w:tcW w:w="0" w:type="auto"/>
          </w:tcPr>
          <w:p w14:paraId="047198C7" w14:textId="77777777" w:rsidR="00EC13A5" w:rsidRPr="0055564D" w:rsidRDefault="00EC13A5" w:rsidP="0055564D">
            <w:pPr>
              <w:spacing w:before="40" w:after="40"/>
              <w:rPr>
                <w:rFonts w:cs="Arial"/>
                <w:sz w:val="20"/>
                <w:szCs w:val="20"/>
              </w:rPr>
            </w:pPr>
            <w:r w:rsidRPr="0055564D">
              <w:rPr>
                <w:rFonts w:cs="Arial"/>
                <w:sz w:val="20"/>
                <w:szCs w:val="20"/>
              </w:rPr>
              <w:t>33</w:t>
            </w:r>
            <w:r w:rsidRPr="0055564D">
              <w:rPr>
                <w:rFonts w:cs="Arial"/>
                <w:sz w:val="20"/>
                <w:szCs w:val="20"/>
                <w:vertAlign w:val="superscript"/>
              </w:rPr>
              <w:t xml:space="preserve">rd </w:t>
            </w:r>
            <w:r w:rsidRPr="0055564D">
              <w:rPr>
                <w:rFonts w:cs="Arial"/>
                <w:sz w:val="20"/>
                <w:szCs w:val="20"/>
              </w:rPr>
              <w:t>2.5</w:t>
            </w:r>
          </w:p>
          <w:p w14:paraId="14FEB71A" w14:textId="77777777" w:rsidR="00EC13A5" w:rsidRPr="0055564D" w:rsidRDefault="00EC13A5" w:rsidP="0055564D">
            <w:pPr>
              <w:spacing w:before="40" w:after="40"/>
              <w:rPr>
                <w:rFonts w:cs="Arial"/>
                <w:sz w:val="20"/>
                <w:szCs w:val="20"/>
              </w:rPr>
            </w:pPr>
            <w:r w:rsidRPr="0055564D">
              <w:rPr>
                <w:rFonts w:cs="Arial"/>
                <w:sz w:val="20"/>
                <w:szCs w:val="20"/>
              </w:rPr>
              <w:t>66</w:t>
            </w:r>
            <w:r w:rsidRPr="0055564D">
              <w:rPr>
                <w:rFonts w:cs="Arial"/>
                <w:sz w:val="20"/>
                <w:szCs w:val="20"/>
                <w:vertAlign w:val="superscript"/>
              </w:rPr>
              <w:t>th</w:t>
            </w:r>
            <w:r w:rsidRPr="0055564D">
              <w:rPr>
                <w:rFonts w:cs="Arial"/>
                <w:sz w:val="20"/>
                <w:szCs w:val="20"/>
              </w:rPr>
              <w:t xml:space="preserve"> 6.0</w:t>
            </w:r>
          </w:p>
        </w:tc>
        <w:tc>
          <w:tcPr>
            <w:tcW w:w="0" w:type="auto"/>
          </w:tcPr>
          <w:p w14:paraId="0AC32BC0" w14:textId="65EEF083" w:rsidR="00EC13A5" w:rsidRPr="0055564D" w:rsidRDefault="00EC13A5" w:rsidP="0055564D">
            <w:pPr>
              <w:spacing w:before="40" w:after="40"/>
              <w:rPr>
                <w:rFonts w:cs="Arial"/>
                <w:sz w:val="20"/>
                <w:szCs w:val="20"/>
              </w:rPr>
            </w:pPr>
            <w:r w:rsidRPr="0055564D">
              <w:rPr>
                <w:rFonts w:cs="Arial"/>
                <w:sz w:val="20"/>
                <w:szCs w:val="20"/>
              </w:rPr>
              <w:t>3-year MACE (</w:t>
            </w:r>
            <w:r w:rsidR="00C533CE">
              <w:rPr>
                <w:rFonts w:cs="Arial"/>
                <w:sz w:val="20"/>
                <w:szCs w:val="20"/>
              </w:rPr>
              <w:t>unadjusted) HR=2.5, 95% CI: 1.8–</w:t>
            </w:r>
            <w:r w:rsidRPr="0055564D">
              <w:rPr>
                <w:rFonts w:cs="Arial"/>
                <w:sz w:val="20"/>
                <w:szCs w:val="20"/>
              </w:rPr>
              <w:t>3.5)</w:t>
            </w:r>
          </w:p>
          <w:p w14:paraId="7C722D47" w14:textId="77777777" w:rsidR="00EC13A5" w:rsidRPr="0055564D" w:rsidRDefault="00EC13A5" w:rsidP="0055564D">
            <w:pPr>
              <w:spacing w:before="40" w:after="40"/>
              <w:rPr>
                <w:rFonts w:cs="Arial"/>
                <w:sz w:val="20"/>
                <w:szCs w:val="20"/>
              </w:rPr>
            </w:pPr>
          </w:p>
          <w:p w14:paraId="433FF667" w14:textId="7FE24A23" w:rsidR="00EC13A5" w:rsidRPr="0055564D" w:rsidRDefault="00EC13A5" w:rsidP="0055564D">
            <w:pPr>
              <w:spacing w:before="40" w:after="40"/>
              <w:rPr>
                <w:rFonts w:cs="Arial"/>
                <w:sz w:val="20"/>
                <w:szCs w:val="20"/>
              </w:rPr>
            </w:pPr>
            <w:r w:rsidRPr="0055564D">
              <w:rPr>
                <w:rFonts w:cs="Arial"/>
                <w:sz w:val="20"/>
                <w:szCs w:val="20"/>
              </w:rPr>
              <w:t>3-year MACE (adjusted): TML and TMAO greater than the median for both compared to less than the medi</w:t>
            </w:r>
            <w:r w:rsidR="00C533CE">
              <w:rPr>
                <w:rFonts w:cs="Arial"/>
                <w:sz w:val="20"/>
                <w:szCs w:val="20"/>
              </w:rPr>
              <w:t>an for both: HR=1.6 (95% CI:1.1–</w:t>
            </w:r>
            <w:r w:rsidRPr="0055564D">
              <w:rPr>
                <w:rFonts w:cs="Arial"/>
                <w:sz w:val="20"/>
                <w:szCs w:val="20"/>
              </w:rPr>
              <w:t>2.2)</w:t>
            </w:r>
          </w:p>
          <w:p w14:paraId="07DC9FC5" w14:textId="353C130E" w:rsidR="00EC13A5" w:rsidRPr="0055564D" w:rsidRDefault="00EC13A5" w:rsidP="0055564D">
            <w:pPr>
              <w:spacing w:before="40" w:after="40"/>
              <w:rPr>
                <w:rFonts w:cs="Arial"/>
                <w:sz w:val="20"/>
                <w:szCs w:val="20"/>
              </w:rPr>
            </w:pPr>
          </w:p>
          <w:p w14:paraId="35E9ED95" w14:textId="5EBF5B6F" w:rsidR="00EC13A5" w:rsidRPr="0055564D" w:rsidRDefault="00EC13A5" w:rsidP="0055564D">
            <w:pPr>
              <w:spacing w:before="40" w:after="40"/>
              <w:rPr>
                <w:rFonts w:cs="Arial"/>
                <w:sz w:val="20"/>
                <w:szCs w:val="20"/>
              </w:rPr>
            </w:pPr>
            <w:r w:rsidRPr="0055564D">
              <w:rPr>
                <w:rFonts w:cs="Arial"/>
                <w:sz w:val="20"/>
                <w:szCs w:val="20"/>
              </w:rPr>
              <w:t>5-year mortality (unadjusted) HR=4.0 (95%</w:t>
            </w:r>
            <w:r w:rsidR="00C533CE">
              <w:rPr>
                <w:rFonts w:cs="Arial"/>
                <w:sz w:val="20"/>
                <w:szCs w:val="20"/>
              </w:rPr>
              <w:t xml:space="preserve"> CI: 2.7–</w:t>
            </w:r>
            <w:r w:rsidRPr="0055564D">
              <w:rPr>
                <w:rFonts w:cs="Arial"/>
                <w:sz w:val="20"/>
                <w:szCs w:val="20"/>
              </w:rPr>
              <w:t>5.8)</w:t>
            </w:r>
          </w:p>
          <w:p w14:paraId="6A4C3CA0" w14:textId="77777777" w:rsidR="00EC13A5" w:rsidRPr="0055564D" w:rsidRDefault="00EC13A5" w:rsidP="0055564D">
            <w:pPr>
              <w:spacing w:before="40" w:after="40"/>
              <w:rPr>
                <w:rFonts w:cs="Arial"/>
                <w:sz w:val="20"/>
                <w:szCs w:val="20"/>
              </w:rPr>
            </w:pPr>
          </w:p>
          <w:p w14:paraId="09BEBB9E" w14:textId="29A96AF8" w:rsidR="00EC13A5" w:rsidRPr="0055564D" w:rsidRDefault="00EC13A5" w:rsidP="0055564D">
            <w:pPr>
              <w:spacing w:before="40" w:after="40"/>
              <w:rPr>
                <w:rFonts w:cs="Arial"/>
                <w:sz w:val="20"/>
                <w:szCs w:val="20"/>
              </w:rPr>
            </w:pPr>
            <w:r w:rsidRPr="0055564D">
              <w:rPr>
                <w:rFonts w:cs="Arial"/>
                <w:sz w:val="20"/>
                <w:szCs w:val="20"/>
              </w:rPr>
              <w:t>5-year mortality (adjusted): TML and TMAO greater than the median for both compared to less than the medi</w:t>
            </w:r>
            <w:r w:rsidR="00C533CE">
              <w:rPr>
                <w:rFonts w:cs="Arial"/>
                <w:sz w:val="20"/>
                <w:szCs w:val="20"/>
              </w:rPr>
              <w:t>an for both: HR=2.1 (95% CI:1.4–</w:t>
            </w:r>
            <w:r w:rsidRPr="0055564D">
              <w:rPr>
                <w:rFonts w:cs="Arial"/>
                <w:sz w:val="20"/>
                <w:szCs w:val="20"/>
              </w:rPr>
              <w:t>3.0)</w:t>
            </w:r>
          </w:p>
        </w:tc>
      </w:tr>
    </w:tbl>
    <w:p w14:paraId="58612276" w14:textId="20AB8430" w:rsidR="00EC13A5" w:rsidRPr="00EC13A5" w:rsidRDefault="00EC13A5" w:rsidP="00EC13A5">
      <w:pPr>
        <w:autoSpaceDE w:val="0"/>
        <w:autoSpaceDN w:val="0"/>
        <w:adjustRightInd w:val="0"/>
        <w:rPr>
          <w:rFonts w:cs="Arial"/>
          <w:sz w:val="18"/>
          <w:szCs w:val="18"/>
        </w:rPr>
      </w:pPr>
    </w:p>
    <w:p w14:paraId="2173EE66" w14:textId="2BDFC642" w:rsidR="00EC13A5" w:rsidRDefault="00EC13A5" w:rsidP="00EC13A5">
      <w:pPr>
        <w:autoSpaceDE w:val="0"/>
        <w:autoSpaceDN w:val="0"/>
        <w:adjustRightInd w:val="0"/>
        <w:rPr>
          <w:rFonts w:eastAsia="OTNEJMQuadraat" w:cs="Arial"/>
          <w:sz w:val="18"/>
          <w:szCs w:val="18"/>
        </w:rPr>
      </w:pPr>
      <w:r w:rsidRPr="00EC13A5">
        <w:rPr>
          <w:rFonts w:cs="Arial"/>
          <w:sz w:val="18"/>
          <w:szCs w:val="18"/>
        </w:rPr>
        <w:t xml:space="preserve">* MACE </w:t>
      </w:r>
      <w:r w:rsidRPr="00EC13A5">
        <w:rPr>
          <w:rFonts w:eastAsia="OTNEJMQuadraat" w:cs="Arial"/>
          <w:sz w:val="18"/>
          <w:szCs w:val="18"/>
        </w:rPr>
        <w:t xml:space="preserve"> Major adverse cardiovascular events (defined as death from any cause, nonfatal myocardial infarction, and nonfatal stroke)</w:t>
      </w:r>
    </w:p>
    <w:p w14:paraId="42C5A393" w14:textId="77777777" w:rsidR="00243464" w:rsidRPr="00EC13A5" w:rsidRDefault="00243464" w:rsidP="00EC13A5">
      <w:pPr>
        <w:autoSpaceDE w:val="0"/>
        <w:autoSpaceDN w:val="0"/>
        <w:adjustRightInd w:val="0"/>
        <w:rPr>
          <w:rFonts w:eastAsia="OTNEJMQuadraat" w:cs="Arial"/>
          <w:sz w:val="18"/>
          <w:szCs w:val="18"/>
        </w:rPr>
      </w:pPr>
    </w:p>
    <w:p w14:paraId="778D773F" w14:textId="5057002B" w:rsidR="00EC13A5" w:rsidRDefault="00EC13A5" w:rsidP="00EC13A5">
      <w:pPr>
        <w:rPr>
          <w:rFonts w:cs="Arial"/>
          <w:sz w:val="18"/>
          <w:szCs w:val="18"/>
        </w:rPr>
      </w:pPr>
      <w:r w:rsidRPr="00EC13A5">
        <w:rPr>
          <w:rFonts w:cs="Arial"/>
          <w:sz w:val="18"/>
          <w:szCs w:val="18"/>
        </w:rPr>
        <w:t>MACER as for MACE plus revascularisations</w:t>
      </w:r>
    </w:p>
    <w:p w14:paraId="34AE5D4B" w14:textId="77777777" w:rsidR="00243464" w:rsidRPr="00EC13A5" w:rsidRDefault="00243464" w:rsidP="00EC13A5">
      <w:pPr>
        <w:rPr>
          <w:rFonts w:cs="Arial"/>
          <w:sz w:val="18"/>
          <w:szCs w:val="18"/>
        </w:rPr>
      </w:pPr>
    </w:p>
    <w:p w14:paraId="0924B4EF" w14:textId="7AB096B3" w:rsidR="00EC13A5" w:rsidRPr="00EC13A5" w:rsidRDefault="00EC13A5" w:rsidP="00EC13A5">
      <w:pPr>
        <w:rPr>
          <w:rFonts w:cs="Arial"/>
          <w:sz w:val="18"/>
          <w:szCs w:val="18"/>
        </w:rPr>
      </w:pPr>
      <w:r w:rsidRPr="00EC13A5">
        <w:rPr>
          <w:rFonts w:cs="Arial"/>
          <w:sz w:val="18"/>
          <w:szCs w:val="18"/>
        </w:rPr>
        <w:t>#</w:t>
      </w:r>
      <w:r w:rsidR="00243464">
        <w:rPr>
          <w:rFonts w:cs="Arial"/>
          <w:sz w:val="18"/>
          <w:szCs w:val="18"/>
        </w:rPr>
        <w:t xml:space="preserve"> </w:t>
      </w:r>
      <w:r w:rsidRPr="00EC13A5">
        <w:rPr>
          <w:rFonts w:cs="Arial"/>
          <w:sz w:val="18"/>
          <w:szCs w:val="18"/>
        </w:rPr>
        <w:t>TML trimethyllysine is the intermediate formed from carn</w:t>
      </w:r>
      <w:r w:rsidR="00243464">
        <w:rPr>
          <w:rFonts w:cs="Arial"/>
          <w:sz w:val="18"/>
          <w:szCs w:val="18"/>
        </w:rPr>
        <w:t>itine and the precursor to TMAO</w:t>
      </w:r>
      <w:r w:rsidRPr="00EC13A5">
        <w:rPr>
          <w:rFonts w:cs="Arial"/>
          <w:sz w:val="18"/>
          <w:szCs w:val="18"/>
        </w:rPr>
        <w:t xml:space="preserve"> </w:t>
      </w:r>
    </w:p>
    <w:p w14:paraId="603DF0D7" w14:textId="77777777" w:rsidR="00EC13A5" w:rsidRPr="00EC13A5" w:rsidRDefault="00EC13A5" w:rsidP="00EC13A5">
      <w:pPr>
        <w:autoSpaceDE w:val="0"/>
        <w:autoSpaceDN w:val="0"/>
        <w:adjustRightInd w:val="0"/>
        <w:rPr>
          <w:rFonts w:cs="Arial"/>
          <w:sz w:val="18"/>
          <w:szCs w:val="18"/>
        </w:rPr>
      </w:pPr>
    </w:p>
    <w:p w14:paraId="434D54E7" w14:textId="31C46A76" w:rsidR="00EC13A5" w:rsidRPr="00EC13A5" w:rsidRDefault="00EC13A5" w:rsidP="00EC13A5">
      <w:pPr>
        <w:autoSpaceDE w:val="0"/>
        <w:autoSpaceDN w:val="0"/>
        <w:adjustRightInd w:val="0"/>
        <w:rPr>
          <w:rFonts w:cs="Arial"/>
          <w:sz w:val="18"/>
          <w:szCs w:val="18"/>
        </w:rPr>
      </w:pPr>
      <w:r w:rsidRPr="00EC13A5">
        <w:rPr>
          <w:rFonts w:cs="Arial"/>
          <w:sz w:val="18"/>
          <w:szCs w:val="18"/>
        </w:rPr>
        <w:t xml:space="preserve">* COURAGE inclusion and exclusion criteria (Boden </w:t>
      </w:r>
      <w:r w:rsidR="000B7678">
        <w:rPr>
          <w:rFonts w:cs="Arial"/>
          <w:sz w:val="18"/>
          <w:szCs w:val="18"/>
        </w:rPr>
        <w:t>et al. 2</w:t>
      </w:r>
      <w:r w:rsidR="00243464">
        <w:rPr>
          <w:rFonts w:cs="Arial"/>
          <w:sz w:val="18"/>
          <w:szCs w:val="18"/>
        </w:rPr>
        <w:t>007)</w:t>
      </w:r>
      <w:r w:rsidRPr="00EC13A5">
        <w:rPr>
          <w:rFonts w:cs="Arial"/>
          <w:sz w:val="18"/>
          <w:szCs w:val="18"/>
        </w:rPr>
        <w:t xml:space="preserve"> as follows: (1) patients who had an elective diagnostic coronary angiography procedure, as described earlier; (2) patients with evidence of significant CAD defined by </w:t>
      </w:r>
      <w:r w:rsidRPr="00EC13A5">
        <w:rPr>
          <w:rFonts w:eastAsia="AdvTTec369687+22" w:cs="Arial"/>
          <w:sz w:val="18"/>
          <w:szCs w:val="18"/>
        </w:rPr>
        <w:t>≥</w:t>
      </w:r>
      <w:r w:rsidRPr="00EC13A5">
        <w:rPr>
          <w:rFonts w:cs="Arial"/>
          <w:sz w:val="18"/>
          <w:szCs w:val="18"/>
        </w:rPr>
        <w:t>70%</w:t>
      </w:r>
      <w:r w:rsidR="00243464">
        <w:rPr>
          <w:rFonts w:cs="Arial"/>
          <w:sz w:val="18"/>
          <w:szCs w:val="18"/>
        </w:rPr>
        <w:t xml:space="preserve"> diameter stenosis in at least one</w:t>
      </w:r>
      <w:r w:rsidRPr="00EC13A5">
        <w:rPr>
          <w:rFonts w:cs="Arial"/>
          <w:sz w:val="18"/>
          <w:szCs w:val="18"/>
        </w:rPr>
        <w:t xml:space="preserve"> epicardial coronary artery; and (3) patients assigned to receive OMT alone, without a revascularization procedure within 30 days after enrolment in the present study. All angiogram interpretations and the decision of whether to undergo revascularization plus OMT or OMT alone were determined at the discretion of the board certified cardiology staff at the Cleveland Clinic. A total of 2235 consecutive patients who fulfilled criteria for the COURAGE-like patient cohort were included in this study and represent a subset of the p</w:t>
      </w:r>
      <w:r w:rsidR="00243464">
        <w:rPr>
          <w:rFonts w:cs="Arial"/>
          <w:sz w:val="18"/>
          <w:szCs w:val="18"/>
        </w:rPr>
        <w:t>reviously reported study cohort</w:t>
      </w:r>
      <w:r w:rsidRPr="00EC13A5">
        <w:rPr>
          <w:rFonts w:cs="Arial"/>
          <w:sz w:val="18"/>
          <w:szCs w:val="18"/>
        </w:rPr>
        <w:t xml:space="preserve"> of medically managed patients that fulfilled COURAGE trial criteria for having significant coronary artery disease.</w:t>
      </w:r>
    </w:p>
    <w:p w14:paraId="6929DFC4" w14:textId="77777777" w:rsidR="00611B76" w:rsidRDefault="00611B76">
      <w:pPr>
        <w:widowControl/>
        <w:rPr>
          <w:b/>
        </w:rPr>
      </w:pPr>
      <w:r>
        <w:rPr>
          <w:b/>
        </w:rPr>
        <w:br w:type="page"/>
      </w:r>
    </w:p>
    <w:p w14:paraId="7715D8A0" w14:textId="69E1C383" w:rsidR="00EC13A5" w:rsidRPr="00EC13A5" w:rsidRDefault="00EC13A5" w:rsidP="00EC13A5">
      <w:pPr>
        <w:rPr>
          <w:b/>
        </w:rPr>
      </w:pPr>
      <w:r w:rsidRPr="00EC13A5">
        <w:rPr>
          <w:b/>
        </w:rPr>
        <w:t xml:space="preserve">Table </w:t>
      </w:r>
      <w:r w:rsidR="003237DC">
        <w:rPr>
          <w:b/>
        </w:rPr>
        <w:t>A4.</w:t>
      </w:r>
      <w:r w:rsidRPr="00EC13A5">
        <w:rPr>
          <w:b/>
        </w:rPr>
        <w:t>2</w:t>
      </w:r>
      <w:r w:rsidR="003237DC">
        <w:rPr>
          <w:b/>
        </w:rPr>
        <w:t>:</w:t>
      </w:r>
      <w:r w:rsidRPr="00EC13A5">
        <w:rPr>
          <w:b/>
        </w:rPr>
        <w:t xml:space="preserve"> Cohort studies in subjects not selected based on disease status</w:t>
      </w:r>
    </w:p>
    <w:p w14:paraId="1C245BA0" w14:textId="77777777" w:rsidR="00EC13A5" w:rsidRPr="00EC13A5" w:rsidRDefault="00EC13A5" w:rsidP="00EC13A5"/>
    <w:tbl>
      <w:tblPr>
        <w:tblStyle w:val="TableGrid5"/>
        <w:tblW w:w="0" w:type="auto"/>
        <w:tblLook w:val="04A0" w:firstRow="1" w:lastRow="0" w:firstColumn="1" w:lastColumn="0" w:noHBand="0" w:noVBand="1"/>
        <w:tblCaption w:val="Cohort studies in subjects not selected based on disease status"/>
        <w:tblDescription w:val="Cohort studies in subjects not selected based on disease status"/>
      </w:tblPr>
      <w:tblGrid>
        <w:gridCol w:w="1026"/>
        <w:gridCol w:w="2887"/>
        <w:gridCol w:w="1584"/>
        <w:gridCol w:w="1154"/>
        <w:gridCol w:w="1806"/>
        <w:gridCol w:w="2441"/>
        <w:gridCol w:w="3094"/>
      </w:tblGrid>
      <w:tr w:rsidR="00EC13A5" w:rsidRPr="00611B76" w14:paraId="7B4103A4" w14:textId="77777777" w:rsidTr="006477C1">
        <w:trPr>
          <w:tblHeader/>
        </w:trPr>
        <w:tc>
          <w:tcPr>
            <w:tcW w:w="0" w:type="auto"/>
          </w:tcPr>
          <w:p w14:paraId="39DBD960" w14:textId="77777777" w:rsidR="00EC13A5" w:rsidRPr="00611B76" w:rsidRDefault="00EC13A5" w:rsidP="00611B76">
            <w:pPr>
              <w:spacing w:before="40" w:after="40"/>
              <w:rPr>
                <w:rFonts w:cs="Arial"/>
                <w:b/>
                <w:sz w:val="20"/>
                <w:szCs w:val="20"/>
              </w:rPr>
            </w:pPr>
            <w:r w:rsidRPr="00611B76">
              <w:rPr>
                <w:rFonts w:cs="Arial"/>
                <w:b/>
                <w:sz w:val="20"/>
                <w:szCs w:val="20"/>
              </w:rPr>
              <w:t>First author, year</w:t>
            </w:r>
          </w:p>
        </w:tc>
        <w:tc>
          <w:tcPr>
            <w:tcW w:w="0" w:type="auto"/>
          </w:tcPr>
          <w:p w14:paraId="422EFFF5" w14:textId="77777777" w:rsidR="00EC13A5" w:rsidRPr="00611B76" w:rsidRDefault="00EC13A5" w:rsidP="00611B76">
            <w:pPr>
              <w:spacing w:before="40" w:after="40"/>
              <w:rPr>
                <w:rFonts w:cs="Arial"/>
                <w:b/>
                <w:sz w:val="20"/>
                <w:szCs w:val="20"/>
              </w:rPr>
            </w:pPr>
            <w:r w:rsidRPr="00611B76">
              <w:rPr>
                <w:rFonts w:cs="Arial"/>
                <w:b/>
                <w:sz w:val="20"/>
                <w:szCs w:val="20"/>
              </w:rPr>
              <w:t xml:space="preserve">Group </w:t>
            </w:r>
          </w:p>
        </w:tc>
        <w:tc>
          <w:tcPr>
            <w:tcW w:w="0" w:type="auto"/>
          </w:tcPr>
          <w:p w14:paraId="201E29CE" w14:textId="77777777" w:rsidR="00EC13A5" w:rsidRPr="00611B76" w:rsidRDefault="00EC13A5" w:rsidP="00611B76">
            <w:pPr>
              <w:spacing w:before="40" w:after="40"/>
              <w:rPr>
                <w:rFonts w:cs="Arial"/>
                <w:b/>
                <w:sz w:val="20"/>
                <w:szCs w:val="20"/>
              </w:rPr>
            </w:pPr>
            <w:r w:rsidRPr="00611B76">
              <w:rPr>
                <w:rFonts w:cs="Arial"/>
                <w:b/>
                <w:sz w:val="20"/>
                <w:szCs w:val="20"/>
              </w:rPr>
              <w:t>Baseline N</w:t>
            </w:r>
          </w:p>
        </w:tc>
        <w:tc>
          <w:tcPr>
            <w:tcW w:w="0" w:type="auto"/>
          </w:tcPr>
          <w:p w14:paraId="40368878" w14:textId="77777777" w:rsidR="00EC13A5" w:rsidRPr="00611B76" w:rsidRDefault="00EC13A5" w:rsidP="00611B76">
            <w:pPr>
              <w:spacing w:before="40" w:after="40"/>
              <w:rPr>
                <w:rFonts w:cs="Arial"/>
                <w:b/>
                <w:sz w:val="20"/>
                <w:szCs w:val="20"/>
              </w:rPr>
            </w:pPr>
            <w:r w:rsidRPr="00611B76">
              <w:rPr>
                <w:rFonts w:cs="Arial"/>
                <w:b/>
                <w:sz w:val="20"/>
                <w:szCs w:val="20"/>
              </w:rPr>
              <w:t xml:space="preserve">Follow-up duration </w:t>
            </w:r>
          </w:p>
        </w:tc>
        <w:tc>
          <w:tcPr>
            <w:tcW w:w="0" w:type="auto"/>
          </w:tcPr>
          <w:p w14:paraId="071E4C1F" w14:textId="77777777" w:rsidR="00EC13A5" w:rsidRPr="00611B76" w:rsidRDefault="00EC13A5" w:rsidP="00611B76">
            <w:pPr>
              <w:spacing w:before="40" w:after="40"/>
              <w:rPr>
                <w:rFonts w:cs="Arial"/>
                <w:b/>
                <w:sz w:val="20"/>
                <w:szCs w:val="20"/>
              </w:rPr>
            </w:pPr>
            <w:r w:rsidRPr="00611B76">
              <w:rPr>
                <w:rFonts w:cs="Arial"/>
                <w:b/>
                <w:sz w:val="20"/>
                <w:szCs w:val="20"/>
              </w:rPr>
              <w:t>Outcome (N events)</w:t>
            </w:r>
          </w:p>
        </w:tc>
        <w:tc>
          <w:tcPr>
            <w:tcW w:w="0" w:type="auto"/>
          </w:tcPr>
          <w:p w14:paraId="305B03A6" w14:textId="77777777" w:rsidR="00EC13A5" w:rsidRPr="00611B76" w:rsidRDefault="00EC13A5" w:rsidP="00611B76">
            <w:pPr>
              <w:spacing w:before="40" w:after="40"/>
              <w:rPr>
                <w:rFonts w:cs="Arial"/>
                <w:b/>
                <w:sz w:val="20"/>
                <w:szCs w:val="20"/>
              </w:rPr>
            </w:pPr>
            <w:r w:rsidRPr="00611B76">
              <w:rPr>
                <w:rFonts w:cs="Arial"/>
                <w:b/>
                <w:sz w:val="20"/>
                <w:szCs w:val="20"/>
              </w:rPr>
              <w:t>TMAO concentrations</w:t>
            </w:r>
          </w:p>
          <w:p w14:paraId="2EA7CE99" w14:textId="61EC30F1" w:rsidR="00EC13A5" w:rsidRPr="00611B76" w:rsidRDefault="0055564D" w:rsidP="00611B76">
            <w:pPr>
              <w:spacing w:before="40" w:after="40"/>
              <w:rPr>
                <w:rFonts w:cs="Arial"/>
                <w:b/>
                <w:sz w:val="20"/>
                <w:szCs w:val="20"/>
              </w:rPr>
            </w:pPr>
            <w:r w:rsidRPr="00611B76">
              <w:rPr>
                <w:rFonts w:cs="Arial"/>
                <w:b/>
                <w:sz w:val="20"/>
                <w:szCs w:val="20"/>
              </w:rPr>
              <w:t>(percentile: µM</w:t>
            </w:r>
            <w:r w:rsidR="00EC13A5" w:rsidRPr="00611B76">
              <w:rPr>
                <w:rFonts w:cs="Arial"/>
                <w:b/>
                <w:sz w:val="20"/>
                <w:szCs w:val="20"/>
              </w:rPr>
              <w:t>)</w:t>
            </w:r>
          </w:p>
        </w:tc>
        <w:tc>
          <w:tcPr>
            <w:tcW w:w="0" w:type="auto"/>
          </w:tcPr>
          <w:p w14:paraId="76AD8E82" w14:textId="77777777" w:rsidR="00EC13A5" w:rsidRPr="00611B76" w:rsidRDefault="00EC13A5" w:rsidP="00611B76">
            <w:pPr>
              <w:spacing w:before="40" w:after="40"/>
              <w:rPr>
                <w:rFonts w:cs="Arial"/>
                <w:b/>
                <w:sz w:val="20"/>
                <w:szCs w:val="20"/>
              </w:rPr>
            </w:pPr>
            <w:r w:rsidRPr="00611B76">
              <w:rPr>
                <w:rFonts w:cs="Arial"/>
                <w:b/>
                <w:sz w:val="20"/>
                <w:szCs w:val="20"/>
              </w:rPr>
              <w:t>Results</w:t>
            </w:r>
          </w:p>
        </w:tc>
      </w:tr>
      <w:tr w:rsidR="00EC13A5" w:rsidRPr="00611B76" w14:paraId="1A6117EF" w14:textId="77777777" w:rsidTr="00DB0260">
        <w:tc>
          <w:tcPr>
            <w:tcW w:w="0" w:type="auto"/>
          </w:tcPr>
          <w:p w14:paraId="08359282" w14:textId="39F7BBDD" w:rsidR="00EC13A5" w:rsidRPr="00611B76" w:rsidRDefault="00611B76" w:rsidP="00611B76">
            <w:pPr>
              <w:spacing w:before="40" w:after="40"/>
              <w:rPr>
                <w:rFonts w:cs="Arial"/>
                <w:sz w:val="20"/>
                <w:szCs w:val="20"/>
              </w:rPr>
            </w:pPr>
            <w:r w:rsidRPr="00611B76">
              <w:rPr>
                <w:rFonts w:cs="Arial"/>
                <w:sz w:val="20"/>
                <w:szCs w:val="20"/>
              </w:rPr>
              <w:t>Mondul</w:t>
            </w:r>
            <w:r w:rsidR="00EC13A5" w:rsidRPr="00611B76">
              <w:rPr>
                <w:rFonts w:cs="Arial"/>
                <w:sz w:val="20"/>
                <w:szCs w:val="20"/>
              </w:rPr>
              <w:t xml:space="preserve"> 2015</w:t>
            </w:r>
          </w:p>
        </w:tc>
        <w:tc>
          <w:tcPr>
            <w:tcW w:w="0" w:type="auto"/>
            <w:vMerge w:val="restart"/>
          </w:tcPr>
          <w:p w14:paraId="0A42364F" w14:textId="77777777" w:rsidR="00EC13A5" w:rsidRPr="00611B76" w:rsidRDefault="00EC13A5" w:rsidP="00611B76">
            <w:pPr>
              <w:spacing w:before="40" w:after="40"/>
              <w:rPr>
                <w:rFonts w:cs="Arial"/>
                <w:sz w:val="20"/>
                <w:szCs w:val="20"/>
              </w:rPr>
            </w:pPr>
            <w:r w:rsidRPr="00611B76">
              <w:rPr>
                <w:rFonts w:cs="Arial"/>
                <w:sz w:val="20"/>
                <w:szCs w:val="20"/>
              </w:rPr>
              <w:t>Nested case control studies within the Alpha-Tocopherol Beta-Carotene trial in Finland; all participants are male smokers</w:t>
            </w:r>
          </w:p>
        </w:tc>
        <w:tc>
          <w:tcPr>
            <w:tcW w:w="0" w:type="auto"/>
          </w:tcPr>
          <w:p w14:paraId="292A2734" w14:textId="77777777" w:rsidR="00EC13A5" w:rsidRPr="00611B76" w:rsidRDefault="00EC13A5" w:rsidP="00611B76">
            <w:pPr>
              <w:spacing w:before="40" w:after="40"/>
              <w:rPr>
                <w:rFonts w:cs="Arial"/>
                <w:sz w:val="20"/>
                <w:szCs w:val="20"/>
              </w:rPr>
            </w:pPr>
            <w:r w:rsidRPr="00611B76">
              <w:rPr>
                <w:rFonts w:cs="Arial"/>
                <w:sz w:val="20"/>
                <w:szCs w:val="20"/>
              </w:rPr>
              <w:t>200 incident cases (100 aggressive cancer)</w:t>
            </w:r>
          </w:p>
          <w:p w14:paraId="512EB9B3" w14:textId="77777777" w:rsidR="00EC13A5" w:rsidRPr="00611B76" w:rsidRDefault="00EC13A5" w:rsidP="00611B76">
            <w:pPr>
              <w:spacing w:before="40" w:after="40"/>
              <w:rPr>
                <w:rFonts w:cs="Arial"/>
                <w:sz w:val="20"/>
                <w:szCs w:val="20"/>
              </w:rPr>
            </w:pPr>
          </w:p>
          <w:p w14:paraId="0896F0A2" w14:textId="77777777" w:rsidR="00EC13A5" w:rsidRPr="00611B76" w:rsidRDefault="00EC13A5" w:rsidP="00611B76">
            <w:pPr>
              <w:spacing w:before="40" w:after="40"/>
              <w:rPr>
                <w:rFonts w:cs="Arial"/>
                <w:sz w:val="20"/>
                <w:szCs w:val="20"/>
              </w:rPr>
            </w:pPr>
            <w:r w:rsidRPr="00611B76">
              <w:rPr>
                <w:rFonts w:cs="Arial"/>
                <w:sz w:val="20"/>
                <w:szCs w:val="20"/>
              </w:rPr>
              <w:t>200 controls</w:t>
            </w:r>
          </w:p>
        </w:tc>
        <w:tc>
          <w:tcPr>
            <w:tcW w:w="0" w:type="auto"/>
          </w:tcPr>
          <w:p w14:paraId="219A19D8" w14:textId="77777777" w:rsidR="00EC13A5" w:rsidRPr="00611B76" w:rsidRDefault="00EC13A5" w:rsidP="00611B76">
            <w:pPr>
              <w:spacing w:before="40" w:after="40"/>
              <w:rPr>
                <w:rFonts w:cs="Arial"/>
                <w:sz w:val="20"/>
                <w:szCs w:val="20"/>
              </w:rPr>
            </w:pPr>
            <w:r w:rsidRPr="00611B76">
              <w:rPr>
                <w:rFonts w:cs="Arial"/>
                <w:sz w:val="20"/>
                <w:szCs w:val="20"/>
              </w:rPr>
              <w:t>Up to 20 years</w:t>
            </w:r>
          </w:p>
        </w:tc>
        <w:tc>
          <w:tcPr>
            <w:tcW w:w="0" w:type="auto"/>
          </w:tcPr>
          <w:p w14:paraId="2FDE46A4" w14:textId="77777777" w:rsidR="00EC13A5" w:rsidRPr="00611B76" w:rsidRDefault="00EC13A5" w:rsidP="00611B76">
            <w:pPr>
              <w:spacing w:before="40" w:after="40"/>
              <w:rPr>
                <w:rFonts w:cs="Arial"/>
                <w:sz w:val="20"/>
                <w:szCs w:val="20"/>
              </w:rPr>
            </w:pPr>
            <w:r w:rsidRPr="00611B76">
              <w:rPr>
                <w:rFonts w:cs="Arial"/>
                <w:sz w:val="20"/>
                <w:szCs w:val="20"/>
              </w:rPr>
              <w:t>Prostate adenocarcinoma</w:t>
            </w:r>
          </w:p>
        </w:tc>
        <w:tc>
          <w:tcPr>
            <w:tcW w:w="0" w:type="auto"/>
          </w:tcPr>
          <w:p w14:paraId="7D48CCE1" w14:textId="44B56F26" w:rsidR="00EC13A5" w:rsidRPr="00611B76" w:rsidRDefault="00EC13A5" w:rsidP="00611B76">
            <w:pPr>
              <w:spacing w:before="40" w:after="40"/>
              <w:rPr>
                <w:rFonts w:cs="Arial"/>
                <w:sz w:val="20"/>
                <w:szCs w:val="20"/>
              </w:rPr>
            </w:pPr>
            <w:r w:rsidRPr="00611B76">
              <w:rPr>
                <w:rFonts w:cs="Arial"/>
                <w:sz w:val="20"/>
                <w:szCs w:val="20"/>
              </w:rPr>
              <w:t xml:space="preserve">Not given but presumably similar to those reported by Guertin </w:t>
            </w:r>
            <w:r w:rsidR="000B7678">
              <w:rPr>
                <w:rFonts w:cs="Arial"/>
                <w:sz w:val="20"/>
                <w:szCs w:val="20"/>
              </w:rPr>
              <w:t>et al. (</w:t>
            </w:r>
            <w:r w:rsidR="007C2028">
              <w:rPr>
                <w:rFonts w:cs="Arial"/>
                <w:sz w:val="20"/>
                <w:szCs w:val="20"/>
              </w:rPr>
              <w:t>2017</w:t>
            </w:r>
            <w:r w:rsidRPr="00611B76">
              <w:rPr>
                <w:rFonts w:cs="Arial"/>
                <w:sz w:val="20"/>
                <w:szCs w:val="20"/>
              </w:rPr>
              <w:t>)</w:t>
            </w:r>
            <w:r w:rsidR="00243464">
              <w:rPr>
                <w:rFonts w:cs="Arial"/>
                <w:sz w:val="20"/>
                <w:szCs w:val="20"/>
              </w:rPr>
              <w:t xml:space="preserve"> </w:t>
            </w:r>
            <w:r w:rsidRPr="00611B76">
              <w:rPr>
                <w:rFonts w:cs="Arial"/>
                <w:sz w:val="20"/>
                <w:szCs w:val="20"/>
              </w:rPr>
              <w:t>below</w:t>
            </w:r>
          </w:p>
        </w:tc>
        <w:tc>
          <w:tcPr>
            <w:tcW w:w="0" w:type="auto"/>
          </w:tcPr>
          <w:p w14:paraId="6CE8C2A1" w14:textId="77777777" w:rsidR="00EC13A5" w:rsidRPr="00611B76" w:rsidRDefault="00EC13A5" w:rsidP="00611B76">
            <w:pPr>
              <w:spacing w:before="40" w:after="40"/>
              <w:rPr>
                <w:rFonts w:cs="Arial"/>
                <w:sz w:val="20"/>
                <w:szCs w:val="20"/>
              </w:rPr>
            </w:pPr>
            <w:r w:rsidRPr="00611B76">
              <w:rPr>
                <w:rFonts w:cs="Arial"/>
                <w:sz w:val="20"/>
                <w:szCs w:val="20"/>
              </w:rPr>
              <w:t>Non-aggressive cancer: not significant</w:t>
            </w:r>
          </w:p>
          <w:p w14:paraId="387F9419" w14:textId="77777777" w:rsidR="00EC13A5" w:rsidRPr="00611B76" w:rsidRDefault="00EC13A5" w:rsidP="00611B76">
            <w:pPr>
              <w:spacing w:before="40" w:after="40"/>
              <w:rPr>
                <w:rFonts w:cs="Arial"/>
                <w:sz w:val="20"/>
                <w:szCs w:val="20"/>
              </w:rPr>
            </w:pPr>
          </w:p>
          <w:p w14:paraId="1161556E" w14:textId="618892AD" w:rsidR="00EC13A5" w:rsidRPr="00611B76" w:rsidRDefault="00EC13A5" w:rsidP="00611B76">
            <w:pPr>
              <w:spacing w:before="40" w:after="40"/>
              <w:rPr>
                <w:rFonts w:cs="Arial"/>
                <w:sz w:val="20"/>
                <w:szCs w:val="20"/>
              </w:rPr>
            </w:pPr>
            <w:r w:rsidRPr="00611B76">
              <w:rPr>
                <w:rFonts w:cs="Arial"/>
                <w:sz w:val="20"/>
                <w:szCs w:val="20"/>
              </w:rPr>
              <w:t>Aggressive</w:t>
            </w:r>
            <w:r w:rsidR="00C533CE">
              <w:rPr>
                <w:rFonts w:cs="Arial"/>
                <w:sz w:val="20"/>
                <w:szCs w:val="20"/>
              </w:rPr>
              <w:t xml:space="preserve"> cancer: OR=1.36 (95% CI: 1.02–</w:t>
            </w:r>
            <w:r w:rsidRPr="00611B76">
              <w:rPr>
                <w:rFonts w:cs="Arial"/>
                <w:sz w:val="20"/>
                <w:szCs w:val="20"/>
              </w:rPr>
              <w:t>1.81) per 1 SD increment on log scale</w:t>
            </w:r>
          </w:p>
          <w:p w14:paraId="5E172856" w14:textId="77777777" w:rsidR="00EC13A5" w:rsidRPr="00611B76" w:rsidRDefault="00EC13A5" w:rsidP="00611B76">
            <w:pPr>
              <w:spacing w:before="40" w:after="40"/>
              <w:rPr>
                <w:rFonts w:cs="Arial"/>
                <w:sz w:val="20"/>
                <w:szCs w:val="20"/>
              </w:rPr>
            </w:pPr>
          </w:p>
          <w:p w14:paraId="3973611B" w14:textId="77777777" w:rsidR="00EC13A5" w:rsidRPr="00611B76" w:rsidRDefault="00EC13A5" w:rsidP="00611B76">
            <w:pPr>
              <w:spacing w:before="40" w:after="40"/>
              <w:rPr>
                <w:rFonts w:cs="Arial"/>
                <w:sz w:val="20"/>
                <w:szCs w:val="20"/>
              </w:rPr>
            </w:pPr>
            <w:r w:rsidRPr="00611B76">
              <w:rPr>
                <w:rFonts w:cs="Arial"/>
                <w:sz w:val="20"/>
                <w:szCs w:val="20"/>
              </w:rPr>
              <w:t>Associations with 625 other metabolites also examined</w:t>
            </w:r>
          </w:p>
        </w:tc>
      </w:tr>
      <w:tr w:rsidR="00EC13A5" w:rsidRPr="00611B76" w14:paraId="360A2477" w14:textId="77777777" w:rsidTr="00DB0260">
        <w:tc>
          <w:tcPr>
            <w:tcW w:w="0" w:type="auto"/>
          </w:tcPr>
          <w:p w14:paraId="19DFFE79" w14:textId="77777777" w:rsidR="00EC13A5" w:rsidRPr="00611B76" w:rsidRDefault="00EC13A5" w:rsidP="00611B76">
            <w:pPr>
              <w:spacing w:before="40" w:after="40"/>
              <w:rPr>
                <w:rFonts w:cs="Arial"/>
                <w:sz w:val="20"/>
                <w:szCs w:val="20"/>
              </w:rPr>
            </w:pPr>
            <w:r w:rsidRPr="00611B76">
              <w:rPr>
                <w:rFonts w:cs="Arial"/>
                <w:sz w:val="20"/>
                <w:szCs w:val="20"/>
              </w:rPr>
              <w:t>Guertin 2017*</w:t>
            </w:r>
          </w:p>
        </w:tc>
        <w:tc>
          <w:tcPr>
            <w:tcW w:w="0" w:type="auto"/>
            <w:vMerge/>
          </w:tcPr>
          <w:p w14:paraId="413228D8" w14:textId="77777777" w:rsidR="00EC13A5" w:rsidRPr="00611B76" w:rsidRDefault="00EC13A5" w:rsidP="00611B76">
            <w:pPr>
              <w:spacing w:before="40" w:after="40"/>
              <w:rPr>
                <w:rFonts w:cs="Arial"/>
                <w:sz w:val="20"/>
                <w:szCs w:val="20"/>
              </w:rPr>
            </w:pPr>
          </w:p>
        </w:tc>
        <w:tc>
          <w:tcPr>
            <w:tcW w:w="0" w:type="auto"/>
          </w:tcPr>
          <w:p w14:paraId="3C55CBD9" w14:textId="77777777" w:rsidR="00EC13A5" w:rsidRPr="00611B76" w:rsidRDefault="00EC13A5" w:rsidP="00611B76">
            <w:pPr>
              <w:spacing w:before="40" w:after="40"/>
              <w:rPr>
                <w:rFonts w:cs="Arial"/>
                <w:sz w:val="20"/>
                <w:szCs w:val="20"/>
              </w:rPr>
            </w:pPr>
            <w:r w:rsidRPr="00611B76">
              <w:rPr>
                <w:rFonts w:cs="Arial"/>
                <w:sz w:val="20"/>
                <w:szCs w:val="20"/>
              </w:rPr>
              <w:t>644 incident CRC</w:t>
            </w:r>
          </w:p>
          <w:p w14:paraId="427A1474" w14:textId="77777777" w:rsidR="00EC13A5" w:rsidRPr="00611B76" w:rsidRDefault="00EC13A5" w:rsidP="00611B76">
            <w:pPr>
              <w:spacing w:before="40" w:after="40"/>
              <w:rPr>
                <w:rFonts w:cs="Arial"/>
                <w:sz w:val="20"/>
                <w:szCs w:val="20"/>
              </w:rPr>
            </w:pPr>
            <w:r w:rsidRPr="00611B76">
              <w:rPr>
                <w:rFonts w:cs="Arial"/>
                <w:sz w:val="20"/>
                <w:szCs w:val="20"/>
              </w:rPr>
              <w:t>644 control</w:t>
            </w:r>
          </w:p>
        </w:tc>
        <w:tc>
          <w:tcPr>
            <w:tcW w:w="0" w:type="auto"/>
          </w:tcPr>
          <w:p w14:paraId="606F9110" w14:textId="77777777" w:rsidR="00EC13A5" w:rsidRPr="00611B76" w:rsidRDefault="00EC13A5" w:rsidP="00611B76">
            <w:pPr>
              <w:spacing w:before="40" w:after="40"/>
              <w:rPr>
                <w:rFonts w:cs="Arial"/>
                <w:sz w:val="20"/>
                <w:szCs w:val="20"/>
              </w:rPr>
            </w:pPr>
            <w:r w:rsidRPr="00611B76">
              <w:rPr>
                <w:rFonts w:cs="Arial"/>
                <w:sz w:val="20"/>
                <w:szCs w:val="20"/>
              </w:rPr>
              <w:t>&lt;26 years</w:t>
            </w:r>
          </w:p>
        </w:tc>
        <w:tc>
          <w:tcPr>
            <w:tcW w:w="0" w:type="auto"/>
          </w:tcPr>
          <w:p w14:paraId="331CF45F" w14:textId="77777777" w:rsidR="00EC13A5" w:rsidRPr="00611B76" w:rsidRDefault="00EC13A5" w:rsidP="00611B76">
            <w:pPr>
              <w:spacing w:before="40" w:after="40"/>
              <w:rPr>
                <w:rFonts w:cs="Arial"/>
                <w:sz w:val="20"/>
                <w:szCs w:val="20"/>
              </w:rPr>
            </w:pPr>
            <w:r w:rsidRPr="00611B76">
              <w:rPr>
                <w:rFonts w:cs="Arial"/>
                <w:sz w:val="20"/>
                <w:szCs w:val="20"/>
              </w:rPr>
              <w:t>Colorectal cancer</w:t>
            </w:r>
          </w:p>
        </w:tc>
        <w:tc>
          <w:tcPr>
            <w:tcW w:w="0" w:type="auto"/>
          </w:tcPr>
          <w:p w14:paraId="78D7A704"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th</w:t>
            </w:r>
            <w:r w:rsidRPr="00611B76">
              <w:rPr>
                <w:rFonts w:cs="Arial"/>
                <w:sz w:val="20"/>
                <w:szCs w:val="20"/>
              </w:rPr>
              <w:t xml:space="preserve"> 2.6</w:t>
            </w:r>
          </w:p>
          <w:p w14:paraId="042F41BD" w14:textId="77777777" w:rsidR="00EC13A5" w:rsidRPr="00611B76" w:rsidRDefault="00EC13A5" w:rsidP="00611B76">
            <w:pPr>
              <w:spacing w:before="40" w:after="40"/>
              <w:rPr>
                <w:rFonts w:cs="Arial"/>
                <w:sz w:val="20"/>
                <w:szCs w:val="20"/>
              </w:rPr>
            </w:pPr>
            <w:r w:rsidRPr="00611B76">
              <w:rPr>
                <w:rFonts w:cs="Arial"/>
                <w:sz w:val="20"/>
                <w:szCs w:val="20"/>
              </w:rPr>
              <w:t>50</w:t>
            </w:r>
            <w:r w:rsidRPr="00611B76">
              <w:rPr>
                <w:rFonts w:cs="Arial"/>
                <w:sz w:val="20"/>
                <w:szCs w:val="20"/>
                <w:vertAlign w:val="superscript"/>
              </w:rPr>
              <w:t>th</w:t>
            </w:r>
            <w:r w:rsidRPr="00611B76">
              <w:rPr>
                <w:rFonts w:cs="Arial"/>
                <w:sz w:val="20"/>
                <w:szCs w:val="20"/>
              </w:rPr>
              <w:t xml:space="preserve"> 3.7</w:t>
            </w:r>
          </w:p>
          <w:p w14:paraId="23F997C0"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 xml:space="preserve">th </w:t>
            </w:r>
            <w:r w:rsidRPr="00611B76">
              <w:rPr>
                <w:rFonts w:cs="Arial"/>
                <w:sz w:val="20"/>
                <w:szCs w:val="20"/>
              </w:rPr>
              <w:t>5.5</w:t>
            </w:r>
          </w:p>
        </w:tc>
        <w:tc>
          <w:tcPr>
            <w:tcW w:w="0" w:type="auto"/>
          </w:tcPr>
          <w:p w14:paraId="393F5B0C" w14:textId="4C6561D8" w:rsidR="00EC13A5" w:rsidRPr="00611B76" w:rsidRDefault="00C533CE" w:rsidP="00611B76">
            <w:pPr>
              <w:spacing w:before="40" w:after="40"/>
              <w:rPr>
                <w:rFonts w:eastAsia="TimesNewRoman" w:cs="Arial"/>
                <w:sz w:val="20"/>
                <w:szCs w:val="20"/>
              </w:rPr>
            </w:pPr>
            <w:r>
              <w:rPr>
                <w:rFonts w:eastAsia="TimesNewRoman" w:cs="Arial"/>
                <w:sz w:val="20"/>
                <w:szCs w:val="20"/>
              </w:rPr>
              <w:t>OR=1.20 (95% CI: 0.86–</w:t>
            </w:r>
            <w:r w:rsidR="00EC13A5" w:rsidRPr="00611B76">
              <w:rPr>
                <w:rFonts w:eastAsia="TimesNewRoman" w:cs="Arial"/>
                <w:sz w:val="20"/>
                <w:szCs w:val="20"/>
              </w:rPr>
              <w:t xml:space="preserve">1.68) for highest vs lowest quartile </w:t>
            </w:r>
          </w:p>
          <w:p w14:paraId="4E949AF9" w14:textId="77777777" w:rsidR="00EC13A5" w:rsidRPr="00611B76" w:rsidRDefault="00EC13A5" w:rsidP="00611B76">
            <w:pPr>
              <w:spacing w:before="40" w:after="40"/>
              <w:rPr>
                <w:rFonts w:cs="Arial"/>
                <w:sz w:val="20"/>
                <w:szCs w:val="20"/>
              </w:rPr>
            </w:pPr>
            <w:r w:rsidRPr="00611B76">
              <w:rPr>
                <w:rFonts w:eastAsia="TimesNewRoman" w:cs="Arial"/>
                <w:sz w:val="20"/>
                <w:szCs w:val="20"/>
              </w:rPr>
              <w:t>Associations with choline, carnitine, betaine also examined</w:t>
            </w:r>
          </w:p>
        </w:tc>
      </w:tr>
      <w:tr w:rsidR="00EC13A5" w:rsidRPr="00611B76" w14:paraId="67FC0C5D" w14:textId="77777777" w:rsidTr="00DB0260">
        <w:tc>
          <w:tcPr>
            <w:tcW w:w="0" w:type="auto"/>
          </w:tcPr>
          <w:p w14:paraId="3E25B32F" w14:textId="77777777" w:rsidR="00EC13A5" w:rsidRPr="00611B76" w:rsidRDefault="00EC13A5" w:rsidP="00611B76">
            <w:pPr>
              <w:spacing w:before="40" w:after="40"/>
              <w:rPr>
                <w:rFonts w:cs="Arial"/>
                <w:sz w:val="20"/>
                <w:szCs w:val="20"/>
              </w:rPr>
            </w:pPr>
            <w:r w:rsidRPr="00611B76">
              <w:rPr>
                <w:rFonts w:cs="Arial"/>
                <w:sz w:val="20"/>
                <w:szCs w:val="20"/>
              </w:rPr>
              <w:t>Bae 2014</w:t>
            </w:r>
          </w:p>
        </w:tc>
        <w:tc>
          <w:tcPr>
            <w:tcW w:w="0" w:type="auto"/>
          </w:tcPr>
          <w:p w14:paraId="4757F6A1" w14:textId="77777777" w:rsidR="00EC13A5" w:rsidRPr="00611B76" w:rsidRDefault="00EC13A5" w:rsidP="00611B76">
            <w:pPr>
              <w:spacing w:before="40" w:after="40"/>
              <w:rPr>
                <w:rFonts w:cs="Arial"/>
                <w:sz w:val="20"/>
                <w:szCs w:val="20"/>
              </w:rPr>
            </w:pPr>
            <w:r w:rsidRPr="00611B76">
              <w:rPr>
                <w:rFonts w:cs="Arial"/>
                <w:sz w:val="20"/>
                <w:szCs w:val="20"/>
              </w:rPr>
              <w:t>Nested case control study within the Women’s Health Initiative Observational Study of 93,676 post-menopausal women aged 50-79</w:t>
            </w:r>
          </w:p>
        </w:tc>
        <w:tc>
          <w:tcPr>
            <w:tcW w:w="0" w:type="auto"/>
          </w:tcPr>
          <w:p w14:paraId="149D4F30" w14:textId="77777777" w:rsidR="00EC13A5" w:rsidRPr="00611B76" w:rsidRDefault="00EC13A5" w:rsidP="00611B76">
            <w:pPr>
              <w:spacing w:before="40" w:after="40"/>
              <w:rPr>
                <w:rFonts w:cs="Arial"/>
                <w:sz w:val="20"/>
                <w:szCs w:val="20"/>
              </w:rPr>
            </w:pPr>
          </w:p>
        </w:tc>
        <w:tc>
          <w:tcPr>
            <w:tcW w:w="0" w:type="auto"/>
          </w:tcPr>
          <w:p w14:paraId="71F3AFF6" w14:textId="77777777" w:rsidR="00EC13A5" w:rsidRPr="00611B76" w:rsidRDefault="00EC13A5" w:rsidP="00611B76">
            <w:pPr>
              <w:spacing w:before="40" w:after="40"/>
              <w:rPr>
                <w:rFonts w:cs="Arial"/>
                <w:sz w:val="20"/>
                <w:szCs w:val="20"/>
              </w:rPr>
            </w:pPr>
            <w:r w:rsidRPr="00611B76">
              <w:rPr>
                <w:rFonts w:cs="Arial"/>
                <w:sz w:val="20"/>
                <w:szCs w:val="20"/>
              </w:rPr>
              <w:t>5.2</w:t>
            </w:r>
          </w:p>
        </w:tc>
        <w:tc>
          <w:tcPr>
            <w:tcW w:w="0" w:type="auto"/>
          </w:tcPr>
          <w:p w14:paraId="2CB2742B" w14:textId="77777777" w:rsidR="00EC13A5" w:rsidRPr="00611B76" w:rsidRDefault="00EC13A5" w:rsidP="00611B76">
            <w:pPr>
              <w:spacing w:before="40" w:after="40"/>
              <w:rPr>
                <w:rFonts w:cs="Arial"/>
                <w:sz w:val="20"/>
                <w:szCs w:val="20"/>
              </w:rPr>
            </w:pPr>
            <w:r w:rsidRPr="00611B76">
              <w:rPr>
                <w:rFonts w:cs="Arial"/>
                <w:sz w:val="20"/>
                <w:szCs w:val="20"/>
              </w:rPr>
              <w:t>Colorectal cancer (835)</w:t>
            </w:r>
          </w:p>
        </w:tc>
        <w:tc>
          <w:tcPr>
            <w:tcW w:w="0" w:type="auto"/>
          </w:tcPr>
          <w:p w14:paraId="551F5C94" w14:textId="77777777" w:rsidR="00EC13A5" w:rsidRPr="00611B76" w:rsidRDefault="00EC13A5" w:rsidP="00611B76">
            <w:pPr>
              <w:spacing w:before="40" w:after="40"/>
              <w:rPr>
                <w:rFonts w:cs="Arial"/>
                <w:sz w:val="20"/>
                <w:szCs w:val="20"/>
              </w:rPr>
            </w:pPr>
            <w:r w:rsidRPr="00611B76">
              <w:rPr>
                <w:rFonts w:cs="Arial"/>
                <w:sz w:val="20"/>
                <w:szCs w:val="20"/>
              </w:rPr>
              <w:t>25</w:t>
            </w:r>
            <w:r w:rsidRPr="00243464">
              <w:rPr>
                <w:rFonts w:cs="Arial"/>
                <w:sz w:val="20"/>
                <w:szCs w:val="20"/>
                <w:vertAlign w:val="superscript"/>
              </w:rPr>
              <w:t>th</w:t>
            </w:r>
            <w:r w:rsidRPr="00611B76">
              <w:rPr>
                <w:rFonts w:cs="Arial"/>
                <w:sz w:val="20"/>
                <w:szCs w:val="20"/>
              </w:rPr>
              <w:t xml:space="preserve"> &lt;2.6</w:t>
            </w:r>
          </w:p>
          <w:p w14:paraId="2F2F7421" w14:textId="77777777" w:rsidR="00EC13A5" w:rsidRPr="00611B76" w:rsidRDefault="00EC13A5" w:rsidP="00611B76">
            <w:pPr>
              <w:spacing w:before="40" w:after="40"/>
              <w:rPr>
                <w:rFonts w:cs="Arial"/>
                <w:sz w:val="20"/>
                <w:szCs w:val="20"/>
              </w:rPr>
            </w:pPr>
            <w:r w:rsidRPr="00611B76">
              <w:rPr>
                <w:rFonts w:cs="Arial"/>
                <w:sz w:val="20"/>
                <w:szCs w:val="20"/>
              </w:rPr>
              <w:t>50th 3.8</w:t>
            </w:r>
          </w:p>
          <w:p w14:paraId="4A86F213"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th</w:t>
            </w:r>
            <w:r w:rsidRPr="00611B76">
              <w:rPr>
                <w:rFonts w:cs="Arial"/>
                <w:sz w:val="20"/>
                <w:szCs w:val="20"/>
              </w:rPr>
              <w:t xml:space="preserve">  5.7 </w:t>
            </w:r>
          </w:p>
        </w:tc>
        <w:tc>
          <w:tcPr>
            <w:tcW w:w="0" w:type="auto"/>
          </w:tcPr>
          <w:p w14:paraId="3601A5CF" w14:textId="685A5124" w:rsidR="00EC13A5" w:rsidRPr="00611B76" w:rsidRDefault="00EC13A5" w:rsidP="00611B76">
            <w:pPr>
              <w:spacing w:before="40" w:after="40"/>
              <w:rPr>
                <w:rFonts w:cs="Arial"/>
                <w:sz w:val="20"/>
                <w:szCs w:val="20"/>
              </w:rPr>
            </w:pPr>
            <w:r w:rsidRPr="00611B76">
              <w:rPr>
                <w:rFonts w:cs="Arial"/>
                <w:sz w:val="20"/>
                <w:szCs w:val="20"/>
              </w:rPr>
              <w:t>Recta</w:t>
            </w:r>
            <w:r w:rsidR="00C533CE">
              <w:rPr>
                <w:rFonts w:cs="Arial"/>
                <w:sz w:val="20"/>
                <w:szCs w:val="20"/>
              </w:rPr>
              <w:t>l cancer: OR=3.38 (95% CI: 1.25–</w:t>
            </w:r>
            <w:r w:rsidRPr="00611B76">
              <w:rPr>
                <w:rFonts w:cs="Arial"/>
                <w:sz w:val="20"/>
                <w:szCs w:val="20"/>
              </w:rPr>
              <w:t xml:space="preserve">9.16) </w:t>
            </w:r>
          </w:p>
          <w:p w14:paraId="7842C70B" w14:textId="77777777" w:rsidR="00EC13A5" w:rsidRPr="00611B76" w:rsidRDefault="00EC13A5" w:rsidP="00611B76">
            <w:pPr>
              <w:spacing w:before="40" w:after="40"/>
              <w:rPr>
                <w:rFonts w:cs="Arial"/>
                <w:sz w:val="20"/>
                <w:szCs w:val="20"/>
              </w:rPr>
            </w:pPr>
          </w:p>
          <w:p w14:paraId="34DAF0D3" w14:textId="25B8C7EB" w:rsidR="00EC13A5" w:rsidRPr="00611B76" w:rsidRDefault="00EC13A5" w:rsidP="00611B76">
            <w:pPr>
              <w:spacing w:before="40" w:after="40"/>
              <w:rPr>
                <w:rFonts w:cs="Arial"/>
                <w:sz w:val="20"/>
                <w:szCs w:val="20"/>
              </w:rPr>
            </w:pPr>
            <w:r w:rsidRPr="00611B76">
              <w:rPr>
                <w:rFonts w:cs="Arial"/>
                <w:sz w:val="20"/>
                <w:szCs w:val="20"/>
              </w:rPr>
              <w:t>Overall CRC varied by vitamin B12 status and only significant with B12 was low (OR=</w:t>
            </w:r>
            <w:r w:rsidRPr="00611B76">
              <w:rPr>
                <w:rFonts w:cs="Arial"/>
                <w:color w:val="000000"/>
                <w:sz w:val="20"/>
                <w:szCs w:val="20"/>
              </w:rPr>
              <w:t>2.44; 95% CI:</w:t>
            </w:r>
            <w:r w:rsidR="00C533CE">
              <w:rPr>
                <w:rFonts w:cs="Arial"/>
                <w:color w:val="000000"/>
                <w:sz w:val="20"/>
                <w:szCs w:val="20"/>
              </w:rPr>
              <w:t xml:space="preserve"> 1.59–</w:t>
            </w:r>
            <w:r w:rsidRPr="00611B76">
              <w:rPr>
                <w:rFonts w:cs="Arial"/>
                <w:color w:val="000000"/>
                <w:sz w:val="20"/>
                <w:szCs w:val="20"/>
              </w:rPr>
              <w:t xml:space="preserve">3.75) </w:t>
            </w:r>
            <w:r w:rsidRPr="00611B76">
              <w:rPr>
                <w:rFonts w:cs="Arial"/>
                <w:sz w:val="20"/>
                <w:szCs w:val="20"/>
              </w:rPr>
              <w:t xml:space="preserve"> but no</w:t>
            </w:r>
            <w:r w:rsidR="00C533CE">
              <w:rPr>
                <w:rFonts w:cs="Arial"/>
                <w:sz w:val="20"/>
                <w:szCs w:val="20"/>
              </w:rPr>
              <w:t>t if high (OR=0.92; 95% CI 0.58–</w:t>
            </w:r>
            <w:r w:rsidRPr="00611B76">
              <w:rPr>
                <w:rFonts w:cs="Arial"/>
                <w:sz w:val="20"/>
                <w:szCs w:val="20"/>
              </w:rPr>
              <w:t>1.47)</w:t>
            </w:r>
          </w:p>
          <w:p w14:paraId="4E55A3FF" w14:textId="77777777" w:rsidR="00EC13A5" w:rsidRPr="00611B76" w:rsidRDefault="00EC13A5" w:rsidP="00611B76">
            <w:pPr>
              <w:spacing w:before="40" w:after="40"/>
              <w:rPr>
                <w:rFonts w:cs="Arial"/>
                <w:sz w:val="20"/>
                <w:szCs w:val="20"/>
              </w:rPr>
            </w:pPr>
          </w:p>
          <w:p w14:paraId="46814334" w14:textId="77777777" w:rsidR="00EC13A5" w:rsidRPr="00611B76" w:rsidRDefault="00EC13A5" w:rsidP="00611B76">
            <w:pPr>
              <w:spacing w:before="40" w:after="40"/>
              <w:rPr>
                <w:rFonts w:cs="Arial"/>
                <w:sz w:val="20"/>
                <w:szCs w:val="20"/>
              </w:rPr>
            </w:pPr>
            <w:r w:rsidRPr="00611B76">
              <w:rPr>
                <w:rFonts w:cs="Arial"/>
                <w:sz w:val="20"/>
                <w:szCs w:val="20"/>
              </w:rPr>
              <w:t>Associations with choline and betaine also examined</w:t>
            </w:r>
          </w:p>
        </w:tc>
      </w:tr>
    </w:tbl>
    <w:p w14:paraId="4B7329E5" w14:textId="77777777" w:rsidR="00EC13A5" w:rsidRPr="00EC13A5" w:rsidRDefault="00EC13A5" w:rsidP="00EC13A5">
      <w:pPr>
        <w:rPr>
          <w:rFonts w:cs="Arial"/>
          <w:szCs w:val="22"/>
        </w:rPr>
      </w:pPr>
    </w:p>
    <w:p w14:paraId="1C1B156E" w14:textId="77777777" w:rsidR="00EC13A5" w:rsidRPr="00EC13A5" w:rsidRDefault="00EC13A5" w:rsidP="00EC13A5">
      <w:pPr>
        <w:rPr>
          <w:rFonts w:cs="Arial"/>
          <w:szCs w:val="22"/>
        </w:rPr>
      </w:pPr>
      <w:r w:rsidRPr="00EC13A5">
        <w:rPr>
          <w:rFonts w:cs="Arial"/>
          <w:szCs w:val="22"/>
        </w:rPr>
        <w:br w:type="page"/>
      </w:r>
    </w:p>
    <w:p w14:paraId="5611CB44" w14:textId="136D11B3" w:rsidR="00EC13A5" w:rsidRPr="00611B76" w:rsidRDefault="00EC13A5" w:rsidP="00EC13A5">
      <w:pPr>
        <w:rPr>
          <w:rFonts w:cs="Arial"/>
          <w:b/>
          <w:szCs w:val="22"/>
        </w:rPr>
      </w:pPr>
      <w:r w:rsidRPr="00611B76">
        <w:rPr>
          <w:rFonts w:cs="Arial"/>
          <w:b/>
          <w:szCs w:val="22"/>
        </w:rPr>
        <w:t xml:space="preserve">Table </w:t>
      </w:r>
      <w:r w:rsidR="002B3C9C">
        <w:rPr>
          <w:rFonts w:cs="Arial"/>
          <w:b/>
          <w:szCs w:val="22"/>
        </w:rPr>
        <w:t>A4.</w:t>
      </w:r>
      <w:r w:rsidRPr="00611B76">
        <w:rPr>
          <w:rFonts w:cs="Arial"/>
          <w:b/>
          <w:szCs w:val="22"/>
        </w:rPr>
        <w:t>3</w:t>
      </w:r>
      <w:r w:rsidR="002B3C9C">
        <w:rPr>
          <w:rFonts w:cs="Arial"/>
          <w:b/>
          <w:szCs w:val="22"/>
        </w:rPr>
        <w:t>:</w:t>
      </w:r>
      <w:r w:rsidRPr="00611B76">
        <w:rPr>
          <w:rFonts w:cs="Arial"/>
          <w:b/>
          <w:szCs w:val="22"/>
        </w:rPr>
        <w:t xml:space="preserve"> Other cohorts of patients with various types of heart disease</w:t>
      </w:r>
    </w:p>
    <w:p w14:paraId="03AFD349" w14:textId="77777777" w:rsidR="00EC13A5" w:rsidRPr="00EC13A5" w:rsidRDefault="00EC13A5" w:rsidP="00EC13A5">
      <w:pPr>
        <w:rPr>
          <w:rFonts w:cs="Arial"/>
          <w:szCs w:val="22"/>
        </w:rPr>
      </w:pPr>
    </w:p>
    <w:tbl>
      <w:tblPr>
        <w:tblStyle w:val="TableGrid5"/>
        <w:tblW w:w="0" w:type="auto"/>
        <w:tblLook w:val="04A0" w:firstRow="1" w:lastRow="0" w:firstColumn="1" w:lastColumn="0" w:noHBand="0" w:noVBand="1"/>
        <w:tblCaption w:val="Other cohorts of patients with various types of heart disease"/>
        <w:tblDescription w:val="Other cohorts of patients with various types of heart disease"/>
      </w:tblPr>
      <w:tblGrid>
        <w:gridCol w:w="1131"/>
        <w:gridCol w:w="4090"/>
        <w:gridCol w:w="1570"/>
        <w:gridCol w:w="1176"/>
        <w:gridCol w:w="2199"/>
        <w:gridCol w:w="1599"/>
        <w:gridCol w:w="2227"/>
      </w:tblGrid>
      <w:tr w:rsidR="00EC13A5" w:rsidRPr="00611B76" w14:paraId="446960AF" w14:textId="77777777" w:rsidTr="00DB0260">
        <w:trPr>
          <w:cantSplit/>
          <w:tblHeader/>
        </w:trPr>
        <w:tc>
          <w:tcPr>
            <w:tcW w:w="0" w:type="auto"/>
          </w:tcPr>
          <w:p w14:paraId="0B495A5C" w14:textId="77777777" w:rsidR="00EC13A5" w:rsidRPr="00611B76" w:rsidRDefault="00EC13A5" w:rsidP="00611B76">
            <w:pPr>
              <w:spacing w:before="40" w:after="40"/>
              <w:rPr>
                <w:rFonts w:cs="Arial"/>
                <w:b/>
                <w:sz w:val="20"/>
                <w:szCs w:val="20"/>
              </w:rPr>
            </w:pPr>
            <w:r w:rsidRPr="00611B76">
              <w:rPr>
                <w:rFonts w:cs="Arial"/>
                <w:b/>
                <w:sz w:val="20"/>
                <w:szCs w:val="20"/>
              </w:rPr>
              <w:t>First author, year,</w:t>
            </w:r>
          </w:p>
          <w:p w14:paraId="181C2FCD" w14:textId="06523140" w:rsidR="00EC13A5" w:rsidRPr="00611B76" w:rsidRDefault="003237DC" w:rsidP="00611B76">
            <w:pPr>
              <w:spacing w:before="40" w:after="40"/>
              <w:rPr>
                <w:rFonts w:cs="Arial"/>
                <w:b/>
                <w:sz w:val="20"/>
                <w:szCs w:val="20"/>
              </w:rPr>
            </w:pPr>
            <w:r w:rsidRPr="00611B76">
              <w:rPr>
                <w:rFonts w:cs="Arial"/>
                <w:b/>
                <w:sz w:val="20"/>
                <w:szCs w:val="20"/>
              </w:rPr>
              <w:t>L</w:t>
            </w:r>
            <w:r w:rsidR="00EC13A5" w:rsidRPr="00611B76">
              <w:rPr>
                <w:rFonts w:cs="Arial"/>
                <w:b/>
                <w:sz w:val="20"/>
                <w:szCs w:val="20"/>
              </w:rPr>
              <w:t>ocation</w:t>
            </w:r>
          </w:p>
        </w:tc>
        <w:tc>
          <w:tcPr>
            <w:tcW w:w="0" w:type="auto"/>
          </w:tcPr>
          <w:p w14:paraId="0C627DAE" w14:textId="77777777" w:rsidR="00EC13A5" w:rsidRPr="00611B76" w:rsidRDefault="00EC13A5" w:rsidP="00611B76">
            <w:pPr>
              <w:spacing w:before="40" w:after="40"/>
              <w:rPr>
                <w:rFonts w:cs="Arial"/>
                <w:b/>
                <w:sz w:val="20"/>
                <w:szCs w:val="20"/>
              </w:rPr>
            </w:pPr>
            <w:r w:rsidRPr="00611B76">
              <w:rPr>
                <w:rFonts w:cs="Arial"/>
                <w:b/>
                <w:sz w:val="20"/>
                <w:szCs w:val="20"/>
              </w:rPr>
              <w:t xml:space="preserve">Group </w:t>
            </w:r>
          </w:p>
        </w:tc>
        <w:tc>
          <w:tcPr>
            <w:tcW w:w="0" w:type="auto"/>
          </w:tcPr>
          <w:p w14:paraId="397C2426" w14:textId="77777777" w:rsidR="00EC13A5" w:rsidRPr="00611B76" w:rsidRDefault="00EC13A5" w:rsidP="00611B76">
            <w:pPr>
              <w:spacing w:before="40" w:after="40"/>
              <w:rPr>
                <w:rFonts w:cs="Arial"/>
                <w:b/>
                <w:sz w:val="20"/>
                <w:szCs w:val="20"/>
              </w:rPr>
            </w:pPr>
            <w:r w:rsidRPr="00611B76">
              <w:rPr>
                <w:rFonts w:cs="Arial"/>
                <w:b/>
                <w:sz w:val="20"/>
                <w:szCs w:val="20"/>
              </w:rPr>
              <w:t>Baseline N</w:t>
            </w:r>
          </w:p>
        </w:tc>
        <w:tc>
          <w:tcPr>
            <w:tcW w:w="0" w:type="auto"/>
          </w:tcPr>
          <w:p w14:paraId="6A839886" w14:textId="77777777" w:rsidR="00EC13A5" w:rsidRPr="00611B76" w:rsidRDefault="00EC13A5" w:rsidP="00611B76">
            <w:pPr>
              <w:spacing w:before="40" w:after="40"/>
              <w:rPr>
                <w:rFonts w:cs="Arial"/>
                <w:b/>
                <w:sz w:val="20"/>
                <w:szCs w:val="20"/>
              </w:rPr>
            </w:pPr>
            <w:r w:rsidRPr="00611B76">
              <w:rPr>
                <w:rFonts w:cs="Arial"/>
                <w:b/>
                <w:sz w:val="20"/>
                <w:szCs w:val="20"/>
              </w:rPr>
              <w:t>Follow-up duration (years)</w:t>
            </w:r>
          </w:p>
        </w:tc>
        <w:tc>
          <w:tcPr>
            <w:tcW w:w="0" w:type="auto"/>
          </w:tcPr>
          <w:p w14:paraId="557F3AE6" w14:textId="77777777" w:rsidR="00EC13A5" w:rsidRPr="00611B76" w:rsidRDefault="00EC13A5" w:rsidP="00611B76">
            <w:pPr>
              <w:spacing w:before="40" w:after="40"/>
              <w:rPr>
                <w:rFonts w:cs="Arial"/>
                <w:b/>
                <w:sz w:val="20"/>
                <w:szCs w:val="20"/>
              </w:rPr>
            </w:pPr>
            <w:r w:rsidRPr="00611B76">
              <w:rPr>
                <w:rFonts w:cs="Arial"/>
                <w:b/>
                <w:sz w:val="20"/>
                <w:szCs w:val="20"/>
              </w:rPr>
              <w:t>Outcome (N events)</w:t>
            </w:r>
          </w:p>
        </w:tc>
        <w:tc>
          <w:tcPr>
            <w:tcW w:w="0" w:type="auto"/>
          </w:tcPr>
          <w:p w14:paraId="0D036AD1" w14:textId="77777777" w:rsidR="00EC13A5" w:rsidRPr="00611B76" w:rsidRDefault="00EC13A5" w:rsidP="00611B76">
            <w:pPr>
              <w:spacing w:before="40" w:after="40"/>
              <w:rPr>
                <w:rFonts w:cs="Arial"/>
                <w:b/>
                <w:sz w:val="20"/>
                <w:szCs w:val="20"/>
              </w:rPr>
            </w:pPr>
            <w:r w:rsidRPr="00611B76">
              <w:rPr>
                <w:rFonts w:cs="Arial"/>
                <w:b/>
                <w:sz w:val="20"/>
                <w:szCs w:val="20"/>
              </w:rPr>
              <w:t>TMAO concentration</w:t>
            </w:r>
          </w:p>
          <w:p w14:paraId="57257E8F" w14:textId="2783185C" w:rsidR="00EC13A5" w:rsidRPr="00611B76" w:rsidRDefault="0055564D" w:rsidP="00611B76">
            <w:pPr>
              <w:spacing w:before="40" w:after="40"/>
              <w:rPr>
                <w:rFonts w:cs="Arial"/>
                <w:b/>
                <w:sz w:val="20"/>
                <w:szCs w:val="20"/>
              </w:rPr>
            </w:pPr>
            <w:r w:rsidRPr="00611B76">
              <w:rPr>
                <w:rFonts w:cs="Arial"/>
                <w:b/>
                <w:sz w:val="20"/>
                <w:szCs w:val="20"/>
              </w:rPr>
              <w:t>(percentile: µM</w:t>
            </w:r>
            <w:r w:rsidR="00EC13A5" w:rsidRPr="00611B76">
              <w:rPr>
                <w:rFonts w:cs="Arial"/>
                <w:b/>
                <w:sz w:val="20"/>
                <w:szCs w:val="20"/>
              </w:rPr>
              <w:t>)</w:t>
            </w:r>
          </w:p>
          <w:p w14:paraId="54751B59" w14:textId="77777777" w:rsidR="00EC13A5" w:rsidRPr="00611B76" w:rsidRDefault="00EC13A5" w:rsidP="00611B76">
            <w:pPr>
              <w:spacing w:before="40" w:after="40"/>
              <w:rPr>
                <w:rFonts w:cs="Arial"/>
                <w:b/>
                <w:sz w:val="20"/>
                <w:szCs w:val="20"/>
              </w:rPr>
            </w:pPr>
          </w:p>
        </w:tc>
        <w:tc>
          <w:tcPr>
            <w:tcW w:w="0" w:type="auto"/>
          </w:tcPr>
          <w:p w14:paraId="2BA718A6" w14:textId="77777777" w:rsidR="00EC13A5" w:rsidRPr="00611B76" w:rsidRDefault="00EC13A5" w:rsidP="00611B76">
            <w:pPr>
              <w:spacing w:before="40" w:after="40"/>
              <w:rPr>
                <w:rFonts w:cs="Arial"/>
                <w:b/>
                <w:sz w:val="20"/>
                <w:szCs w:val="20"/>
              </w:rPr>
            </w:pPr>
            <w:r w:rsidRPr="00611B76">
              <w:rPr>
                <w:rFonts w:cs="Arial"/>
                <w:b/>
                <w:sz w:val="20"/>
                <w:szCs w:val="20"/>
              </w:rPr>
              <w:t>Results</w:t>
            </w:r>
          </w:p>
        </w:tc>
      </w:tr>
      <w:tr w:rsidR="00EC13A5" w:rsidRPr="00611B76" w14:paraId="431D1F17" w14:textId="77777777" w:rsidTr="00DB0260">
        <w:trPr>
          <w:cantSplit/>
        </w:trPr>
        <w:tc>
          <w:tcPr>
            <w:tcW w:w="0" w:type="auto"/>
          </w:tcPr>
          <w:p w14:paraId="19AF0540" w14:textId="77777777" w:rsidR="00EC13A5" w:rsidRPr="00611B76" w:rsidRDefault="00EC13A5" w:rsidP="00611B76">
            <w:pPr>
              <w:spacing w:before="40" w:after="40"/>
              <w:rPr>
                <w:rFonts w:cs="Arial"/>
                <w:sz w:val="20"/>
                <w:szCs w:val="20"/>
              </w:rPr>
            </w:pPr>
            <w:r w:rsidRPr="00611B76">
              <w:rPr>
                <w:rFonts w:cs="Arial"/>
                <w:sz w:val="20"/>
                <w:szCs w:val="20"/>
              </w:rPr>
              <w:t>Tang 2015*</w:t>
            </w:r>
            <w:r w:rsidRPr="00117930">
              <w:rPr>
                <w:rFonts w:cs="Arial"/>
                <w:sz w:val="20"/>
                <w:szCs w:val="20"/>
                <w:vertAlign w:val="superscript"/>
              </w:rPr>
              <w:t>#</w:t>
            </w:r>
          </w:p>
        </w:tc>
        <w:tc>
          <w:tcPr>
            <w:tcW w:w="0" w:type="auto"/>
          </w:tcPr>
          <w:p w14:paraId="6A691C66" w14:textId="77777777" w:rsidR="00EC13A5" w:rsidRPr="00611B76" w:rsidRDefault="00EC13A5" w:rsidP="00611B76">
            <w:pPr>
              <w:spacing w:before="40" w:after="40"/>
              <w:rPr>
                <w:rFonts w:cs="Arial"/>
                <w:sz w:val="20"/>
                <w:szCs w:val="20"/>
              </w:rPr>
            </w:pPr>
            <w:r w:rsidRPr="00611B76">
              <w:rPr>
                <w:rFonts w:cs="Arial"/>
                <w:sz w:val="20"/>
                <w:szCs w:val="20"/>
              </w:rPr>
              <w:t>Stable but asymptomatic chronic systolic heart failure (left ventricular ejection fraction &lt;=35%) who underwent echocardiography; excluding significant primary valvular abnormality</w:t>
            </w:r>
          </w:p>
        </w:tc>
        <w:tc>
          <w:tcPr>
            <w:tcW w:w="0" w:type="auto"/>
          </w:tcPr>
          <w:p w14:paraId="5D735F14" w14:textId="77777777" w:rsidR="00EC13A5" w:rsidRPr="00611B76" w:rsidRDefault="00EC13A5" w:rsidP="00611B76">
            <w:pPr>
              <w:spacing w:before="40" w:after="40"/>
              <w:rPr>
                <w:rFonts w:cs="Arial"/>
                <w:sz w:val="20"/>
                <w:szCs w:val="20"/>
              </w:rPr>
            </w:pPr>
            <w:r w:rsidRPr="00611B76">
              <w:rPr>
                <w:rFonts w:cs="Arial"/>
                <w:sz w:val="20"/>
                <w:szCs w:val="20"/>
              </w:rPr>
              <w:t>112</w:t>
            </w:r>
          </w:p>
        </w:tc>
        <w:tc>
          <w:tcPr>
            <w:tcW w:w="0" w:type="auto"/>
          </w:tcPr>
          <w:p w14:paraId="2E135CEE" w14:textId="77777777" w:rsidR="00EC13A5" w:rsidRPr="00611B76" w:rsidRDefault="00EC13A5" w:rsidP="00611B76">
            <w:pPr>
              <w:spacing w:before="40" w:after="40"/>
              <w:rPr>
                <w:rFonts w:cs="Arial"/>
                <w:sz w:val="20"/>
                <w:szCs w:val="20"/>
              </w:rPr>
            </w:pPr>
            <w:r w:rsidRPr="00611B76">
              <w:rPr>
                <w:rFonts w:cs="Arial"/>
                <w:sz w:val="20"/>
                <w:szCs w:val="20"/>
              </w:rPr>
              <w:t>5</w:t>
            </w:r>
          </w:p>
        </w:tc>
        <w:tc>
          <w:tcPr>
            <w:tcW w:w="0" w:type="auto"/>
          </w:tcPr>
          <w:p w14:paraId="37E0E80F" w14:textId="77777777" w:rsidR="00EC13A5" w:rsidRPr="00611B76" w:rsidRDefault="00EC13A5" w:rsidP="00611B76">
            <w:pPr>
              <w:spacing w:before="40" w:after="40"/>
              <w:rPr>
                <w:rFonts w:cs="Arial"/>
                <w:sz w:val="20"/>
                <w:szCs w:val="20"/>
              </w:rPr>
            </w:pPr>
            <w:r w:rsidRPr="00611B76">
              <w:rPr>
                <w:rFonts w:cs="Arial"/>
                <w:sz w:val="20"/>
                <w:szCs w:val="20"/>
              </w:rPr>
              <w:t>All-cause mortality +cardiac transplantation  (40)</w:t>
            </w:r>
          </w:p>
        </w:tc>
        <w:tc>
          <w:tcPr>
            <w:tcW w:w="0" w:type="auto"/>
          </w:tcPr>
          <w:p w14:paraId="4A3359DF"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th</w:t>
            </w:r>
            <w:r w:rsidRPr="00611B76">
              <w:rPr>
                <w:rFonts w:cs="Arial"/>
                <w:sz w:val="20"/>
                <w:szCs w:val="20"/>
              </w:rPr>
              <w:t>: 3.6</w:t>
            </w:r>
          </w:p>
          <w:p w14:paraId="2F0B925C" w14:textId="77777777" w:rsidR="00EC13A5" w:rsidRPr="00611B76" w:rsidRDefault="00EC13A5" w:rsidP="00611B76">
            <w:pPr>
              <w:spacing w:before="40" w:after="40"/>
              <w:rPr>
                <w:rFonts w:cs="Arial"/>
                <w:sz w:val="20"/>
                <w:szCs w:val="20"/>
              </w:rPr>
            </w:pPr>
            <w:r w:rsidRPr="00611B76">
              <w:rPr>
                <w:rFonts w:cs="Arial"/>
                <w:sz w:val="20"/>
                <w:szCs w:val="20"/>
              </w:rPr>
              <w:t>50</w:t>
            </w:r>
            <w:r w:rsidRPr="00611B76">
              <w:rPr>
                <w:rFonts w:cs="Arial"/>
                <w:sz w:val="20"/>
                <w:szCs w:val="20"/>
                <w:vertAlign w:val="superscript"/>
              </w:rPr>
              <w:t>th</w:t>
            </w:r>
            <w:r w:rsidRPr="00611B76">
              <w:rPr>
                <w:rFonts w:cs="Arial"/>
                <w:sz w:val="20"/>
                <w:szCs w:val="20"/>
              </w:rPr>
              <w:t>: 5.8</w:t>
            </w:r>
          </w:p>
          <w:p w14:paraId="69FA9ECC"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th</w:t>
            </w:r>
            <w:r w:rsidRPr="00611B76">
              <w:rPr>
                <w:rFonts w:cs="Arial"/>
                <w:sz w:val="20"/>
                <w:szCs w:val="20"/>
              </w:rPr>
              <w:t xml:space="preserve"> 12.1</w:t>
            </w:r>
          </w:p>
          <w:p w14:paraId="4EAAEDF9" w14:textId="77777777" w:rsidR="00EC13A5" w:rsidRPr="00611B76" w:rsidRDefault="00EC13A5" w:rsidP="00611B76">
            <w:pPr>
              <w:spacing w:before="40" w:after="40"/>
              <w:rPr>
                <w:rFonts w:cs="Arial"/>
                <w:sz w:val="20"/>
                <w:szCs w:val="20"/>
              </w:rPr>
            </w:pPr>
          </w:p>
          <w:p w14:paraId="0E783896" w14:textId="77777777" w:rsidR="00EC13A5" w:rsidRPr="00611B76" w:rsidRDefault="00EC13A5" w:rsidP="00611B76">
            <w:pPr>
              <w:spacing w:before="40" w:after="40"/>
              <w:rPr>
                <w:rFonts w:cs="Arial"/>
                <w:sz w:val="20"/>
                <w:szCs w:val="20"/>
              </w:rPr>
            </w:pPr>
          </w:p>
        </w:tc>
        <w:tc>
          <w:tcPr>
            <w:tcW w:w="0" w:type="auto"/>
          </w:tcPr>
          <w:p w14:paraId="351F7EC7" w14:textId="4E4BF90C" w:rsidR="00EC13A5" w:rsidRPr="00611B76" w:rsidRDefault="00C533CE" w:rsidP="00611B76">
            <w:pPr>
              <w:spacing w:before="40" w:after="40"/>
              <w:rPr>
                <w:rFonts w:cs="Arial"/>
                <w:sz w:val="20"/>
                <w:szCs w:val="20"/>
              </w:rPr>
            </w:pPr>
            <w:r>
              <w:rPr>
                <w:rFonts w:cs="Arial"/>
                <w:sz w:val="20"/>
                <w:szCs w:val="20"/>
              </w:rPr>
              <w:t>HR=1.46 (95% CI: 1.03–</w:t>
            </w:r>
            <w:r w:rsidR="00EC13A5" w:rsidRPr="00611B76">
              <w:rPr>
                <w:rFonts w:cs="Arial"/>
                <w:sz w:val="20"/>
                <w:szCs w:val="20"/>
              </w:rPr>
              <w:t>2.14) per 1 st</w:t>
            </w:r>
            <w:r>
              <w:rPr>
                <w:rFonts w:cs="Arial"/>
                <w:sz w:val="20"/>
                <w:szCs w:val="20"/>
              </w:rPr>
              <w:t xml:space="preserve">andard deviation increment in </w:t>
            </w:r>
            <w:r w:rsidR="00EC13A5" w:rsidRPr="00611B76">
              <w:rPr>
                <w:rFonts w:cs="Arial"/>
                <w:sz w:val="20"/>
                <w:szCs w:val="20"/>
              </w:rPr>
              <w:t>the natural logarithm of TMAO</w:t>
            </w:r>
          </w:p>
          <w:p w14:paraId="144F592F" w14:textId="77777777" w:rsidR="00EC13A5" w:rsidRPr="00611B76" w:rsidRDefault="00EC13A5" w:rsidP="00611B76">
            <w:pPr>
              <w:spacing w:before="40" w:after="40"/>
              <w:rPr>
                <w:rFonts w:cs="Arial"/>
                <w:sz w:val="20"/>
                <w:szCs w:val="20"/>
              </w:rPr>
            </w:pPr>
          </w:p>
        </w:tc>
      </w:tr>
      <w:tr w:rsidR="00EC13A5" w:rsidRPr="00611B76" w14:paraId="00CA84CA" w14:textId="77777777" w:rsidTr="00DB0260">
        <w:trPr>
          <w:cantSplit/>
        </w:trPr>
        <w:tc>
          <w:tcPr>
            <w:tcW w:w="0" w:type="auto"/>
            <w:vMerge w:val="restart"/>
          </w:tcPr>
          <w:p w14:paraId="4F3E85FA" w14:textId="45F140B4" w:rsidR="00EC13A5" w:rsidRPr="00611B76" w:rsidRDefault="005C2AE9" w:rsidP="00611B76">
            <w:pPr>
              <w:spacing w:before="40" w:after="40"/>
              <w:rPr>
                <w:rFonts w:cs="Arial"/>
                <w:sz w:val="20"/>
                <w:szCs w:val="20"/>
              </w:rPr>
            </w:pPr>
            <w:r>
              <w:rPr>
                <w:rFonts w:cs="Arial"/>
                <w:sz w:val="20"/>
                <w:szCs w:val="20"/>
              </w:rPr>
              <w:t>Li</w:t>
            </w:r>
            <w:r w:rsidR="00EC13A5" w:rsidRPr="00611B76">
              <w:rPr>
                <w:rFonts w:cs="Arial"/>
                <w:sz w:val="20"/>
                <w:szCs w:val="20"/>
              </w:rPr>
              <w:t xml:space="preserve"> 2017*</w:t>
            </w:r>
          </w:p>
        </w:tc>
        <w:tc>
          <w:tcPr>
            <w:tcW w:w="0" w:type="auto"/>
            <w:vMerge w:val="restart"/>
          </w:tcPr>
          <w:p w14:paraId="2CA6B2BF" w14:textId="77777777" w:rsidR="00EC13A5" w:rsidRPr="00611B76" w:rsidRDefault="00EC13A5" w:rsidP="00611B76">
            <w:pPr>
              <w:spacing w:before="40" w:after="40"/>
              <w:rPr>
                <w:rFonts w:cs="Arial"/>
                <w:sz w:val="20"/>
                <w:szCs w:val="20"/>
              </w:rPr>
            </w:pPr>
            <w:r w:rsidRPr="00611B76">
              <w:rPr>
                <w:rFonts w:cs="Arial"/>
                <w:sz w:val="20"/>
                <w:szCs w:val="20"/>
              </w:rPr>
              <w:t>Acute coronary syndrome</w:t>
            </w:r>
          </w:p>
        </w:tc>
        <w:tc>
          <w:tcPr>
            <w:tcW w:w="0" w:type="auto"/>
          </w:tcPr>
          <w:p w14:paraId="12240495" w14:textId="77777777" w:rsidR="00EC13A5" w:rsidRPr="00611B76" w:rsidRDefault="00EC13A5" w:rsidP="00611B76">
            <w:pPr>
              <w:spacing w:before="40" w:after="40"/>
              <w:rPr>
                <w:rFonts w:cs="Arial"/>
                <w:sz w:val="20"/>
                <w:szCs w:val="20"/>
              </w:rPr>
            </w:pPr>
            <w:r w:rsidRPr="00611B76">
              <w:rPr>
                <w:rFonts w:cs="Arial"/>
                <w:sz w:val="20"/>
                <w:szCs w:val="20"/>
              </w:rPr>
              <w:t xml:space="preserve">US : 530 presenting with chest pain </w:t>
            </w:r>
          </w:p>
          <w:p w14:paraId="0AD08EA4" w14:textId="77777777" w:rsidR="00EC13A5" w:rsidRPr="00611B76" w:rsidRDefault="00EC13A5" w:rsidP="00611B76">
            <w:pPr>
              <w:spacing w:before="40" w:after="40"/>
              <w:rPr>
                <w:rFonts w:cs="Arial"/>
                <w:sz w:val="20"/>
                <w:szCs w:val="20"/>
              </w:rPr>
            </w:pPr>
          </w:p>
        </w:tc>
        <w:tc>
          <w:tcPr>
            <w:tcW w:w="0" w:type="auto"/>
          </w:tcPr>
          <w:p w14:paraId="7DFCDA21" w14:textId="77777777" w:rsidR="00EC13A5" w:rsidRPr="00611B76" w:rsidRDefault="00EC13A5" w:rsidP="00611B76">
            <w:pPr>
              <w:spacing w:before="40" w:after="40"/>
              <w:rPr>
                <w:rFonts w:cs="Arial"/>
                <w:sz w:val="20"/>
                <w:szCs w:val="20"/>
              </w:rPr>
            </w:pPr>
            <w:r w:rsidRPr="00611B76">
              <w:rPr>
                <w:rFonts w:cs="Arial"/>
                <w:sz w:val="20"/>
                <w:szCs w:val="20"/>
              </w:rPr>
              <w:t>0.5</w:t>
            </w:r>
          </w:p>
        </w:tc>
        <w:tc>
          <w:tcPr>
            <w:tcW w:w="0" w:type="auto"/>
          </w:tcPr>
          <w:p w14:paraId="684918CD" w14:textId="77777777" w:rsidR="00EC13A5" w:rsidRPr="00611B76" w:rsidRDefault="00EC13A5" w:rsidP="00611B76">
            <w:pPr>
              <w:spacing w:before="40" w:after="40"/>
              <w:rPr>
                <w:rFonts w:cs="Arial"/>
                <w:sz w:val="20"/>
                <w:szCs w:val="20"/>
              </w:rPr>
            </w:pPr>
            <w:r w:rsidRPr="00611B76">
              <w:rPr>
                <w:rFonts w:cs="Arial"/>
                <w:sz w:val="20"/>
                <w:szCs w:val="20"/>
              </w:rPr>
              <w:t xml:space="preserve">MACER at 6 months </w:t>
            </w:r>
          </w:p>
          <w:p w14:paraId="57495134" w14:textId="77777777" w:rsidR="00EC13A5" w:rsidRPr="00611B76" w:rsidRDefault="00EC13A5" w:rsidP="00611B76">
            <w:pPr>
              <w:spacing w:before="40" w:after="40"/>
              <w:rPr>
                <w:rFonts w:cs="Arial"/>
                <w:sz w:val="20"/>
                <w:szCs w:val="20"/>
              </w:rPr>
            </w:pPr>
            <w:r w:rsidRPr="00611B76">
              <w:rPr>
                <w:rFonts w:cs="Arial"/>
                <w:sz w:val="20"/>
                <w:szCs w:val="20"/>
              </w:rPr>
              <w:t>MI (117), stroke (6), revascularisation (163), death (29), total MACER (220)</w:t>
            </w:r>
          </w:p>
        </w:tc>
        <w:tc>
          <w:tcPr>
            <w:tcW w:w="0" w:type="auto"/>
          </w:tcPr>
          <w:p w14:paraId="32BD24D6"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th</w:t>
            </w:r>
            <w:r w:rsidRPr="00611B76">
              <w:rPr>
                <w:rFonts w:cs="Arial"/>
                <w:sz w:val="20"/>
                <w:szCs w:val="20"/>
              </w:rPr>
              <w:t>: 2.6</w:t>
            </w:r>
          </w:p>
          <w:p w14:paraId="1D3B03A1" w14:textId="77777777" w:rsidR="00EC13A5" w:rsidRPr="00611B76" w:rsidRDefault="00EC13A5" w:rsidP="00611B76">
            <w:pPr>
              <w:spacing w:before="40" w:after="40"/>
              <w:rPr>
                <w:rFonts w:cs="Arial"/>
                <w:sz w:val="20"/>
                <w:szCs w:val="20"/>
                <w:vertAlign w:val="superscript"/>
              </w:rPr>
            </w:pPr>
            <w:r w:rsidRPr="00611B76">
              <w:rPr>
                <w:rFonts w:cs="Arial"/>
                <w:sz w:val="20"/>
                <w:szCs w:val="20"/>
              </w:rPr>
              <w:t>50</w:t>
            </w:r>
            <w:r w:rsidRPr="00611B76">
              <w:rPr>
                <w:rFonts w:cs="Arial"/>
                <w:sz w:val="20"/>
                <w:szCs w:val="20"/>
                <w:vertAlign w:val="superscript"/>
              </w:rPr>
              <w:t xml:space="preserve">th </w:t>
            </w:r>
            <w:r w:rsidRPr="00611B76">
              <w:rPr>
                <w:rFonts w:cs="Arial"/>
                <w:sz w:val="20"/>
                <w:szCs w:val="20"/>
              </w:rPr>
              <w:t>4.3</w:t>
            </w:r>
          </w:p>
          <w:p w14:paraId="7C0701D0"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th</w:t>
            </w:r>
            <w:r w:rsidRPr="00611B76">
              <w:rPr>
                <w:rFonts w:cs="Arial"/>
                <w:sz w:val="20"/>
                <w:szCs w:val="20"/>
              </w:rPr>
              <w:t xml:space="preserve"> 7.9</w:t>
            </w:r>
          </w:p>
        </w:tc>
        <w:tc>
          <w:tcPr>
            <w:tcW w:w="0" w:type="auto"/>
          </w:tcPr>
          <w:p w14:paraId="33DD8FF6" w14:textId="77777777" w:rsidR="00EC13A5" w:rsidRPr="00611B76" w:rsidRDefault="00EC13A5" w:rsidP="00611B76">
            <w:pPr>
              <w:spacing w:before="40" w:after="40"/>
              <w:rPr>
                <w:rFonts w:cs="Arial"/>
                <w:sz w:val="20"/>
                <w:szCs w:val="20"/>
              </w:rPr>
            </w:pPr>
            <w:r w:rsidRPr="00611B76">
              <w:rPr>
                <w:rFonts w:cs="Arial"/>
                <w:sz w:val="20"/>
                <w:szCs w:val="20"/>
              </w:rPr>
              <w:t>MACER: OR=5.65 (95% CI not reported)</w:t>
            </w:r>
          </w:p>
          <w:p w14:paraId="55E88C89" w14:textId="77777777" w:rsidR="00EC13A5" w:rsidRPr="00611B76" w:rsidRDefault="00EC13A5" w:rsidP="00611B76">
            <w:pPr>
              <w:spacing w:before="40" w:after="40"/>
              <w:rPr>
                <w:rFonts w:cs="Arial"/>
                <w:sz w:val="20"/>
                <w:szCs w:val="20"/>
              </w:rPr>
            </w:pPr>
          </w:p>
          <w:p w14:paraId="55643823" w14:textId="3D7BEC42" w:rsidR="00EC13A5" w:rsidRPr="00611B76" w:rsidRDefault="00EC13A5" w:rsidP="00611B76">
            <w:pPr>
              <w:spacing w:before="40" w:after="40"/>
              <w:rPr>
                <w:rFonts w:cs="Arial"/>
                <w:sz w:val="20"/>
                <w:szCs w:val="20"/>
              </w:rPr>
            </w:pPr>
            <w:r w:rsidRPr="00611B76">
              <w:rPr>
                <w:rFonts w:cs="Arial"/>
                <w:sz w:val="20"/>
                <w:szCs w:val="20"/>
              </w:rPr>
              <w:t>7-year mortality: HR=1.81</w:t>
            </w:r>
            <w:r w:rsidR="00C533CE">
              <w:rPr>
                <w:rFonts w:cs="Arial"/>
                <w:sz w:val="20"/>
                <w:szCs w:val="20"/>
              </w:rPr>
              <w:t xml:space="preserve"> </w:t>
            </w:r>
            <w:r w:rsidRPr="00611B76">
              <w:rPr>
                <w:rFonts w:cs="Arial"/>
                <w:sz w:val="20"/>
                <w:szCs w:val="20"/>
              </w:rPr>
              <w:t>(95% CI not reported)</w:t>
            </w:r>
          </w:p>
        </w:tc>
      </w:tr>
      <w:tr w:rsidR="00EC13A5" w:rsidRPr="00611B76" w14:paraId="5C4A54BD" w14:textId="77777777" w:rsidTr="00DB0260">
        <w:trPr>
          <w:cantSplit/>
        </w:trPr>
        <w:tc>
          <w:tcPr>
            <w:tcW w:w="0" w:type="auto"/>
            <w:vMerge/>
          </w:tcPr>
          <w:p w14:paraId="7454E656" w14:textId="77777777" w:rsidR="00EC13A5" w:rsidRPr="00611B76" w:rsidRDefault="00EC13A5" w:rsidP="00611B76">
            <w:pPr>
              <w:spacing w:before="40" w:after="40"/>
              <w:rPr>
                <w:rFonts w:cs="Arial"/>
                <w:sz w:val="20"/>
                <w:szCs w:val="20"/>
              </w:rPr>
            </w:pPr>
          </w:p>
        </w:tc>
        <w:tc>
          <w:tcPr>
            <w:tcW w:w="0" w:type="auto"/>
            <w:vMerge/>
          </w:tcPr>
          <w:p w14:paraId="781570D8" w14:textId="77777777" w:rsidR="00EC13A5" w:rsidRPr="00611B76" w:rsidRDefault="00EC13A5" w:rsidP="00611B76">
            <w:pPr>
              <w:spacing w:before="40" w:after="40"/>
              <w:rPr>
                <w:rFonts w:cs="Arial"/>
                <w:sz w:val="20"/>
                <w:szCs w:val="20"/>
              </w:rPr>
            </w:pPr>
          </w:p>
        </w:tc>
        <w:tc>
          <w:tcPr>
            <w:tcW w:w="0" w:type="auto"/>
          </w:tcPr>
          <w:p w14:paraId="699700BB" w14:textId="77777777" w:rsidR="00EC13A5" w:rsidRPr="00611B76" w:rsidRDefault="00EC13A5" w:rsidP="00611B76">
            <w:pPr>
              <w:spacing w:before="40" w:after="40"/>
              <w:rPr>
                <w:rFonts w:cs="Arial"/>
                <w:sz w:val="20"/>
                <w:szCs w:val="20"/>
              </w:rPr>
            </w:pPr>
            <w:r w:rsidRPr="00611B76">
              <w:rPr>
                <w:rFonts w:cs="Arial"/>
                <w:sz w:val="20"/>
                <w:szCs w:val="20"/>
              </w:rPr>
              <w:t>Switzerland: 1683 undergoing angiography</w:t>
            </w:r>
          </w:p>
        </w:tc>
        <w:tc>
          <w:tcPr>
            <w:tcW w:w="0" w:type="auto"/>
          </w:tcPr>
          <w:p w14:paraId="61040649" w14:textId="77777777" w:rsidR="00EC13A5" w:rsidRPr="00611B76" w:rsidRDefault="00EC13A5" w:rsidP="00611B76">
            <w:pPr>
              <w:spacing w:before="40" w:after="40"/>
              <w:rPr>
                <w:rFonts w:cs="Arial"/>
                <w:sz w:val="20"/>
                <w:szCs w:val="20"/>
              </w:rPr>
            </w:pPr>
            <w:r w:rsidRPr="00611B76">
              <w:rPr>
                <w:rFonts w:cs="Arial"/>
                <w:sz w:val="20"/>
                <w:szCs w:val="20"/>
              </w:rPr>
              <w:t>1</w:t>
            </w:r>
          </w:p>
        </w:tc>
        <w:tc>
          <w:tcPr>
            <w:tcW w:w="0" w:type="auto"/>
          </w:tcPr>
          <w:p w14:paraId="7271FE20" w14:textId="77777777" w:rsidR="00EC13A5" w:rsidRPr="00611B76" w:rsidRDefault="00EC13A5" w:rsidP="00611B76">
            <w:pPr>
              <w:spacing w:before="40" w:after="40"/>
              <w:rPr>
                <w:rFonts w:cs="Arial"/>
                <w:sz w:val="20"/>
                <w:szCs w:val="20"/>
              </w:rPr>
            </w:pPr>
            <w:r w:rsidRPr="00611B76">
              <w:rPr>
                <w:rFonts w:cs="Arial"/>
                <w:sz w:val="20"/>
                <w:szCs w:val="20"/>
              </w:rPr>
              <w:t>MI (52), stroke (21), revascularisation (99), death (71), total MACER (190)</w:t>
            </w:r>
          </w:p>
        </w:tc>
        <w:tc>
          <w:tcPr>
            <w:tcW w:w="0" w:type="auto"/>
          </w:tcPr>
          <w:p w14:paraId="1A2F0923"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th</w:t>
            </w:r>
            <w:r w:rsidRPr="00611B76">
              <w:rPr>
                <w:rFonts w:cs="Arial"/>
                <w:sz w:val="20"/>
                <w:szCs w:val="20"/>
              </w:rPr>
              <w:t xml:space="preserve"> 1.9</w:t>
            </w:r>
          </w:p>
          <w:p w14:paraId="197E52C4" w14:textId="77777777" w:rsidR="00EC13A5" w:rsidRPr="00611B76" w:rsidRDefault="00EC13A5" w:rsidP="00611B76">
            <w:pPr>
              <w:spacing w:before="40" w:after="40"/>
              <w:rPr>
                <w:rFonts w:cs="Arial"/>
                <w:sz w:val="20"/>
                <w:szCs w:val="20"/>
              </w:rPr>
            </w:pPr>
            <w:r w:rsidRPr="00611B76">
              <w:rPr>
                <w:rFonts w:cs="Arial"/>
                <w:sz w:val="20"/>
                <w:szCs w:val="20"/>
              </w:rPr>
              <w:t>50</w:t>
            </w:r>
            <w:r w:rsidRPr="00611B76">
              <w:rPr>
                <w:rFonts w:cs="Arial"/>
                <w:sz w:val="20"/>
                <w:szCs w:val="20"/>
                <w:vertAlign w:val="superscript"/>
              </w:rPr>
              <w:t>th</w:t>
            </w:r>
            <w:r w:rsidRPr="00611B76">
              <w:rPr>
                <w:rFonts w:cs="Arial"/>
                <w:sz w:val="20"/>
                <w:szCs w:val="20"/>
              </w:rPr>
              <w:t xml:space="preserve"> 2.9</w:t>
            </w:r>
          </w:p>
          <w:p w14:paraId="1E39F4E2"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th</w:t>
            </w:r>
            <w:r w:rsidRPr="00611B76">
              <w:rPr>
                <w:rFonts w:cs="Arial"/>
                <w:sz w:val="20"/>
                <w:szCs w:val="20"/>
              </w:rPr>
              <w:t xml:space="preserve"> 4.8</w:t>
            </w:r>
          </w:p>
        </w:tc>
        <w:tc>
          <w:tcPr>
            <w:tcW w:w="0" w:type="auto"/>
          </w:tcPr>
          <w:p w14:paraId="3074471D" w14:textId="77777777" w:rsidR="00EC13A5" w:rsidRPr="00611B76" w:rsidRDefault="00EC13A5" w:rsidP="00611B76">
            <w:pPr>
              <w:spacing w:before="40" w:after="40"/>
              <w:rPr>
                <w:rFonts w:cs="Arial"/>
                <w:sz w:val="20"/>
                <w:szCs w:val="20"/>
              </w:rPr>
            </w:pPr>
            <w:r w:rsidRPr="00611B76">
              <w:rPr>
                <w:rFonts w:cs="Arial"/>
                <w:sz w:val="20"/>
                <w:szCs w:val="20"/>
              </w:rPr>
              <w:t>MACER: OR=1.57 (95% CI not reported)</w:t>
            </w:r>
          </w:p>
          <w:p w14:paraId="77D8E22C" w14:textId="77777777" w:rsidR="00EC13A5" w:rsidRPr="00611B76" w:rsidRDefault="00EC13A5" w:rsidP="00611B76">
            <w:pPr>
              <w:spacing w:before="40" w:after="40"/>
              <w:rPr>
                <w:rFonts w:cs="Arial"/>
                <w:sz w:val="20"/>
                <w:szCs w:val="20"/>
              </w:rPr>
            </w:pPr>
          </w:p>
          <w:p w14:paraId="5669AC7E" w14:textId="77777777" w:rsidR="00EC13A5" w:rsidRPr="00611B76" w:rsidRDefault="00EC13A5" w:rsidP="00611B76">
            <w:pPr>
              <w:spacing w:before="40" w:after="40"/>
              <w:rPr>
                <w:rFonts w:cs="Arial"/>
                <w:sz w:val="20"/>
                <w:szCs w:val="20"/>
              </w:rPr>
            </w:pPr>
            <w:r w:rsidRPr="00611B76">
              <w:rPr>
                <w:rFonts w:cs="Arial"/>
                <w:sz w:val="20"/>
                <w:szCs w:val="20"/>
              </w:rPr>
              <w:t>Mortality: HR=1.6 (95% CI not reported)</w:t>
            </w:r>
          </w:p>
          <w:p w14:paraId="2F0B3704" w14:textId="77777777" w:rsidR="00EC13A5" w:rsidRPr="00611B76" w:rsidRDefault="00EC13A5" w:rsidP="00611B76">
            <w:pPr>
              <w:spacing w:before="40" w:after="40"/>
              <w:rPr>
                <w:rFonts w:cs="Arial"/>
                <w:sz w:val="20"/>
                <w:szCs w:val="20"/>
              </w:rPr>
            </w:pPr>
          </w:p>
        </w:tc>
      </w:tr>
      <w:tr w:rsidR="00EC13A5" w:rsidRPr="00611B76" w14:paraId="54A4592E" w14:textId="77777777" w:rsidTr="00DB0260">
        <w:trPr>
          <w:cantSplit/>
        </w:trPr>
        <w:tc>
          <w:tcPr>
            <w:tcW w:w="0" w:type="auto"/>
          </w:tcPr>
          <w:p w14:paraId="2AA1D105" w14:textId="11019B40" w:rsidR="00EC13A5" w:rsidRPr="00611B76" w:rsidRDefault="005C2AE9" w:rsidP="00611B76">
            <w:pPr>
              <w:spacing w:before="40" w:after="40"/>
              <w:rPr>
                <w:rFonts w:cs="Arial"/>
                <w:sz w:val="20"/>
                <w:szCs w:val="20"/>
              </w:rPr>
            </w:pPr>
            <w:r>
              <w:rPr>
                <w:rFonts w:cs="Arial"/>
                <w:sz w:val="20"/>
                <w:szCs w:val="20"/>
              </w:rPr>
              <w:t>Suzuki 2017</w:t>
            </w:r>
          </w:p>
        </w:tc>
        <w:tc>
          <w:tcPr>
            <w:tcW w:w="0" w:type="auto"/>
          </w:tcPr>
          <w:p w14:paraId="1CDC780C" w14:textId="77777777" w:rsidR="00EC13A5" w:rsidRPr="00611B76" w:rsidRDefault="00EC13A5" w:rsidP="00611B76">
            <w:pPr>
              <w:spacing w:before="40" w:after="40"/>
              <w:rPr>
                <w:rFonts w:cs="Arial"/>
                <w:sz w:val="20"/>
                <w:szCs w:val="20"/>
              </w:rPr>
            </w:pPr>
            <w:r w:rsidRPr="00611B76">
              <w:rPr>
                <w:rFonts w:cs="Arial"/>
                <w:sz w:val="20"/>
                <w:szCs w:val="20"/>
              </w:rPr>
              <w:t>Survivors of acute myocardial infarction; samples taken in the days following hospital admission</w:t>
            </w:r>
          </w:p>
        </w:tc>
        <w:tc>
          <w:tcPr>
            <w:tcW w:w="0" w:type="auto"/>
          </w:tcPr>
          <w:p w14:paraId="50F625EC" w14:textId="77777777" w:rsidR="00EC13A5" w:rsidRPr="00611B76" w:rsidRDefault="00EC13A5" w:rsidP="00611B76">
            <w:pPr>
              <w:spacing w:before="40" w:after="40"/>
              <w:rPr>
                <w:rFonts w:cs="Arial"/>
                <w:sz w:val="20"/>
                <w:szCs w:val="20"/>
              </w:rPr>
            </w:pPr>
            <w:r w:rsidRPr="00611B76">
              <w:rPr>
                <w:rFonts w:cs="Arial"/>
                <w:sz w:val="20"/>
                <w:szCs w:val="20"/>
              </w:rPr>
              <w:t>1079</w:t>
            </w:r>
          </w:p>
        </w:tc>
        <w:tc>
          <w:tcPr>
            <w:tcW w:w="0" w:type="auto"/>
          </w:tcPr>
          <w:p w14:paraId="0E19A61B" w14:textId="77777777" w:rsidR="00EC13A5" w:rsidRPr="00611B76" w:rsidRDefault="00EC13A5" w:rsidP="00611B76">
            <w:pPr>
              <w:spacing w:before="40" w:after="40"/>
              <w:rPr>
                <w:rFonts w:cs="Arial"/>
                <w:sz w:val="20"/>
                <w:szCs w:val="20"/>
              </w:rPr>
            </w:pPr>
            <w:r w:rsidRPr="00611B76">
              <w:rPr>
                <w:rFonts w:cs="Arial"/>
                <w:sz w:val="20"/>
                <w:szCs w:val="20"/>
              </w:rPr>
              <w:t>2</w:t>
            </w:r>
          </w:p>
        </w:tc>
        <w:tc>
          <w:tcPr>
            <w:tcW w:w="0" w:type="auto"/>
          </w:tcPr>
          <w:p w14:paraId="09060558" w14:textId="5051860F" w:rsidR="00EC13A5" w:rsidRPr="00611B76" w:rsidRDefault="00EC13A5" w:rsidP="00611B76">
            <w:pPr>
              <w:spacing w:before="40" w:after="40"/>
              <w:rPr>
                <w:rFonts w:cs="Arial"/>
                <w:sz w:val="20"/>
                <w:szCs w:val="20"/>
              </w:rPr>
            </w:pPr>
            <w:r w:rsidRPr="00611B76">
              <w:rPr>
                <w:rFonts w:cs="Arial"/>
                <w:sz w:val="20"/>
                <w:szCs w:val="20"/>
              </w:rPr>
              <w:t>All-cause mortality (119)</w:t>
            </w:r>
            <w:r w:rsidR="00243464">
              <w:rPr>
                <w:rFonts w:cs="Arial"/>
                <w:sz w:val="20"/>
                <w:szCs w:val="20"/>
              </w:rPr>
              <w:t xml:space="preserve"> </w:t>
            </w:r>
            <w:r w:rsidRPr="00611B76">
              <w:rPr>
                <w:rFonts w:cs="Arial"/>
                <w:sz w:val="20"/>
                <w:szCs w:val="20"/>
              </w:rPr>
              <w:t>or myocardial infarction (232) - total events (292)</w:t>
            </w:r>
          </w:p>
        </w:tc>
        <w:tc>
          <w:tcPr>
            <w:tcW w:w="0" w:type="auto"/>
          </w:tcPr>
          <w:p w14:paraId="4707C8E6" w14:textId="77777777" w:rsidR="00EC13A5" w:rsidRPr="00611B76" w:rsidRDefault="00EC13A5" w:rsidP="00611B76">
            <w:pPr>
              <w:spacing w:before="40" w:after="40"/>
              <w:rPr>
                <w:rFonts w:cs="Arial"/>
                <w:sz w:val="20"/>
                <w:szCs w:val="20"/>
              </w:rPr>
            </w:pPr>
            <w:r w:rsidRPr="00611B76">
              <w:rPr>
                <w:rFonts w:cs="Arial"/>
                <w:sz w:val="20"/>
                <w:szCs w:val="20"/>
              </w:rPr>
              <w:t>33</w:t>
            </w:r>
            <w:r w:rsidRPr="00611B76">
              <w:rPr>
                <w:rFonts w:cs="Arial"/>
                <w:sz w:val="20"/>
                <w:szCs w:val="20"/>
                <w:vertAlign w:val="superscript"/>
              </w:rPr>
              <w:t xml:space="preserve">rd </w:t>
            </w:r>
            <w:r w:rsidRPr="00611B76">
              <w:rPr>
                <w:rFonts w:cs="Arial"/>
                <w:sz w:val="20"/>
                <w:szCs w:val="20"/>
              </w:rPr>
              <w:t>2.9</w:t>
            </w:r>
          </w:p>
          <w:p w14:paraId="10B307C8" w14:textId="77777777" w:rsidR="00EC13A5" w:rsidRPr="00611B76" w:rsidRDefault="00EC13A5" w:rsidP="00611B76">
            <w:pPr>
              <w:spacing w:before="40" w:after="40"/>
              <w:rPr>
                <w:rFonts w:cs="Arial"/>
                <w:sz w:val="20"/>
                <w:szCs w:val="20"/>
              </w:rPr>
            </w:pPr>
            <w:r w:rsidRPr="00611B76">
              <w:rPr>
                <w:rFonts w:cs="Arial"/>
                <w:sz w:val="20"/>
                <w:szCs w:val="20"/>
              </w:rPr>
              <w:t>67</w:t>
            </w:r>
            <w:r w:rsidRPr="00611B76">
              <w:rPr>
                <w:rFonts w:cs="Arial"/>
                <w:sz w:val="20"/>
                <w:szCs w:val="20"/>
                <w:vertAlign w:val="superscript"/>
              </w:rPr>
              <w:t>th</w:t>
            </w:r>
            <w:r w:rsidRPr="00611B76">
              <w:rPr>
                <w:rFonts w:cs="Arial"/>
                <w:sz w:val="20"/>
                <w:szCs w:val="20"/>
              </w:rPr>
              <w:t xml:space="preserve"> 5.1</w:t>
            </w:r>
          </w:p>
        </w:tc>
        <w:tc>
          <w:tcPr>
            <w:tcW w:w="0" w:type="auto"/>
          </w:tcPr>
          <w:p w14:paraId="3F3E5088" w14:textId="26F9F112" w:rsidR="00EC13A5" w:rsidRPr="00611B76" w:rsidRDefault="00C533CE" w:rsidP="00611B76">
            <w:pPr>
              <w:spacing w:before="40" w:after="40"/>
              <w:rPr>
                <w:rFonts w:cs="Arial"/>
                <w:sz w:val="20"/>
                <w:szCs w:val="20"/>
              </w:rPr>
            </w:pPr>
            <w:r>
              <w:rPr>
                <w:rFonts w:cs="Arial"/>
                <w:sz w:val="20"/>
                <w:szCs w:val="20"/>
                <w:lang w:val="en"/>
              </w:rPr>
              <w:t>HR=1.21 (95% CI: 1.03–</w:t>
            </w:r>
            <w:r w:rsidR="00EC13A5" w:rsidRPr="00611B76">
              <w:rPr>
                <w:rFonts w:cs="Arial"/>
                <w:sz w:val="20"/>
                <w:szCs w:val="20"/>
                <w:lang w:val="en"/>
              </w:rPr>
              <w:t>1.43) for the highest tertile vs the other two groups</w:t>
            </w:r>
          </w:p>
        </w:tc>
      </w:tr>
      <w:tr w:rsidR="00EC13A5" w:rsidRPr="00611B76" w14:paraId="36685E3E" w14:textId="77777777" w:rsidTr="00DB0260">
        <w:trPr>
          <w:cantSplit/>
        </w:trPr>
        <w:tc>
          <w:tcPr>
            <w:tcW w:w="0" w:type="auto"/>
          </w:tcPr>
          <w:p w14:paraId="3FFE2981" w14:textId="77777777" w:rsidR="00EC13A5" w:rsidRPr="00611B76" w:rsidRDefault="00EC13A5" w:rsidP="00611B76">
            <w:pPr>
              <w:spacing w:before="40" w:after="40"/>
              <w:rPr>
                <w:rFonts w:cs="Arial"/>
                <w:sz w:val="20"/>
                <w:szCs w:val="20"/>
              </w:rPr>
            </w:pPr>
            <w:r w:rsidRPr="00611B76">
              <w:rPr>
                <w:rFonts w:cs="Arial"/>
                <w:sz w:val="20"/>
                <w:szCs w:val="20"/>
              </w:rPr>
              <w:t>Lever 2014</w:t>
            </w:r>
          </w:p>
        </w:tc>
        <w:tc>
          <w:tcPr>
            <w:tcW w:w="0" w:type="auto"/>
          </w:tcPr>
          <w:p w14:paraId="148B1401" w14:textId="77777777" w:rsidR="00EC13A5" w:rsidRPr="00611B76" w:rsidRDefault="00EC13A5" w:rsidP="00611B76">
            <w:pPr>
              <w:autoSpaceDE w:val="0"/>
              <w:autoSpaceDN w:val="0"/>
              <w:adjustRightInd w:val="0"/>
              <w:spacing w:before="40" w:after="40"/>
              <w:rPr>
                <w:rFonts w:cs="Arial"/>
                <w:sz w:val="20"/>
                <w:szCs w:val="20"/>
              </w:rPr>
            </w:pPr>
            <w:r w:rsidRPr="00611B76">
              <w:rPr>
                <w:rFonts w:cs="Arial"/>
                <w:sz w:val="20"/>
                <w:szCs w:val="20"/>
              </w:rPr>
              <w:t>Survivors of myocardial infarction: samples collected 4 months after discharge for acute MI from hospital</w:t>
            </w:r>
          </w:p>
        </w:tc>
        <w:tc>
          <w:tcPr>
            <w:tcW w:w="0" w:type="auto"/>
          </w:tcPr>
          <w:p w14:paraId="368B318C" w14:textId="77777777" w:rsidR="00EC13A5" w:rsidRPr="00611B76" w:rsidRDefault="00EC13A5" w:rsidP="00611B76">
            <w:pPr>
              <w:spacing w:before="40" w:after="40"/>
              <w:rPr>
                <w:rFonts w:cs="Arial"/>
                <w:sz w:val="20"/>
                <w:szCs w:val="20"/>
              </w:rPr>
            </w:pPr>
            <w:r w:rsidRPr="00611B76">
              <w:rPr>
                <w:rFonts w:cs="Arial"/>
                <w:sz w:val="20"/>
                <w:szCs w:val="20"/>
              </w:rPr>
              <w:t>Without diabetes 396</w:t>
            </w:r>
          </w:p>
          <w:p w14:paraId="14F890C4" w14:textId="77777777" w:rsidR="00EC13A5" w:rsidRPr="00611B76" w:rsidRDefault="00EC13A5" w:rsidP="00611B76">
            <w:pPr>
              <w:spacing w:before="40" w:after="40"/>
              <w:rPr>
                <w:rFonts w:cs="Arial"/>
                <w:sz w:val="20"/>
                <w:szCs w:val="20"/>
              </w:rPr>
            </w:pPr>
          </w:p>
          <w:p w14:paraId="1ED67EEE" w14:textId="77777777" w:rsidR="00EC13A5" w:rsidRPr="00611B76" w:rsidRDefault="00EC13A5" w:rsidP="00611B76">
            <w:pPr>
              <w:spacing w:before="40" w:after="40"/>
              <w:rPr>
                <w:rFonts w:cs="Arial"/>
                <w:sz w:val="20"/>
                <w:szCs w:val="20"/>
              </w:rPr>
            </w:pPr>
            <w:r w:rsidRPr="00611B76">
              <w:rPr>
                <w:rFonts w:cs="Arial"/>
                <w:sz w:val="20"/>
                <w:szCs w:val="20"/>
              </w:rPr>
              <w:t>With diabetes 79</w:t>
            </w:r>
          </w:p>
        </w:tc>
        <w:tc>
          <w:tcPr>
            <w:tcW w:w="0" w:type="auto"/>
          </w:tcPr>
          <w:p w14:paraId="25D02E21" w14:textId="77777777" w:rsidR="00EC13A5" w:rsidRPr="00611B76" w:rsidRDefault="00EC13A5" w:rsidP="00611B76">
            <w:pPr>
              <w:spacing w:before="40" w:after="40"/>
              <w:rPr>
                <w:rFonts w:cs="Arial"/>
                <w:sz w:val="20"/>
                <w:szCs w:val="20"/>
              </w:rPr>
            </w:pPr>
            <w:r w:rsidRPr="00611B76">
              <w:rPr>
                <w:rFonts w:cs="Arial"/>
                <w:sz w:val="20"/>
                <w:szCs w:val="20"/>
              </w:rPr>
              <w:t>4.9</w:t>
            </w:r>
          </w:p>
        </w:tc>
        <w:tc>
          <w:tcPr>
            <w:tcW w:w="0" w:type="auto"/>
          </w:tcPr>
          <w:p w14:paraId="3E866E45" w14:textId="77777777" w:rsidR="00EC13A5" w:rsidRPr="00611B76" w:rsidRDefault="00EC13A5" w:rsidP="00611B76">
            <w:pPr>
              <w:spacing w:before="40" w:after="40"/>
              <w:rPr>
                <w:rFonts w:cs="Arial"/>
                <w:sz w:val="20"/>
                <w:szCs w:val="20"/>
              </w:rPr>
            </w:pPr>
            <w:r w:rsidRPr="00611B76">
              <w:rPr>
                <w:rFonts w:cs="Arial"/>
                <w:sz w:val="20"/>
                <w:szCs w:val="20"/>
              </w:rPr>
              <w:t>Death (81)</w:t>
            </w:r>
          </w:p>
          <w:p w14:paraId="46413571" w14:textId="77777777" w:rsidR="00EC13A5" w:rsidRPr="00611B76" w:rsidRDefault="00EC13A5" w:rsidP="00611B76">
            <w:pPr>
              <w:spacing w:before="40" w:after="40"/>
              <w:rPr>
                <w:rFonts w:cs="Arial"/>
                <w:sz w:val="20"/>
                <w:szCs w:val="20"/>
              </w:rPr>
            </w:pPr>
            <w:r w:rsidRPr="00611B76">
              <w:rPr>
                <w:rFonts w:cs="Arial"/>
                <w:sz w:val="20"/>
                <w:szCs w:val="20"/>
              </w:rPr>
              <w:t>Second MI (87)</w:t>
            </w:r>
          </w:p>
          <w:p w14:paraId="4EAC0ADD" w14:textId="77777777" w:rsidR="00EC13A5" w:rsidRPr="00611B76" w:rsidRDefault="00EC13A5" w:rsidP="00611B76">
            <w:pPr>
              <w:spacing w:before="40" w:after="40"/>
              <w:rPr>
                <w:rFonts w:cs="Arial"/>
                <w:sz w:val="20"/>
                <w:szCs w:val="20"/>
              </w:rPr>
            </w:pPr>
            <w:r w:rsidRPr="00611B76">
              <w:rPr>
                <w:rFonts w:cs="Arial"/>
                <w:sz w:val="20"/>
                <w:szCs w:val="20"/>
              </w:rPr>
              <w:t>Admission for heart failure (85) unstable angina (72)</w:t>
            </w:r>
          </w:p>
          <w:p w14:paraId="39299FD2" w14:textId="77777777" w:rsidR="00EC13A5" w:rsidRPr="00611B76" w:rsidRDefault="00EC13A5" w:rsidP="00611B76">
            <w:pPr>
              <w:spacing w:before="40" w:after="40"/>
              <w:rPr>
                <w:rFonts w:cs="Arial"/>
                <w:sz w:val="20"/>
                <w:szCs w:val="20"/>
              </w:rPr>
            </w:pPr>
            <w:r w:rsidRPr="00611B76">
              <w:rPr>
                <w:rFonts w:cs="Arial"/>
                <w:sz w:val="20"/>
                <w:szCs w:val="20"/>
              </w:rPr>
              <w:t>All cardiovascular events (283)</w:t>
            </w:r>
          </w:p>
        </w:tc>
        <w:tc>
          <w:tcPr>
            <w:tcW w:w="0" w:type="auto"/>
          </w:tcPr>
          <w:p w14:paraId="0CE50579"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 xml:space="preserve">th </w:t>
            </w:r>
            <w:r w:rsidRPr="00611B76">
              <w:rPr>
                <w:rFonts w:cs="Arial"/>
                <w:sz w:val="20"/>
                <w:szCs w:val="20"/>
              </w:rPr>
              <w:t>3.0</w:t>
            </w:r>
          </w:p>
          <w:p w14:paraId="490F9FB0" w14:textId="77777777" w:rsidR="00EC13A5" w:rsidRPr="00611B76" w:rsidRDefault="00EC13A5" w:rsidP="00611B76">
            <w:pPr>
              <w:spacing w:before="40" w:after="40"/>
              <w:rPr>
                <w:rFonts w:cs="Arial"/>
                <w:sz w:val="20"/>
                <w:szCs w:val="20"/>
              </w:rPr>
            </w:pPr>
            <w:r w:rsidRPr="00611B76">
              <w:rPr>
                <w:rFonts w:cs="Arial"/>
                <w:sz w:val="20"/>
                <w:szCs w:val="20"/>
              </w:rPr>
              <w:t>50</w:t>
            </w:r>
            <w:r w:rsidRPr="00611B76">
              <w:rPr>
                <w:rFonts w:cs="Arial"/>
                <w:sz w:val="20"/>
                <w:szCs w:val="20"/>
                <w:vertAlign w:val="superscript"/>
              </w:rPr>
              <w:t xml:space="preserve">th </w:t>
            </w:r>
            <w:r w:rsidRPr="00611B76">
              <w:rPr>
                <w:rFonts w:cs="Arial"/>
                <w:sz w:val="20"/>
                <w:szCs w:val="20"/>
              </w:rPr>
              <w:t>4.8</w:t>
            </w:r>
          </w:p>
          <w:p w14:paraId="776E0DA2" w14:textId="77777777" w:rsidR="00EC13A5" w:rsidRPr="00611B76" w:rsidRDefault="00EC13A5" w:rsidP="00611B76">
            <w:pPr>
              <w:spacing w:before="40" w:after="40"/>
              <w:rPr>
                <w:rFonts w:cs="Arial"/>
                <w:sz w:val="20"/>
                <w:szCs w:val="20"/>
                <w:vertAlign w:val="superscript"/>
              </w:rPr>
            </w:pPr>
            <w:r w:rsidRPr="00611B76">
              <w:rPr>
                <w:rFonts w:cs="Arial"/>
                <w:sz w:val="20"/>
                <w:szCs w:val="20"/>
              </w:rPr>
              <w:t>75</w:t>
            </w:r>
            <w:r w:rsidRPr="00611B76">
              <w:rPr>
                <w:rFonts w:cs="Arial"/>
                <w:sz w:val="20"/>
                <w:szCs w:val="20"/>
                <w:vertAlign w:val="superscript"/>
              </w:rPr>
              <w:t xml:space="preserve">th </w:t>
            </w:r>
            <w:r w:rsidRPr="00611B76">
              <w:rPr>
                <w:rFonts w:cs="Arial"/>
                <w:sz w:val="20"/>
                <w:szCs w:val="20"/>
              </w:rPr>
              <w:t>9.1</w:t>
            </w:r>
          </w:p>
          <w:p w14:paraId="540DF2DE" w14:textId="77777777" w:rsidR="00EC13A5" w:rsidRPr="00611B76" w:rsidRDefault="00EC13A5" w:rsidP="00611B76">
            <w:pPr>
              <w:spacing w:before="40" w:after="40"/>
              <w:rPr>
                <w:rFonts w:cs="Arial"/>
                <w:sz w:val="20"/>
                <w:szCs w:val="20"/>
                <w:vertAlign w:val="superscript"/>
              </w:rPr>
            </w:pPr>
          </w:p>
          <w:p w14:paraId="362B0198"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 xml:space="preserve">th </w:t>
            </w:r>
            <w:r w:rsidRPr="00611B76">
              <w:rPr>
                <w:rFonts w:cs="Arial"/>
                <w:sz w:val="20"/>
                <w:szCs w:val="20"/>
              </w:rPr>
              <w:t>4.4</w:t>
            </w:r>
          </w:p>
          <w:p w14:paraId="2AE900FB" w14:textId="77777777" w:rsidR="00EC13A5" w:rsidRPr="00611B76" w:rsidRDefault="00EC13A5" w:rsidP="00611B76">
            <w:pPr>
              <w:spacing w:before="40" w:after="40"/>
              <w:rPr>
                <w:rFonts w:cs="Arial"/>
                <w:sz w:val="20"/>
                <w:szCs w:val="20"/>
              </w:rPr>
            </w:pPr>
            <w:r w:rsidRPr="00611B76">
              <w:rPr>
                <w:rFonts w:cs="Arial"/>
                <w:sz w:val="20"/>
                <w:szCs w:val="20"/>
              </w:rPr>
              <w:t>50</w:t>
            </w:r>
            <w:r w:rsidRPr="00611B76">
              <w:rPr>
                <w:rFonts w:cs="Arial"/>
                <w:sz w:val="20"/>
                <w:szCs w:val="20"/>
                <w:vertAlign w:val="superscript"/>
              </w:rPr>
              <w:t xml:space="preserve">th </w:t>
            </w:r>
            <w:r w:rsidRPr="00611B76">
              <w:rPr>
                <w:rFonts w:cs="Arial"/>
                <w:sz w:val="20"/>
                <w:szCs w:val="20"/>
              </w:rPr>
              <w:t>7.5</w:t>
            </w:r>
          </w:p>
          <w:p w14:paraId="47D77214"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 xml:space="preserve">th </w:t>
            </w:r>
            <w:r w:rsidRPr="00611B76">
              <w:rPr>
                <w:rFonts w:cs="Arial"/>
                <w:sz w:val="20"/>
                <w:szCs w:val="20"/>
              </w:rPr>
              <w:t>12.1</w:t>
            </w:r>
          </w:p>
        </w:tc>
        <w:tc>
          <w:tcPr>
            <w:tcW w:w="0" w:type="auto"/>
          </w:tcPr>
          <w:p w14:paraId="2F403B63" w14:textId="6F5E0B47" w:rsidR="00EC13A5" w:rsidRPr="00611B76" w:rsidRDefault="0055564D" w:rsidP="00611B76">
            <w:pPr>
              <w:spacing w:before="40" w:after="40"/>
              <w:rPr>
                <w:rFonts w:cs="Arial"/>
                <w:sz w:val="20"/>
                <w:szCs w:val="20"/>
              </w:rPr>
            </w:pPr>
            <w:r w:rsidRPr="00611B76">
              <w:rPr>
                <w:rFonts w:cs="Arial"/>
                <w:sz w:val="20"/>
                <w:szCs w:val="20"/>
              </w:rPr>
              <w:t>TMAO</w:t>
            </w:r>
            <w:r w:rsidR="00C533CE">
              <w:rPr>
                <w:rFonts w:cs="Arial"/>
                <w:sz w:val="20"/>
                <w:szCs w:val="20"/>
              </w:rPr>
              <w:t xml:space="preserve"> </w:t>
            </w:r>
            <w:r w:rsidRPr="00611B76">
              <w:rPr>
                <w:rFonts w:cs="Arial"/>
                <w:sz w:val="20"/>
                <w:szCs w:val="20"/>
              </w:rPr>
              <w:t>&gt;</w:t>
            </w:r>
            <w:r w:rsidR="00C533CE">
              <w:rPr>
                <w:rFonts w:cs="Arial"/>
                <w:sz w:val="20"/>
                <w:szCs w:val="20"/>
              </w:rPr>
              <w:t xml:space="preserve"> </w:t>
            </w:r>
            <w:r w:rsidRPr="00611B76">
              <w:rPr>
                <w:rFonts w:cs="Arial"/>
                <w:sz w:val="20"/>
                <w:szCs w:val="20"/>
              </w:rPr>
              <w:t>12 vs 2.8 µM</w:t>
            </w:r>
          </w:p>
          <w:p w14:paraId="4E3321CD" w14:textId="77777777" w:rsidR="00EC13A5" w:rsidRPr="00611B76" w:rsidRDefault="00EC13A5" w:rsidP="00611B76">
            <w:pPr>
              <w:spacing w:before="40" w:after="40"/>
              <w:rPr>
                <w:rFonts w:cs="Arial"/>
                <w:sz w:val="20"/>
                <w:szCs w:val="20"/>
              </w:rPr>
            </w:pPr>
          </w:p>
          <w:p w14:paraId="1AA49156" w14:textId="77777777" w:rsidR="00EC13A5" w:rsidRPr="00611B76" w:rsidRDefault="00EC13A5" w:rsidP="00611B76">
            <w:pPr>
              <w:spacing w:before="40" w:after="40"/>
              <w:rPr>
                <w:rFonts w:cs="Arial"/>
                <w:sz w:val="20"/>
                <w:szCs w:val="20"/>
              </w:rPr>
            </w:pPr>
            <w:r w:rsidRPr="00611B76">
              <w:rPr>
                <w:rFonts w:cs="Arial"/>
                <w:sz w:val="20"/>
                <w:szCs w:val="20"/>
              </w:rPr>
              <w:t>Predicted all outcomes in people with diabetes (dose response unclear), only death in people without diabetes with no dose response</w:t>
            </w:r>
          </w:p>
        </w:tc>
      </w:tr>
      <w:tr w:rsidR="00EC13A5" w:rsidRPr="00611B76" w14:paraId="4C45F58B" w14:textId="77777777" w:rsidTr="00DB0260">
        <w:trPr>
          <w:cantSplit/>
        </w:trPr>
        <w:tc>
          <w:tcPr>
            <w:tcW w:w="0" w:type="auto"/>
          </w:tcPr>
          <w:p w14:paraId="5CF44DBC" w14:textId="2E57EB12" w:rsidR="00EC13A5" w:rsidRPr="00611B76" w:rsidRDefault="00611B76" w:rsidP="00611B76">
            <w:pPr>
              <w:spacing w:before="40" w:after="40"/>
              <w:rPr>
                <w:rFonts w:cs="Arial"/>
                <w:sz w:val="20"/>
                <w:szCs w:val="20"/>
              </w:rPr>
            </w:pPr>
            <w:r>
              <w:rPr>
                <w:rFonts w:cs="Arial"/>
                <w:sz w:val="20"/>
                <w:szCs w:val="20"/>
              </w:rPr>
              <w:t>Mueller</w:t>
            </w:r>
            <w:r w:rsidR="00EC13A5" w:rsidRPr="00611B76">
              <w:rPr>
                <w:rFonts w:cs="Arial"/>
                <w:sz w:val="20"/>
                <w:szCs w:val="20"/>
              </w:rPr>
              <w:t xml:space="preserve"> 2015</w:t>
            </w:r>
          </w:p>
        </w:tc>
        <w:tc>
          <w:tcPr>
            <w:tcW w:w="0" w:type="auto"/>
          </w:tcPr>
          <w:p w14:paraId="2356FDA4" w14:textId="77777777" w:rsidR="00EC13A5" w:rsidRPr="00611B76" w:rsidRDefault="00EC13A5" w:rsidP="00611B76">
            <w:pPr>
              <w:autoSpaceDE w:val="0"/>
              <w:autoSpaceDN w:val="0"/>
              <w:adjustRightInd w:val="0"/>
              <w:spacing w:before="40" w:after="40"/>
              <w:rPr>
                <w:rFonts w:cs="Arial"/>
                <w:color w:val="000000"/>
                <w:sz w:val="20"/>
                <w:szCs w:val="20"/>
              </w:rPr>
            </w:pPr>
            <w:r w:rsidRPr="00611B76">
              <w:rPr>
                <w:rFonts w:cs="Arial"/>
                <w:color w:val="2E2E2E"/>
                <w:sz w:val="20"/>
                <w:szCs w:val="20"/>
              </w:rPr>
              <w:t>Consecutive patients undergoing coronary angiography for the evaluation of suspected or established stable CAD. The metabolic syndrome (MetS) was defined according to ATP-III criteria; significant CAD was diagnosed in the presence of coronary stenoses with lumen narrowing ≥ 50%.</w:t>
            </w:r>
          </w:p>
        </w:tc>
        <w:tc>
          <w:tcPr>
            <w:tcW w:w="0" w:type="auto"/>
          </w:tcPr>
          <w:p w14:paraId="5B4D35F9" w14:textId="77777777" w:rsidR="00EC13A5" w:rsidRPr="00611B76" w:rsidRDefault="00EC13A5" w:rsidP="00611B76">
            <w:pPr>
              <w:spacing w:before="40" w:after="40"/>
              <w:rPr>
                <w:rFonts w:cs="Arial"/>
                <w:sz w:val="20"/>
                <w:szCs w:val="20"/>
              </w:rPr>
            </w:pPr>
            <w:r w:rsidRPr="00611B76">
              <w:rPr>
                <w:rFonts w:cs="Arial"/>
                <w:sz w:val="20"/>
                <w:szCs w:val="20"/>
              </w:rPr>
              <w:t>339</w:t>
            </w:r>
          </w:p>
          <w:p w14:paraId="3C1C708B" w14:textId="77777777" w:rsidR="00EC13A5" w:rsidRPr="00611B76" w:rsidRDefault="00EC13A5" w:rsidP="00611B76">
            <w:pPr>
              <w:spacing w:before="40" w:after="40"/>
              <w:rPr>
                <w:rFonts w:cs="Arial"/>
                <w:sz w:val="20"/>
                <w:szCs w:val="20"/>
              </w:rPr>
            </w:pPr>
          </w:p>
          <w:p w14:paraId="2A164B3B" w14:textId="77777777" w:rsidR="00EC13A5" w:rsidRPr="00611B76" w:rsidRDefault="00EC13A5" w:rsidP="00611B76">
            <w:pPr>
              <w:spacing w:before="40" w:after="40"/>
              <w:rPr>
                <w:rFonts w:cs="Arial"/>
                <w:sz w:val="20"/>
                <w:szCs w:val="20"/>
              </w:rPr>
            </w:pPr>
          </w:p>
          <w:p w14:paraId="3450DBE5" w14:textId="77777777" w:rsidR="00EC13A5" w:rsidRPr="00611B76" w:rsidRDefault="00EC13A5" w:rsidP="00611B76">
            <w:pPr>
              <w:spacing w:before="40" w:after="40"/>
              <w:rPr>
                <w:rFonts w:cs="Arial"/>
                <w:sz w:val="20"/>
                <w:szCs w:val="20"/>
              </w:rPr>
            </w:pPr>
          </w:p>
        </w:tc>
        <w:tc>
          <w:tcPr>
            <w:tcW w:w="0" w:type="auto"/>
          </w:tcPr>
          <w:p w14:paraId="1D10A248" w14:textId="77777777" w:rsidR="00EC13A5" w:rsidRPr="00611B76" w:rsidRDefault="00EC13A5" w:rsidP="00611B76">
            <w:pPr>
              <w:spacing w:before="40" w:after="40"/>
              <w:rPr>
                <w:rFonts w:cs="Arial"/>
                <w:sz w:val="20"/>
                <w:szCs w:val="20"/>
              </w:rPr>
            </w:pPr>
            <w:r w:rsidRPr="00611B76">
              <w:rPr>
                <w:rFonts w:cs="Arial"/>
                <w:sz w:val="20"/>
                <w:szCs w:val="20"/>
              </w:rPr>
              <w:t>8</w:t>
            </w:r>
          </w:p>
        </w:tc>
        <w:tc>
          <w:tcPr>
            <w:tcW w:w="0" w:type="auto"/>
          </w:tcPr>
          <w:p w14:paraId="222E5F94" w14:textId="77777777" w:rsidR="00EC13A5" w:rsidRPr="00611B76" w:rsidRDefault="00EC13A5" w:rsidP="00611B76">
            <w:pPr>
              <w:spacing w:before="40" w:after="40"/>
              <w:rPr>
                <w:rFonts w:cs="Arial"/>
                <w:sz w:val="20"/>
                <w:szCs w:val="20"/>
              </w:rPr>
            </w:pPr>
            <w:r w:rsidRPr="00611B76">
              <w:rPr>
                <w:rFonts w:cs="Arial"/>
                <w:sz w:val="20"/>
                <w:szCs w:val="20"/>
              </w:rPr>
              <w:t>Cardiac death, MI, stroke (all-cause mortality not collected)</w:t>
            </w:r>
          </w:p>
        </w:tc>
        <w:tc>
          <w:tcPr>
            <w:tcW w:w="0" w:type="auto"/>
          </w:tcPr>
          <w:p w14:paraId="681565D0" w14:textId="77777777" w:rsidR="00EC13A5" w:rsidRPr="00611B76" w:rsidRDefault="00EC13A5" w:rsidP="00611B76">
            <w:pPr>
              <w:spacing w:before="40" w:after="40"/>
              <w:rPr>
                <w:rFonts w:cs="Arial"/>
                <w:sz w:val="20"/>
                <w:szCs w:val="20"/>
              </w:rPr>
            </w:pPr>
            <w:r w:rsidRPr="00611B76">
              <w:rPr>
                <w:rFonts w:cs="Arial"/>
                <w:sz w:val="20"/>
                <w:szCs w:val="20"/>
              </w:rPr>
              <w:t>Men:</w:t>
            </w:r>
          </w:p>
          <w:p w14:paraId="17EFCD7B" w14:textId="77777777" w:rsidR="00EC13A5" w:rsidRPr="00611B76" w:rsidRDefault="00EC13A5" w:rsidP="00611B76">
            <w:pPr>
              <w:spacing w:before="40" w:after="40"/>
              <w:rPr>
                <w:rFonts w:cs="Arial"/>
                <w:sz w:val="20"/>
                <w:szCs w:val="20"/>
              </w:rPr>
            </w:pPr>
          </w:p>
          <w:p w14:paraId="65AAB741"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th</w:t>
            </w:r>
            <w:r w:rsidRPr="00611B76">
              <w:rPr>
                <w:rFonts w:cs="Arial"/>
                <w:sz w:val="20"/>
                <w:szCs w:val="20"/>
              </w:rPr>
              <w:t xml:space="preserve"> 0.7</w:t>
            </w:r>
          </w:p>
          <w:p w14:paraId="61453511" w14:textId="77777777" w:rsidR="00EC13A5" w:rsidRPr="00611B76" w:rsidRDefault="00EC13A5" w:rsidP="00611B76">
            <w:pPr>
              <w:spacing w:before="40" w:after="40"/>
              <w:rPr>
                <w:rFonts w:cs="Arial"/>
                <w:sz w:val="20"/>
                <w:szCs w:val="20"/>
              </w:rPr>
            </w:pPr>
            <w:r w:rsidRPr="00611B76">
              <w:rPr>
                <w:rFonts w:cs="Arial"/>
                <w:sz w:val="20"/>
                <w:szCs w:val="20"/>
              </w:rPr>
              <w:t>50</w:t>
            </w:r>
            <w:r w:rsidRPr="00611B76">
              <w:rPr>
                <w:rFonts w:cs="Arial"/>
                <w:sz w:val="20"/>
                <w:szCs w:val="20"/>
                <w:vertAlign w:val="superscript"/>
              </w:rPr>
              <w:t>th</w:t>
            </w:r>
            <w:r w:rsidRPr="00611B76">
              <w:rPr>
                <w:rFonts w:cs="Arial"/>
                <w:sz w:val="20"/>
                <w:szCs w:val="20"/>
              </w:rPr>
              <w:t xml:space="preserve"> 1.84</w:t>
            </w:r>
          </w:p>
          <w:p w14:paraId="3711C211"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th</w:t>
            </w:r>
            <w:r w:rsidRPr="00611B76">
              <w:rPr>
                <w:rFonts w:cs="Arial"/>
                <w:sz w:val="20"/>
                <w:szCs w:val="20"/>
              </w:rPr>
              <w:t xml:space="preserve"> 3.5</w:t>
            </w:r>
          </w:p>
        </w:tc>
        <w:tc>
          <w:tcPr>
            <w:tcW w:w="0" w:type="auto"/>
          </w:tcPr>
          <w:p w14:paraId="3F4EC770" w14:textId="35CF58C5" w:rsidR="00EC13A5" w:rsidRPr="00611B76" w:rsidRDefault="00C533CE" w:rsidP="00611B76">
            <w:pPr>
              <w:spacing w:before="40" w:after="40"/>
              <w:rPr>
                <w:rFonts w:cs="Arial"/>
                <w:sz w:val="20"/>
                <w:szCs w:val="20"/>
              </w:rPr>
            </w:pPr>
            <w:r>
              <w:rPr>
                <w:rFonts w:cs="Arial"/>
                <w:sz w:val="20"/>
                <w:szCs w:val="20"/>
              </w:rPr>
              <w:t>HR =1.01 (95% CI: 0.98–</w:t>
            </w:r>
            <w:r w:rsidR="00EC13A5" w:rsidRPr="00611B76">
              <w:rPr>
                <w:rFonts w:cs="Arial"/>
                <w:sz w:val="20"/>
                <w:szCs w:val="20"/>
              </w:rPr>
              <w:t>1.04)</w:t>
            </w:r>
          </w:p>
        </w:tc>
      </w:tr>
      <w:tr w:rsidR="00EC13A5" w:rsidRPr="00611B76" w14:paraId="7F967D8A" w14:textId="77777777" w:rsidTr="00DB0260">
        <w:trPr>
          <w:cantSplit/>
        </w:trPr>
        <w:tc>
          <w:tcPr>
            <w:tcW w:w="0" w:type="auto"/>
          </w:tcPr>
          <w:p w14:paraId="32E9B7E1" w14:textId="77777777" w:rsidR="00EC13A5" w:rsidRPr="00611B76" w:rsidRDefault="00EC13A5" w:rsidP="00611B76">
            <w:pPr>
              <w:spacing w:before="40" w:after="40"/>
              <w:rPr>
                <w:rFonts w:cs="Arial"/>
                <w:sz w:val="20"/>
                <w:szCs w:val="20"/>
              </w:rPr>
            </w:pPr>
            <w:r w:rsidRPr="00611B76">
              <w:rPr>
                <w:rFonts w:cs="Arial"/>
                <w:sz w:val="20"/>
                <w:szCs w:val="20"/>
              </w:rPr>
              <w:t>Ottiger 2016</w:t>
            </w:r>
          </w:p>
        </w:tc>
        <w:tc>
          <w:tcPr>
            <w:tcW w:w="0" w:type="auto"/>
          </w:tcPr>
          <w:p w14:paraId="4B3FF92C" w14:textId="77777777" w:rsidR="00EC13A5" w:rsidRPr="00611B76" w:rsidRDefault="00EC13A5" w:rsidP="00611B76">
            <w:pPr>
              <w:autoSpaceDE w:val="0"/>
              <w:autoSpaceDN w:val="0"/>
              <w:adjustRightInd w:val="0"/>
              <w:spacing w:before="40" w:after="40"/>
              <w:rPr>
                <w:rFonts w:cs="Arial"/>
                <w:sz w:val="20"/>
                <w:szCs w:val="20"/>
              </w:rPr>
            </w:pPr>
            <w:r w:rsidRPr="00611B76">
              <w:rPr>
                <w:rFonts w:cs="Arial"/>
                <w:sz w:val="20"/>
                <w:szCs w:val="20"/>
              </w:rPr>
              <w:t>Patients with definite diagnosis of community-acquired pneumonia in a randomised controlled trial of antibiotics in Switzerland; mean age 72 years</w:t>
            </w:r>
          </w:p>
          <w:p w14:paraId="7046DCEE" w14:textId="77777777" w:rsidR="00EC13A5" w:rsidRPr="00611B76" w:rsidRDefault="00EC13A5" w:rsidP="00611B76">
            <w:pPr>
              <w:autoSpaceDE w:val="0"/>
              <w:autoSpaceDN w:val="0"/>
              <w:adjustRightInd w:val="0"/>
              <w:spacing w:before="40" w:after="40"/>
              <w:rPr>
                <w:rFonts w:cs="Arial"/>
                <w:sz w:val="20"/>
                <w:szCs w:val="20"/>
              </w:rPr>
            </w:pPr>
          </w:p>
        </w:tc>
        <w:tc>
          <w:tcPr>
            <w:tcW w:w="0" w:type="auto"/>
          </w:tcPr>
          <w:p w14:paraId="69968F65" w14:textId="77777777" w:rsidR="00EC13A5" w:rsidRPr="00611B76" w:rsidRDefault="00EC13A5" w:rsidP="00611B76">
            <w:pPr>
              <w:spacing w:before="40" w:after="40"/>
              <w:rPr>
                <w:rFonts w:cs="Arial"/>
                <w:sz w:val="20"/>
                <w:szCs w:val="20"/>
              </w:rPr>
            </w:pPr>
            <w:r w:rsidRPr="00611B76">
              <w:rPr>
                <w:rFonts w:cs="Arial"/>
                <w:sz w:val="20"/>
                <w:szCs w:val="20"/>
              </w:rPr>
              <w:t>317</w:t>
            </w:r>
          </w:p>
        </w:tc>
        <w:tc>
          <w:tcPr>
            <w:tcW w:w="0" w:type="auto"/>
          </w:tcPr>
          <w:p w14:paraId="5007F620" w14:textId="77777777" w:rsidR="00EC13A5" w:rsidRPr="00611B76" w:rsidRDefault="00EC13A5" w:rsidP="00611B76">
            <w:pPr>
              <w:spacing w:before="40" w:after="40"/>
              <w:rPr>
                <w:rFonts w:cs="Arial"/>
                <w:sz w:val="20"/>
                <w:szCs w:val="20"/>
              </w:rPr>
            </w:pPr>
            <w:r w:rsidRPr="00611B76">
              <w:rPr>
                <w:rFonts w:cs="Arial"/>
                <w:sz w:val="20"/>
                <w:szCs w:val="20"/>
              </w:rPr>
              <w:t>6.1</w:t>
            </w:r>
          </w:p>
        </w:tc>
        <w:tc>
          <w:tcPr>
            <w:tcW w:w="0" w:type="auto"/>
          </w:tcPr>
          <w:p w14:paraId="5C79FAB2" w14:textId="77777777" w:rsidR="00EC13A5" w:rsidRPr="00611B76" w:rsidRDefault="00EC13A5" w:rsidP="00611B76">
            <w:pPr>
              <w:spacing w:before="40" w:after="40"/>
              <w:rPr>
                <w:rFonts w:cs="Arial"/>
                <w:sz w:val="20"/>
                <w:szCs w:val="20"/>
              </w:rPr>
            </w:pPr>
            <w:r w:rsidRPr="00611B76">
              <w:rPr>
                <w:rFonts w:cs="Arial"/>
                <w:sz w:val="20"/>
                <w:szCs w:val="20"/>
              </w:rPr>
              <w:t>All-cause mortality (143)</w:t>
            </w:r>
          </w:p>
        </w:tc>
        <w:tc>
          <w:tcPr>
            <w:tcW w:w="0" w:type="auto"/>
          </w:tcPr>
          <w:p w14:paraId="4E936D08" w14:textId="77777777" w:rsidR="00EC13A5" w:rsidRPr="00611B76" w:rsidRDefault="00EC13A5" w:rsidP="00611B76">
            <w:pPr>
              <w:spacing w:before="40" w:after="40"/>
              <w:rPr>
                <w:rFonts w:cs="Arial"/>
                <w:sz w:val="20"/>
                <w:szCs w:val="20"/>
              </w:rPr>
            </w:pPr>
            <w:r w:rsidRPr="00611B76">
              <w:rPr>
                <w:rFonts w:cs="Arial"/>
                <w:sz w:val="20"/>
                <w:szCs w:val="20"/>
              </w:rPr>
              <w:t>Survivors</w:t>
            </w:r>
          </w:p>
          <w:p w14:paraId="08CABB1B"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th</w:t>
            </w:r>
            <w:r w:rsidRPr="00611B76">
              <w:rPr>
                <w:rFonts w:cs="Arial"/>
                <w:sz w:val="20"/>
                <w:szCs w:val="20"/>
              </w:rPr>
              <w:t xml:space="preserve"> 1.5</w:t>
            </w:r>
          </w:p>
          <w:p w14:paraId="64789D33" w14:textId="77777777" w:rsidR="00EC13A5" w:rsidRPr="00611B76" w:rsidRDefault="00EC13A5" w:rsidP="00611B76">
            <w:pPr>
              <w:spacing w:before="40" w:after="40"/>
              <w:rPr>
                <w:rFonts w:cs="Arial"/>
                <w:sz w:val="20"/>
                <w:szCs w:val="20"/>
              </w:rPr>
            </w:pPr>
            <w:r w:rsidRPr="00611B76">
              <w:rPr>
                <w:rFonts w:cs="Arial"/>
                <w:sz w:val="20"/>
                <w:szCs w:val="20"/>
              </w:rPr>
              <w:t>50</w:t>
            </w:r>
            <w:r w:rsidRPr="00611B76">
              <w:rPr>
                <w:rFonts w:cs="Arial"/>
                <w:sz w:val="20"/>
                <w:szCs w:val="20"/>
                <w:vertAlign w:val="superscript"/>
              </w:rPr>
              <w:t>th</w:t>
            </w:r>
            <w:r w:rsidRPr="00611B76">
              <w:rPr>
                <w:rFonts w:cs="Arial"/>
                <w:sz w:val="20"/>
                <w:szCs w:val="20"/>
              </w:rPr>
              <w:t xml:space="preserve"> 2.5</w:t>
            </w:r>
          </w:p>
          <w:p w14:paraId="023395AF"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th</w:t>
            </w:r>
            <w:r w:rsidRPr="00611B76">
              <w:rPr>
                <w:rFonts w:cs="Arial"/>
                <w:sz w:val="20"/>
                <w:szCs w:val="20"/>
              </w:rPr>
              <w:t xml:space="preserve"> 4.1</w:t>
            </w:r>
          </w:p>
          <w:p w14:paraId="1001FA1F" w14:textId="77777777" w:rsidR="00EC13A5" w:rsidRPr="00611B76" w:rsidRDefault="00EC13A5" w:rsidP="00611B76">
            <w:pPr>
              <w:spacing w:before="40" w:after="40"/>
              <w:rPr>
                <w:rFonts w:cs="Arial"/>
                <w:sz w:val="20"/>
                <w:szCs w:val="20"/>
              </w:rPr>
            </w:pPr>
          </w:p>
          <w:p w14:paraId="36E53CCC" w14:textId="77777777" w:rsidR="00EC13A5" w:rsidRPr="00611B76" w:rsidRDefault="00EC13A5" w:rsidP="00611B76">
            <w:pPr>
              <w:spacing w:before="40" w:after="40"/>
              <w:rPr>
                <w:rFonts w:cs="Arial"/>
                <w:sz w:val="20"/>
                <w:szCs w:val="20"/>
              </w:rPr>
            </w:pPr>
            <w:r w:rsidRPr="00611B76">
              <w:rPr>
                <w:rFonts w:cs="Arial"/>
                <w:sz w:val="20"/>
                <w:szCs w:val="20"/>
              </w:rPr>
              <w:t>Non-survivors</w:t>
            </w:r>
          </w:p>
          <w:p w14:paraId="135A3E2C"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th</w:t>
            </w:r>
            <w:r w:rsidRPr="00611B76">
              <w:rPr>
                <w:rFonts w:cs="Arial"/>
                <w:sz w:val="20"/>
                <w:szCs w:val="20"/>
              </w:rPr>
              <w:t xml:space="preserve"> 2.2</w:t>
            </w:r>
          </w:p>
          <w:p w14:paraId="080FCC38" w14:textId="77777777" w:rsidR="00EC13A5" w:rsidRPr="00611B76" w:rsidRDefault="00EC13A5" w:rsidP="00611B76">
            <w:pPr>
              <w:spacing w:before="40" w:after="40"/>
              <w:rPr>
                <w:rFonts w:cs="Arial"/>
                <w:sz w:val="20"/>
                <w:szCs w:val="20"/>
              </w:rPr>
            </w:pPr>
            <w:r w:rsidRPr="00611B76">
              <w:rPr>
                <w:rFonts w:cs="Arial"/>
                <w:sz w:val="20"/>
                <w:szCs w:val="20"/>
              </w:rPr>
              <w:t>50</w:t>
            </w:r>
            <w:r w:rsidRPr="00611B76">
              <w:rPr>
                <w:rFonts w:cs="Arial"/>
                <w:sz w:val="20"/>
                <w:szCs w:val="20"/>
                <w:vertAlign w:val="superscript"/>
              </w:rPr>
              <w:t>th</w:t>
            </w:r>
            <w:r w:rsidRPr="00611B76">
              <w:rPr>
                <w:rFonts w:cs="Arial"/>
                <w:sz w:val="20"/>
                <w:szCs w:val="20"/>
              </w:rPr>
              <w:t xml:space="preserve"> 4.1</w:t>
            </w:r>
          </w:p>
          <w:p w14:paraId="611A3697"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th</w:t>
            </w:r>
            <w:r w:rsidRPr="00611B76">
              <w:rPr>
                <w:rFonts w:cs="Arial"/>
                <w:sz w:val="20"/>
                <w:szCs w:val="20"/>
              </w:rPr>
              <w:t xml:space="preserve"> 7.2</w:t>
            </w:r>
          </w:p>
        </w:tc>
        <w:tc>
          <w:tcPr>
            <w:tcW w:w="0" w:type="auto"/>
          </w:tcPr>
          <w:p w14:paraId="45AD2C2D" w14:textId="77777777" w:rsidR="00EC13A5" w:rsidRPr="00611B76" w:rsidRDefault="00EC13A5" w:rsidP="00611B76">
            <w:pPr>
              <w:spacing w:before="40" w:after="40"/>
              <w:rPr>
                <w:rFonts w:cs="Arial"/>
                <w:sz w:val="20"/>
                <w:szCs w:val="20"/>
              </w:rPr>
            </w:pPr>
            <w:r w:rsidRPr="00611B76">
              <w:rPr>
                <w:rFonts w:cs="Arial"/>
                <w:sz w:val="20"/>
                <w:szCs w:val="20"/>
              </w:rPr>
              <w:t>No association in those with prior coronary heart disease</w:t>
            </w:r>
          </w:p>
          <w:p w14:paraId="1F8494B7" w14:textId="77777777" w:rsidR="00EC13A5" w:rsidRPr="00611B76" w:rsidRDefault="00EC13A5" w:rsidP="00611B76">
            <w:pPr>
              <w:spacing w:before="40" w:after="40"/>
              <w:rPr>
                <w:rFonts w:cs="Arial"/>
                <w:sz w:val="20"/>
                <w:szCs w:val="20"/>
              </w:rPr>
            </w:pPr>
          </w:p>
          <w:p w14:paraId="3C49E634" w14:textId="10E03437" w:rsidR="00EC13A5" w:rsidRPr="00611B76" w:rsidRDefault="00EC13A5" w:rsidP="00611B76">
            <w:pPr>
              <w:spacing w:before="40" w:after="40"/>
              <w:rPr>
                <w:rFonts w:cs="Arial"/>
                <w:sz w:val="20"/>
                <w:szCs w:val="20"/>
              </w:rPr>
            </w:pPr>
            <w:r w:rsidRPr="00611B76">
              <w:rPr>
                <w:rFonts w:cs="Arial"/>
                <w:sz w:val="20"/>
                <w:szCs w:val="20"/>
              </w:rPr>
              <w:t>In those with no pr</w:t>
            </w:r>
            <w:r w:rsidR="00C533CE">
              <w:rPr>
                <w:rFonts w:cs="Arial"/>
                <w:sz w:val="20"/>
                <w:szCs w:val="20"/>
              </w:rPr>
              <w:t>ior heart disease: HR:1.6 (1.01–</w:t>
            </w:r>
            <w:r w:rsidRPr="00611B76">
              <w:rPr>
                <w:rFonts w:cs="Arial"/>
                <w:sz w:val="20"/>
                <w:szCs w:val="20"/>
              </w:rPr>
              <w:t>2.4) for the highest quartile of TMAO versus the other three quartiles combined</w:t>
            </w:r>
          </w:p>
          <w:p w14:paraId="7A113BCB" w14:textId="77777777" w:rsidR="00EC13A5" w:rsidRPr="00611B76" w:rsidRDefault="00EC13A5" w:rsidP="00611B76">
            <w:pPr>
              <w:spacing w:before="40" w:after="40"/>
              <w:rPr>
                <w:rFonts w:cs="Arial"/>
                <w:sz w:val="20"/>
                <w:szCs w:val="20"/>
              </w:rPr>
            </w:pPr>
          </w:p>
          <w:p w14:paraId="022FD1F6" w14:textId="77777777" w:rsidR="00EC13A5" w:rsidRPr="00611B76" w:rsidRDefault="00EC13A5" w:rsidP="00611B76">
            <w:pPr>
              <w:spacing w:before="40" w:after="40"/>
              <w:rPr>
                <w:rFonts w:cs="Arial"/>
                <w:sz w:val="20"/>
                <w:szCs w:val="20"/>
              </w:rPr>
            </w:pPr>
            <w:r w:rsidRPr="00611B76">
              <w:rPr>
                <w:rFonts w:cs="Arial"/>
                <w:sz w:val="20"/>
                <w:szCs w:val="20"/>
              </w:rPr>
              <w:t>Appears to be highest quartile vs others combined</w:t>
            </w:r>
          </w:p>
        </w:tc>
      </w:tr>
    </w:tbl>
    <w:p w14:paraId="00F442FD" w14:textId="77777777" w:rsidR="00EC13A5" w:rsidRPr="008D5447" w:rsidRDefault="00EC13A5" w:rsidP="008D5447">
      <w:pPr>
        <w:rPr>
          <w:sz w:val="18"/>
          <w:szCs w:val="20"/>
        </w:rPr>
      </w:pPr>
      <w:r w:rsidRPr="008D5447">
        <w:rPr>
          <w:sz w:val="18"/>
          <w:szCs w:val="20"/>
        </w:rPr>
        <w:t>* One or more authors associated with Hazen group</w:t>
      </w:r>
    </w:p>
    <w:p w14:paraId="35BA882D" w14:textId="548EA0A5" w:rsidR="00EC13A5" w:rsidRPr="008D5447" w:rsidRDefault="00EC13A5" w:rsidP="008D5447">
      <w:pPr>
        <w:rPr>
          <w:sz w:val="18"/>
          <w:szCs w:val="20"/>
        </w:rPr>
      </w:pPr>
      <w:r w:rsidRPr="008D5447">
        <w:rPr>
          <w:sz w:val="18"/>
          <w:szCs w:val="20"/>
          <w:vertAlign w:val="superscript"/>
        </w:rPr>
        <w:t>#</w:t>
      </w:r>
      <w:r w:rsidRPr="008D5447">
        <w:rPr>
          <w:sz w:val="18"/>
          <w:szCs w:val="20"/>
        </w:rPr>
        <w:t xml:space="preserve"> The paper states that this is a different group of patients from those reported in Tang </w:t>
      </w:r>
      <w:r w:rsidR="000B7678" w:rsidRPr="008D5447">
        <w:rPr>
          <w:sz w:val="18"/>
          <w:szCs w:val="20"/>
        </w:rPr>
        <w:t>et al. 2</w:t>
      </w:r>
      <w:r w:rsidRPr="008D5447">
        <w:rPr>
          <w:sz w:val="18"/>
          <w:szCs w:val="20"/>
        </w:rPr>
        <w:t>014</w:t>
      </w:r>
    </w:p>
    <w:p w14:paraId="5006FCE4" w14:textId="77777777" w:rsidR="00EC13A5" w:rsidRPr="008D5447" w:rsidRDefault="00EC13A5" w:rsidP="00EC13A5">
      <w:pPr>
        <w:rPr>
          <w:sz w:val="20"/>
        </w:rPr>
      </w:pPr>
    </w:p>
    <w:sectPr w:rsidR="00EC13A5" w:rsidRPr="008D5447" w:rsidSect="00200FB1">
      <w:pgSz w:w="16838" w:h="11906" w:orient="landscape"/>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73A35" w14:textId="77777777" w:rsidR="007377EA" w:rsidRDefault="007377EA">
      <w:r>
        <w:separator/>
      </w:r>
    </w:p>
  </w:endnote>
  <w:endnote w:type="continuationSeparator" w:id="0">
    <w:p w14:paraId="0FD2A2BA" w14:textId="77777777" w:rsidR="007377EA" w:rsidRDefault="007377EA">
      <w:r>
        <w:continuationSeparator/>
      </w:r>
    </w:p>
  </w:endnote>
  <w:endnote w:type="continuationNotice" w:id="1">
    <w:p w14:paraId="4C59A2DB" w14:textId="77777777" w:rsidR="007377EA" w:rsidRDefault="00737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VKFAZ+Helvetica-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dvOTb7819099">
    <w:panose1 w:val="00000000000000000000"/>
    <w:charset w:val="00"/>
    <w:family w:val="swiss"/>
    <w:notTrueType/>
    <w:pitch w:val="default"/>
    <w:sig w:usb0="00000003" w:usb1="00000000" w:usb2="00000000" w:usb3="00000000" w:csb0="00000001" w:csb1="00000000"/>
  </w:font>
  <w:font w:name="AdvP4C4E59">
    <w:panose1 w:val="00000000000000000000"/>
    <w:charset w:val="00"/>
    <w:family w:val="auto"/>
    <w:notTrueType/>
    <w:pitch w:val="default"/>
    <w:sig w:usb0="00000003" w:usb1="00000000" w:usb2="00000000" w:usb3="00000000" w:csb0="00000001" w:csb1="00000000"/>
  </w:font>
  <w:font w:name="AdvOT5415ed09.I">
    <w:panose1 w:val="00000000000000000000"/>
    <w:charset w:val="00"/>
    <w:family w:val="swiss"/>
    <w:notTrueType/>
    <w:pitch w:val="default"/>
    <w:sig w:usb0="00000003" w:usb1="00000000" w:usb2="00000000" w:usb3="00000000" w:csb0="00000001" w:csb1="00000000"/>
  </w:font>
  <w:font w:name="AdvP3E7259">
    <w:panose1 w:val="00000000000000000000"/>
    <w:charset w:val="00"/>
    <w:family w:val="swiss"/>
    <w:notTrueType/>
    <w:pitch w:val="default"/>
    <w:sig w:usb0="00000003" w:usb1="00000000" w:usb2="00000000" w:usb3="00000000" w:csb0="00000001" w:csb1="00000000"/>
  </w:font>
  <w:font w:name="OTNEJMQuadraat">
    <w:altName w:val="Malgun Gothic Semilight"/>
    <w:panose1 w:val="00000000000000000000"/>
    <w:charset w:val="86"/>
    <w:family w:val="roman"/>
    <w:notTrueType/>
    <w:pitch w:val="default"/>
    <w:sig w:usb0="00000000" w:usb1="080E0000" w:usb2="00000010" w:usb3="00000000" w:csb0="00040000" w:csb1="00000000"/>
  </w:font>
  <w:font w:name="AdvTTec369687+22">
    <w:altName w:val="Yu Gothic UI"/>
    <w:panose1 w:val="00000000000000000000"/>
    <w:charset w:val="80"/>
    <w:family w:val="auto"/>
    <w:notTrueType/>
    <w:pitch w:val="default"/>
    <w:sig w:usb0="00000001" w:usb1="08070000" w:usb2="00000010" w:usb3="00000000" w:csb0="00020000" w:csb1="00000000"/>
  </w:font>
  <w:font w:name="AdvPS4C9543">
    <w:altName w:val="Yu Gothic UI"/>
    <w:panose1 w:val="00000000000000000000"/>
    <w:charset w:val="80"/>
    <w:family w:val="auto"/>
    <w:notTrueType/>
    <w:pitch w:val="default"/>
    <w:sig w:usb0="00000000" w:usb1="08070000" w:usb2="00000010" w:usb3="00000000" w:csb0="00020000"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92C2A" w14:textId="77777777" w:rsidR="00272CA2" w:rsidRPr="00272CA2" w:rsidRDefault="00272CA2" w:rsidP="00272CA2">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379A5F7A" w14:textId="122FEB74" w:rsidR="00DF510F" w:rsidRDefault="00272CA2" w:rsidP="00272CA2">
    <w:pPr>
      <w:pStyle w:val="Footer"/>
      <w:framePr w:wrap="around" w:vAnchor="text" w:hAnchor="margin" w:xAlign="center" w:y="1"/>
      <w:jc w:val="center"/>
      <w:rPr>
        <w:rStyle w:val="PageNumber"/>
      </w:rPr>
    </w:pPr>
    <w:r w:rsidRPr="00272CA2">
      <w:rPr>
        <w:rStyle w:val="PageNumber"/>
        <w:rFonts w:ascii="Calibri" w:hAnsi="Calibri" w:cs="Calibri"/>
        <w:b/>
        <w:color w:val="F00000"/>
        <w:sz w:val="24"/>
      </w:rPr>
      <w:t>OFFICIAL</w:t>
    </w:r>
    <w:r>
      <w:rPr>
        <w:rStyle w:val="PageNumber"/>
      </w:rPr>
      <w:t xml:space="preserve"> </w:t>
    </w:r>
    <w:r>
      <w:rPr>
        <w:rStyle w:val="PageNumber"/>
      </w:rPr>
      <w:fldChar w:fldCharType="end"/>
    </w:r>
    <w:r w:rsidR="00DF510F">
      <w:rPr>
        <w:rStyle w:val="PageNumber"/>
      </w:rPr>
      <w:fldChar w:fldCharType="begin"/>
    </w:r>
    <w:r w:rsidR="00DF510F">
      <w:rPr>
        <w:rStyle w:val="PageNumber"/>
      </w:rPr>
      <w:instrText xml:space="preserve">PAGE  </w:instrText>
    </w:r>
    <w:r w:rsidR="00DF510F">
      <w:rPr>
        <w:rStyle w:val="PageNumber"/>
      </w:rPr>
      <w:fldChar w:fldCharType="end"/>
    </w:r>
  </w:p>
  <w:p w14:paraId="384DACBA" w14:textId="77777777" w:rsidR="00DF510F" w:rsidRDefault="00DF510F" w:rsidP="00272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88C03" w14:textId="77777777" w:rsidR="00272CA2" w:rsidRPr="00272CA2" w:rsidRDefault="00272CA2" w:rsidP="00272CA2">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5DB2678D" w14:textId="53D04686" w:rsidR="00272CA2" w:rsidRDefault="00272CA2" w:rsidP="00272CA2">
    <w:pPr>
      <w:pStyle w:val="Footer"/>
      <w:jc w:val="center"/>
    </w:pPr>
    <w:r w:rsidRPr="00272CA2">
      <w:rPr>
        <w:rFonts w:ascii="Calibri" w:hAnsi="Calibri" w:cs="Calibri"/>
        <w:b/>
        <w:color w:val="F00000"/>
        <w:sz w:val="24"/>
      </w:rPr>
      <w:t>OFFICIAL</w:t>
    </w:r>
    <w:r>
      <w:t xml:space="preserve"> </w:t>
    </w:r>
    <w:r>
      <w:fldChar w:fldCharType="end"/>
    </w:r>
  </w:p>
  <w:sdt>
    <w:sdtPr>
      <w:id w:val="1095836573"/>
      <w:docPartObj>
        <w:docPartGallery w:val="Page Numbers (Bottom of Page)"/>
        <w:docPartUnique/>
      </w:docPartObj>
    </w:sdtPr>
    <w:sdtEndPr>
      <w:rPr>
        <w:noProof/>
      </w:rPr>
    </w:sdtEndPr>
    <w:sdtContent>
      <w:p w14:paraId="04409C71" w14:textId="40475B8D" w:rsidR="00DF510F" w:rsidRDefault="00DF510F">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272CA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72CA2">
          <w:rPr>
            <w:b/>
            <w:bCs/>
            <w:noProof/>
          </w:rPr>
          <w:t>93</w:t>
        </w:r>
        <w:r>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AEA88" w14:textId="77777777" w:rsidR="00272CA2" w:rsidRPr="00272CA2" w:rsidRDefault="00272CA2" w:rsidP="00272CA2">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43CEBF32" w14:textId="040430F6" w:rsidR="00DF510F" w:rsidRPr="00272CA2" w:rsidRDefault="00272CA2" w:rsidP="00272CA2">
    <w:pPr>
      <w:pStyle w:val="Footer"/>
      <w:jc w:val="center"/>
    </w:pPr>
    <w:r w:rsidRPr="00272CA2">
      <w:rPr>
        <w:rFonts w:ascii="Calibri" w:hAnsi="Calibri" w:cs="Calibri"/>
        <w:b/>
        <w:color w:val="F00000"/>
        <w:sz w:val="24"/>
      </w:rPr>
      <w:t>OFFICIAL</w:t>
    </w:r>
    <w:r>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CC781" w14:textId="77777777" w:rsidR="00272CA2" w:rsidRPr="00272CA2" w:rsidRDefault="00272CA2" w:rsidP="00272CA2">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2902BA17" w14:textId="042E7EE0" w:rsidR="00272CA2" w:rsidRDefault="00272CA2" w:rsidP="00272CA2">
    <w:pPr>
      <w:pStyle w:val="Footer"/>
      <w:jc w:val="center"/>
    </w:pPr>
    <w:r w:rsidRPr="00272CA2">
      <w:rPr>
        <w:rFonts w:ascii="Calibri" w:hAnsi="Calibri" w:cs="Calibri"/>
        <w:b/>
        <w:color w:val="F00000"/>
        <w:sz w:val="24"/>
      </w:rPr>
      <w:t>OFFICIAL</w:t>
    </w:r>
    <w:r>
      <w:t xml:space="preserve"> </w:t>
    </w:r>
    <w:r>
      <w:fldChar w:fldCharType="end"/>
    </w:r>
  </w:p>
  <w:sdt>
    <w:sdtPr>
      <w:id w:val="1444421086"/>
      <w:docPartObj>
        <w:docPartGallery w:val="Page Numbers (Bottom of Page)"/>
        <w:docPartUnique/>
      </w:docPartObj>
    </w:sdtPr>
    <w:sdtEndPr>
      <w:rPr>
        <w:noProof/>
      </w:rPr>
    </w:sdtEndPr>
    <w:sdtContent>
      <w:p w14:paraId="18CD7EA4" w14:textId="6ACDFFF5" w:rsidR="00DF510F" w:rsidRPr="00B0129D" w:rsidRDefault="00DF510F" w:rsidP="00677FBB">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272CA2">
          <w:rPr>
            <w:b/>
            <w:bCs/>
            <w:noProof/>
          </w:rPr>
          <w:t>15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72CA2">
          <w:rPr>
            <w:b/>
            <w:bCs/>
            <w:noProof/>
          </w:rPr>
          <w:t>93</w:t>
        </w:r>
        <w:r>
          <w:rPr>
            <w:b/>
            <w:bCs/>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A07FC" w14:textId="77777777" w:rsidR="00272CA2" w:rsidRPr="00272CA2" w:rsidRDefault="00272CA2" w:rsidP="00272CA2">
    <w:pPr>
      <w:pStyle w:val="Footer"/>
      <w:jc w:val="center"/>
      <w:rPr>
        <w:rFonts w:ascii="Calibri" w:hAnsi="Calibri" w:cs="Calibri"/>
        <w:b/>
        <w:color w:val="F00000"/>
        <w:sz w:val="24"/>
        <w:szCs w:val="18"/>
      </w:rPr>
    </w:pPr>
    <w:r>
      <w:rPr>
        <w:sz w:val="18"/>
        <w:szCs w:val="18"/>
      </w:rPr>
      <w:fldChar w:fldCharType="begin" w:fldLock="1"/>
    </w:r>
    <w:r>
      <w:rPr>
        <w:sz w:val="18"/>
        <w:szCs w:val="18"/>
      </w:rPr>
      <w:instrText xml:space="preserve"> DOCPROPERTY bjFooterBothDocProperty \* MERGEFORMAT </w:instrText>
    </w:r>
    <w:r>
      <w:rPr>
        <w:sz w:val="18"/>
        <w:szCs w:val="18"/>
      </w:rPr>
      <w:fldChar w:fldCharType="separate"/>
    </w:r>
  </w:p>
  <w:p w14:paraId="7F5102FE" w14:textId="3BC14396" w:rsidR="00272CA2" w:rsidRDefault="00272CA2" w:rsidP="00272CA2">
    <w:pPr>
      <w:pStyle w:val="Footer"/>
      <w:jc w:val="center"/>
      <w:rPr>
        <w:sz w:val="18"/>
        <w:szCs w:val="18"/>
      </w:rPr>
    </w:pPr>
    <w:r w:rsidRPr="00272CA2">
      <w:rPr>
        <w:rFonts w:ascii="Calibri" w:hAnsi="Calibri" w:cs="Calibri"/>
        <w:b/>
        <w:color w:val="F00000"/>
        <w:sz w:val="24"/>
        <w:szCs w:val="18"/>
      </w:rPr>
      <w:t>OFFICIAL</w:t>
    </w:r>
    <w:r>
      <w:rPr>
        <w:sz w:val="18"/>
        <w:szCs w:val="18"/>
      </w:rPr>
      <w:t xml:space="preserve"> </w:t>
    </w:r>
    <w:r>
      <w:rPr>
        <w:sz w:val="18"/>
        <w:szCs w:val="18"/>
      </w:rPr>
      <w:fldChar w:fldCharType="end"/>
    </w:r>
  </w:p>
  <w:p w14:paraId="43848200" w14:textId="225B0344" w:rsidR="00DF510F" w:rsidRPr="007D0AF2" w:rsidRDefault="00DF510F">
    <w:pPr>
      <w:pStyle w:val="Footer"/>
      <w:jc w:val="center"/>
      <w:rPr>
        <w:sz w:val="18"/>
        <w:szCs w:val="18"/>
      </w:rPr>
    </w:pPr>
    <w:r w:rsidRPr="00E03825">
      <w:rPr>
        <w:sz w:val="18"/>
        <w:szCs w:val="18"/>
      </w:rPr>
      <w:t xml:space="preserve">Page </w:t>
    </w:r>
    <w:r w:rsidRPr="00E03825">
      <w:rPr>
        <w:b/>
        <w:bCs/>
        <w:sz w:val="18"/>
        <w:szCs w:val="18"/>
      </w:rPr>
      <w:fldChar w:fldCharType="begin"/>
    </w:r>
    <w:r w:rsidRPr="00E03825">
      <w:rPr>
        <w:b/>
        <w:bCs/>
        <w:sz w:val="18"/>
        <w:szCs w:val="18"/>
      </w:rPr>
      <w:instrText xml:space="preserve"> PAGE  \* Arabic  \* MERGEFORMAT </w:instrText>
    </w:r>
    <w:r w:rsidRPr="00E03825">
      <w:rPr>
        <w:b/>
        <w:bCs/>
        <w:sz w:val="18"/>
        <w:szCs w:val="18"/>
      </w:rPr>
      <w:fldChar w:fldCharType="separate"/>
    </w:r>
    <w:r w:rsidR="00272CA2">
      <w:rPr>
        <w:b/>
        <w:bCs/>
        <w:noProof/>
        <w:sz w:val="18"/>
        <w:szCs w:val="18"/>
      </w:rPr>
      <w:t>92</w:t>
    </w:r>
    <w:r w:rsidRPr="00E03825">
      <w:rPr>
        <w:b/>
        <w:bCs/>
        <w:sz w:val="18"/>
        <w:szCs w:val="18"/>
      </w:rPr>
      <w:fldChar w:fldCharType="end"/>
    </w:r>
    <w:r w:rsidRPr="00E03825">
      <w:rPr>
        <w:sz w:val="18"/>
        <w:szCs w:val="18"/>
      </w:rPr>
      <w:t xml:space="preserve"> of </w:t>
    </w:r>
    <w:r w:rsidRPr="00E03825">
      <w:rPr>
        <w:b/>
        <w:bCs/>
        <w:sz w:val="18"/>
        <w:szCs w:val="18"/>
      </w:rPr>
      <w:fldChar w:fldCharType="begin"/>
    </w:r>
    <w:r w:rsidRPr="00E03825">
      <w:rPr>
        <w:b/>
        <w:bCs/>
        <w:sz w:val="18"/>
        <w:szCs w:val="18"/>
      </w:rPr>
      <w:instrText xml:space="preserve"> NUMPAGES  \* Arabic  \* MERGEFORMAT </w:instrText>
    </w:r>
    <w:r w:rsidRPr="00E03825">
      <w:rPr>
        <w:b/>
        <w:bCs/>
        <w:sz w:val="18"/>
        <w:szCs w:val="18"/>
      </w:rPr>
      <w:fldChar w:fldCharType="separate"/>
    </w:r>
    <w:r w:rsidR="00272CA2">
      <w:rPr>
        <w:b/>
        <w:bCs/>
        <w:noProof/>
        <w:sz w:val="18"/>
        <w:szCs w:val="18"/>
      </w:rPr>
      <w:t>93</w:t>
    </w:r>
    <w:r w:rsidRPr="00E03825">
      <w:rPr>
        <w:b/>
        <w:b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F5DD6" w14:textId="77777777" w:rsidR="00272CA2" w:rsidRPr="00272CA2" w:rsidRDefault="00272CA2" w:rsidP="00272CA2">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302A2690" w14:textId="213FB1A9" w:rsidR="00DF510F" w:rsidRDefault="00272CA2" w:rsidP="00272CA2">
    <w:pPr>
      <w:pStyle w:val="Footer"/>
      <w:framePr w:wrap="around" w:vAnchor="text" w:hAnchor="margin" w:xAlign="center" w:y="1"/>
      <w:jc w:val="center"/>
      <w:rPr>
        <w:rStyle w:val="PageNumber"/>
      </w:rPr>
    </w:pPr>
    <w:r w:rsidRPr="00272CA2">
      <w:rPr>
        <w:rStyle w:val="PageNumber"/>
        <w:rFonts w:ascii="Calibri" w:hAnsi="Calibri" w:cs="Calibri"/>
        <w:b/>
        <w:color w:val="F00000"/>
        <w:sz w:val="24"/>
      </w:rPr>
      <w:t>OFFICIAL</w:t>
    </w:r>
    <w:r>
      <w:rPr>
        <w:rStyle w:val="PageNumber"/>
      </w:rPr>
      <w:t xml:space="preserve"> </w:t>
    </w:r>
    <w:r>
      <w:rPr>
        <w:rStyle w:val="PageNumber"/>
      </w:rPr>
      <w:fldChar w:fldCharType="end"/>
    </w:r>
    <w:r w:rsidR="00DF510F">
      <w:rPr>
        <w:rStyle w:val="PageNumber"/>
      </w:rPr>
      <w:fldChar w:fldCharType="begin"/>
    </w:r>
    <w:r w:rsidR="00DF510F">
      <w:rPr>
        <w:rStyle w:val="PageNumber"/>
      </w:rPr>
      <w:instrText xml:space="preserve">PAGE  </w:instrText>
    </w:r>
    <w:r w:rsidR="00DF510F">
      <w:rPr>
        <w:rStyle w:val="PageNumber"/>
      </w:rPr>
      <w:fldChar w:fldCharType="end"/>
    </w:r>
  </w:p>
  <w:p w14:paraId="5C162512" w14:textId="77777777" w:rsidR="00DF510F" w:rsidRDefault="00DF510F" w:rsidP="00272CA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C298A" w14:textId="77777777" w:rsidR="00272CA2" w:rsidRPr="00272CA2" w:rsidRDefault="00272CA2" w:rsidP="00272CA2">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18B2E2A4" w14:textId="3B724350" w:rsidR="00DF510F" w:rsidRDefault="00272CA2" w:rsidP="00272CA2">
    <w:pPr>
      <w:pStyle w:val="Footer"/>
      <w:framePr w:wrap="around" w:vAnchor="text" w:hAnchor="margin" w:xAlign="center" w:y="1"/>
      <w:jc w:val="center"/>
      <w:rPr>
        <w:rStyle w:val="PageNumber"/>
      </w:rPr>
    </w:pPr>
    <w:r w:rsidRPr="00272CA2">
      <w:rPr>
        <w:rStyle w:val="PageNumber"/>
        <w:rFonts w:ascii="Calibri" w:hAnsi="Calibri" w:cs="Calibri"/>
        <w:b/>
        <w:color w:val="F00000"/>
        <w:sz w:val="24"/>
      </w:rPr>
      <w:t>OFFICIAL</w:t>
    </w:r>
    <w:r>
      <w:rPr>
        <w:rStyle w:val="PageNumber"/>
      </w:rPr>
      <w:t xml:space="preserve"> </w:t>
    </w:r>
    <w:r>
      <w:rPr>
        <w:rStyle w:val="PageNumber"/>
      </w:rPr>
      <w:fldChar w:fldCharType="end"/>
    </w:r>
    <w:r w:rsidR="00DF510F">
      <w:rPr>
        <w:rStyle w:val="PageNumber"/>
      </w:rPr>
      <w:fldChar w:fldCharType="begin"/>
    </w:r>
    <w:r w:rsidR="00DF510F">
      <w:rPr>
        <w:rStyle w:val="PageNumber"/>
      </w:rPr>
      <w:instrText xml:space="preserve">PAGE  </w:instrText>
    </w:r>
    <w:r w:rsidR="00DF510F">
      <w:rPr>
        <w:rStyle w:val="PageNumber"/>
      </w:rPr>
      <w:fldChar w:fldCharType="end"/>
    </w:r>
  </w:p>
  <w:p w14:paraId="21AD5D4F" w14:textId="77777777" w:rsidR="00DF510F" w:rsidRDefault="00DF510F" w:rsidP="00272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019A5" w14:textId="77777777" w:rsidR="007377EA" w:rsidRDefault="007377EA">
      <w:r>
        <w:separator/>
      </w:r>
    </w:p>
  </w:footnote>
  <w:footnote w:type="continuationSeparator" w:id="0">
    <w:p w14:paraId="519D89AE" w14:textId="77777777" w:rsidR="007377EA" w:rsidRDefault="007377EA">
      <w:r>
        <w:continuationSeparator/>
      </w:r>
    </w:p>
  </w:footnote>
  <w:footnote w:type="continuationNotice" w:id="1">
    <w:p w14:paraId="5902B0B9" w14:textId="77777777" w:rsidR="007377EA" w:rsidRDefault="007377EA"/>
  </w:footnote>
  <w:footnote w:id="2">
    <w:p w14:paraId="32BFC40C" w14:textId="77777777" w:rsidR="00DF510F" w:rsidRPr="00814453" w:rsidRDefault="00DF510F" w:rsidP="00785714">
      <w:pPr>
        <w:pStyle w:val="FootnoteText"/>
        <w:rPr>
          <w:lang w:val="en-AU"/>
        </w:rPr>
      </w:pPr>
      <w:r>
        <w:rPr>
          <w:rStyle w:val="FootnoteReference"/>
        </w:rPr>
        <w:footnoteRef/>
      </w:r>
      <w:r>
        <w:t xml:space="preserve"> Harvest is FSANZ’s custom-built dietary modelling program that replaced the previous program, DIAMOND, which does the same calculations just using a different software program.</w:t>
      </w:r>
    </w:p>
  </w:footnote>
  <w:footnote w:id="3">
    <w:p w14:paraId="3A15B0C0" w14:textId="48EEF0D9" w:rsidR="00DF510F" w:rsidRPr="0055564D" w:rsidRDefault="00DF510F" w:rsidP="00EC13A5">
      <w:pPr>
        <w:pStyle w:val="FootnoteText"/>
        <w:rPr>
          <w:sz w:val="16"/>
          <w:szCs w:val="16"/>
          <w:lang w:val="en-AU"/>
        </w:rPr>
      </w:pPr>
      <w:r>
        <w:rPr>
          <w:rStyle w:val="FootnoteReference"/>
        </w:rPr>
        <w:footnoteRef/>
      </w:r>
      <w:r>
        <w:rPr>
          <w:sz w:val="16"/>
          <w:szCs w:val="16"/>
          <w:lang w:val="en-AU"/>
        </w:rPr>
        <w:t xml:space="preserve"> </w:t>
      </w:r>
      <w:r w:rsidRPr="005B4528">
        <w:rPr>
          <w:sz w:val="16"/>
          <w:szCs w:val="16"/>
          <w:lang w:val="en-AU"/>
        </w:rPr>
        <w:t>Glomerular filtration rate is estimated (eGFR) from a formula involving serum creatinine, age and sex and race (white or African black) and has units of mL/min/1.73</w:t>
      </w:r>
      <w:r>
        <w:rPr>
          <w:sz w:val="16"/>
          <w:szCs w:val="16"/>
          <w:lang w:val="en-AU"/>
        </w:rPr>
        <w:t xml:space="preserve"> </w:t>
      </w:r>
      <w:r w:rsidRPr="005B4528">
        <w:rPr>
          <w:sz w:val="16"/>
          <w:szCs w:val="16"/>
          <w:lang w:val="en-AU"/>
        </w:rPr>
        <w:t>m</w:t>
      </w:r>
      <w:r w:rsidRPr="005B4528">
        <w:rPr>
          <w:sz w:val="16"/>
          <w:szCs w:val="16"/>
          <w:vertAlign w:val="superscript"/>
          <w:lang w:val="en-AU"/>
        </w:rPr>
        <w:t>2</w:t>
      </w:r>
      <w:r>
        <w:rPr>
          <w:sz w:val="16"/>
          <w:szCs w:val="16"/>
          <w:vertAlign w:val="superscript"/>
          <w:lang w:val="en-AU"/>
        </w:rPr>
        <w:t xml:space="preserve">. </w:t>
      </w:r>
      <w:r w:rsidRPr="005B4528">
        <w:rPr>
          <w:sz w:val="16"/>
          <w:szCs w:val="16"/>
          <w:lang w:val="en-AU"/>
        </w:rPr>
        <w:t>(The equation does not involve height or weight). The equation provides an estimate of GRF for an individual; it is not an actual measure of the individual’s GRF. Using the equation result, kidney function is classified into five stages</w:t>
      </w:r>
      <w:r>
        <w:rPr>
          <w:sz w:val="16"/>
          <w:szCs w:val="16"/>
          <w:lang w:val="en-AU"/>
        </w:rPr>
        <w:t>. Stage </w:t>
      </w:r>
      <w:r w:rsidRPr="0055564D">
        <w:rPr>
          <w:sz w:val="16"/>
          <w:szCs w:val="16"/>
          <w:lang w:val="en-AU"/>
        </w:rPr>
        <w:t xml:space="preserve">1 is eGFR </w:t>
      </w:r>
      <w:r>
        <w:rPr>
          <w:sz w:val="16"/>
          <w:szCs w:val="16"/>
          <w:lang w:val="en-AU"/>
        </w:rPr>
        <w:t>greater than or equal to 90 mL/</w:t>
      </w:r>
      <w:r w:rsidRPr="0055564D">
        <w:rPr>
          <w:sz w:val="16"/>
          <w:szCs w:val="16"/>
          <w:lang w:val="en-AU"/>
        </w:rPr>
        <w:t>min/1.73</w:t>
      </w:r>
      <w:r>
        <w:rPr>
          <w:sz w:val="16"/>
          <w:szCs w:val="16"/>
          <w:lang w:val="en-AU"/>
        </w:rPr>
        <w:t xml:space="preserve"> </w:t>
      </w:r>
      <w:r w:rsidRPr="0055564D">
        <w:rPr>
          <w:sz w:val="16"/>
          <w:szCs w:val="16"/>
          <w:lang w:val="en-AU"/>
        </w:rPr>
        <w:t>m</w:t>
      </w:r>
      <w:r w:rsidRPr="0055564D">
        <w:rPr>
          <w:sz w:val="16"/>
          <w:szCs w:val="16"/>
          <w:vertAlign w:val="superscript"/>
          <w:lang w:val="en-AU"/>
        </w:rPr>
        <w:t>2</w:t>
      </w:r>
      <w:r>
        <w:rPr>
          <w:sz w:val="16"/>
          <w:szCs w:val="16"/>
          <w:lang w:val="en-AU"/>
        </w:rPr>
        <w:t>. N</w:t>
      </w:r>
      <w:r w:rsidRPr="0055564D">
        <w:rPr>
          <w:sz w:val="16"/>
          <w:szCs w:val="16"/>
          <w:lang w:val="en-AU"/>
        </w:rPr>
        <w:t>o</w:t>
      </w:r>
      <w:r>
        <w:rPr>
          <w:sz w:val="16"/>
          <w:szCs w:val="16"/>
          <w:lang w:val="en-AU"/>
        </w:rPr>
        <w:t>rmal eGFR in young adults is 90–</w:t>
      </w:r>
      <w:r w:rsidRPr="0055564D">
        <w:rPr>
          <w:sz w:val="16"/>
          <w:szCs w:val="16"/>
          <w:lang w:val="en-AU"/>
        </w:rPr>
        <w:t>100 mL/min/1.73</w:t>
      </w:r>
      <w:r>
        <w:rPr>
          <w:sz w:val="16"/>
          <w:szCs w:val="16"/>
          <w:lang w:val="en-AU"/>
        </w:rPr>
        <w:t xml:space="preserve"> </w:t>
      </w:r>
      <w:r w:rsidRPr="0055564D">
        <w:rPr>
          <w:sz w:val="16"/>
          <w:szCs w:val="16"/>
          <w:lang w:val="en-AU"/>
        </w:rPr>
        <w:t>m</w:t>
      </w:r>
      <w:r w:rsidRPr="0055564D">
        <w:rPr>
          <w:sz w:val="16"/>
          <w:szCs w:val="16"/>
          <w:vertAlign w:val="superscript"/>
          <w:lang w:val="en-AU"/>
        </w:rPr>
        <w:t>2</w:t>
      </w:r>
      <w:r>
        <w:rPr>
          <w:sz w:val="16"/>
          <w:szCs w:val="16"/>
          <w:lang w:val="en-AU"/>
        </w:rPr>
        <w:t>. T</w:t>
      </w:r>
      <w:r w:rsidRPr="0055564D">
        <w:rPr>
          <w:sz w:val="16"/>
          <w:szCs w:val="16"/>
          <w:lang w:val="en-AU"/>
        </w:rPr>
        <w:t xml:space="preserve">he definition of chronic kidney disease also depends on other test results, such as the presence of albumin in the urine. The equations are not recommended for various population subgroups, including vegetarians or those on low meat diets. </w:t>
      </w:r>
      <w:hyperlink r:id="rId1" w:history="1">
        <w:r w:rsidRPr="0055564D">
          <w:rPr>
            <w:rStyle w:val="Hyperlink"/>
            <w:sz w:val="16"/>
            <w:szCs w:val="16"/>
            <w:lang w:val="en-AU"/>
          </w:rPr>
          <w:t>https://www.niddk.nih.gov/health-information/health-communication-programs/nkdep/lab-evaluation/gfr/estimating/Pages/estimating.aspx</w:t>
        </w:r>
      </w:hyperlink>
    </w:p>
  </w:footnote>
  <w:footnote w:id="4">
    <w:p w14:paraId="6D2A78E2" w14:textId="29D2FA39" w:rsidR="00DF510F" w:rsidRPr="0055564D" w:rsidRDefault="00DF510F" w:rsidP="00EC13A5">
      <w:pPr>
        <w:rPr>
          <w:sz w:val="16"/>
          <w:szCs w:val="16"/>
        </w:rPr>
      </w:pPr>
      <w:r w:rsidRPr="0055564D">
        <w:rPr>
          <w:rStyle w:val="FootnoteReference"/>
          <w:sz w:val="16"/>
          <w:szCs w:val="16"/>
        </w:rPr>
        <w:footnoteRef/>
      </w:r>
      <w:r w:rsidRPr="0055564D">
        <w:rPr>
          <w:sz w:val="16"/>
          <w:szCs w:val="16"/>
        </w:rPr>
        <w:t xml:space="preserve"> (Table 8, </w:t>
      </w:r>
      <w:hyperlink r:id="rId2" w:history="1">
        <w:r w:rsidRPr="0055564D">
          <w:rPr>
            <w:rStyle w:val="Hyperlink"/>
            <w:sz w:val="16"/>
            <w:szCs w:val="16"/>
          </w:rPr>
          <w:t>http://www.abs.gov.au/ausstats/abs@.nsf/Lookup/1A8F3DE217DE1057CA257B82001792F4?opendocument</w:t>
        </w:r>
      </w:hyperlink>
      <w:r w:rsidRPr="0055564D">
        <w:rPr>
          <w:sz w:val="16"/>
          <w:szCs w:val="16"/>
        </w:rPr>
        <w:t>)</w:t>
      </w:r>
      <w:r>
        <w:rPr>
          <w:sz w:val="16"/>
          <w:szCs w:val="16"/>
        </w:rPr>
        <w:t xml:space="preserve">. </w:t>
      </w:r>
      <w:r w:rsidRPr="0055564D">
        <w:rPr>
          <w:sz w:val="16"/>
          <w:szCs w:val="16"/>
        </w:rPr>
        <w:t xml:space="preserve">  </w:t>
      </w:r>
    </w:p>
    <w:p w14:paraId="116C6CB7" w14:textId="77777777" w:rsidR="00DF510F" w:rsidRPr="005B4528" w:rsidRDefault="00DF510F" w:rsidP="00EC13A5">
      <w:pPr>
        <w:pStyle w:val="FootnoteText"/>
        <w:rPr>
          <w:sz w:val="16"/>
          <w:szCs w:val="16"/>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F57F9" w14:textId="77777777" w:rsidR="00272CA2" w:rsidRPr="00272CA2" w:rsidRDefault="00272CA2" w:rsidP="00272CA2">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272CA2">
      <w:rPr>
        <w:rFonts w:ascii="Calibri" w:hAnsi="Calibri" w:cs="Calibri"/>
        <w:b/>
        <w:color w:val="F00000"/>
        <w:sz w:val="24"/>
      </w:rPr>
      <w:t>OFFICIAL</w:t>
    </w:r>
  </w:p>
  <w:p w14:paraId="6FF52782" w14:textId="7C4EC4D8" w:rsidR="00DF510F" w:rsidRPr="00272CA2" w:rsidRDefault="00272CA2" w:rsidP="00272CA2">
    <w:pPr>
      <w:pStyle w:val="Header"/>
      <w:jc w:val="center"/>
    </w:pPr>
    <w:r w:rsidRPr="00272CA2">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2CB8" w14:textId="77777777" w:rsidR="00272CA2" w:rsidRPr="00272CA2" w:rsidRDefault="00272CA2" w:rsidP="00272CA2">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272CA2">
      <w:rPr>
        <w:rFonts w:ascii="Calibri" w:hAnsi="Calibri" w:cs="Calibri"/>
        <w:b/>
        <w:color w:val="F00000"/>
        <w:sz w:val="24"/>
      </w:rPr>
      <w:t>OFFICIAL</w:t>
    </w:r>
  </w:p>
  <w:p w14:paraId="46A3796F" w14:textId="2C965727" w:rsidR="00DF510F" w:rsidRPr="00272CA2" w:rsidRDefault="00272CA2" w:rsidP="00272CA2">
    <w:pPr>
      <w:pStyle w:val="Header"/>
      <w:jc w:val="center"/>
    </w:pPr>
    <w:r w:rsidRPr="00272CA2">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094D" w14:textId="77777777" w:rsidR="00272CA2" w:rsidRPr="00272CA2" w:rsidRDefault="00272CA2" w:rsidP="00272CA2">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272CA2">
      <w:rPr>
        <w:rFonts w:ascii="Calibri" w:hAnsi="Calibri" w:cs="Calibri"/>
        <w:b/>
        <w:bCs/>
        <w:color w:val="F00000"/>
        <w:sz w:val="24"/>
      </w:rPr>
      <w:t>OFFICIAL</w:t>
    </w:r>
  </w:p>
  <w:p w14:paraId="2F61AF92" w14:textId="7E3FB266" w:rsidR="00272CA2" w:rsidRDefault="00272CA2" w:rsidP="00272CA2">
    <w:pPr>
      <w:pStyle w:val="Header"/>
      <w:jc w:val="center"/>
      <w:rPr>
        <w:b/>
        <w:bCs/>
      </w:rPr>
    </w:pPr>
    <w:r w:rsidRPr="00272CA2">
      <w:rPr>
        <w:rFonts w:ascii="Calibri" w:hAnsi="Calibri" w:cs="Calibri"/>
        <w:b/>
        <w:bCs/>
        <w:color w:val="F00000"/>
        <w:sz w:val="24"/>
      </w:rPr>
      <w:t xml:space="preserve"> </w:t>
    </w:r>
    <w:r>
      <w:rPr>
        <w:b/>
        <w:bCs/>
      </w:rPr>
      <w:fldChar w:fldCharType="end"/>
    </w:r>
  </w:p>
  <w:p w14:paraId="5921E4CA" w14:textId="1C6A26DD" w:rsidR="00DF510F" w:rsidRDefault="00DF510F">
    <w:pPr>
      <w:pStyle w:val="Header"/>
      <w:jc w:val="center"/>
      <w:rPr>
        <w:b/>
        <w:bCs/>
      </w:rPr>
    </w:pPr>
    <w:r>
      <w:rPr>
        <w:b/>
        <w:bCs/>
      </w:rPr>
      <w:t>BOARD-IN-CONFIDENCE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0D239" w14:textId="77777777" w:rsidR="00272CA2" w:rsidRPr="00272CA2" w:rsidRDefault="00272CA2" w:rsidP="00272CA2">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272CA2">
      <w:rPr>
        <w:rFonts w:ascii="Calibri" w:hAnsi="Calibri" w:cs="Calibri"/>
        <w:b/>
        <w:color w:val="F00000"/>
        <w:sz w:val="24"/>
      </w:rPr>
      <w:t>OFFICIAL</w:t>
    </w:r>
  </w:p>
  <w:p w14:paraId="3E54F3FB" w14:textId="180DCD6B" w:rsidR="00DF510F" w:rsidRPr="00272CA2" w:rsidRDefault="00272CA2" w:rsidP="00272CA2">
    <w:pPr>
      <w:pStyle w:val="Header"/>
      <w:jc w:val="center"/>
    </w:pPr>
    <w:r w:rsidRPr="00272CA2">
      <w:rPr>
        <w:rFonts w:ascii="Calibri" w:hAnsi="Calibri" w:cs="Calibri"/>
        <w:b/>
        <w:color w:val="F00000"/>
        <w:sz w:val="24"/>
      </w:rPr>
      <w:t xml:space="preserve"> </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1C331" w14:textId="77777777" w:rsidR="00272CA2" w:rsidRPr="00272CA2" w:rsidRDefault="00272CA2" w:rsidP="00272CA2">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272CA2">
      <w:rPr>
        <w:rFonts w:ascii="Calibri" w:hAnsi="Calibri" w:cs="Calibri"/>
        <w:b/>
        <w:bCs/>
        <w:color w:val="F00000"/>
        <w:sz w:val="24"/>
      </w:rPr>
      <w:t>OFFICIAL</w:t>
    </w:r>
  </w:p>
  <w:p w14:paraId="294A81C4" w14:textId="02EA2AD0" w:rsidR="00272CA2" w:rsidRDefault="00272CA2" w:rsidP="00272CA2">
    <w:pPr>
      <w:pStyle w:val="Header"/>
      <w:jc w:val="center"/>
      <w:rPr>
        <w:b/>
        <w:bCs/>
      </w:rPr>
    </w:pPr>
    <w:r w:rsidRPr="00272CA2">
      <w:rPr>
        <w:rFonts w:ascii="Calibri" w:hAnsi="Calibri" w:cs="Calibri"/>
        <w:b/>
        <w:bCs/>
        <w:color w:val="F00000"/>
        <w:sz w:val="24"/>
      </w:rPr>
      <w:t xml:space="preserve"> </w:t>
    </w:r>
    <w:r>
      <w:rPr>
        <w:b/>
        <w:bCs/>
      </w:rPr>
      <w:fldChar w:fldCharType="end"/>
    </w:r>
  </w:p>
  <w:p w14:paraId="078BFDE4" w14:textId="42393F9F" w:rsidR="00DF510F" w:rsidRDefault="00DF510F">
    <w:pPr>
      <w:pStyle w:val="Header"/>
      <w:jc w:val="center"/>
      <w:rPr>
        <w:b/>
        <w:bCs/>
      </w:rPr>
    </w:pPr>
    <w:r>
      <w:rPr>
        <w:b/>
        <w:bCs/>
      </w:rPr>
      <w:t>BOARD-IN-CONFIDENCE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9AE30" w14:textId="77777777" w:rsidR="00272CA2" w:rsidRPr="00272CA2" w:rsidRDefault="00272CA2" w:rsidP="00272CA2">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272CA2">
      <w:rPr>
        <w:rFonts w:ascii="Calibri" w:hAnsi="Calibri" w:cs="Calibri"/>
        <w:b/>
        <w:color w:val="F00000"/>
        <w:sz w:val="24"/>
      </w:rPr>
      <w:t>OFFICIAL</w:t>
    </w:r>
  </w:p>
  <w:p w14:paraId="2A5D534A" w14:textId="72EC2C85" w:rsidR="00DF510F" w:rsidRPr="00272CA2" w:rsidRDefault="00272CA2" w:rsidP="00272CA2">
    <w:pPr>
      <w:pStyle w:val="Header"/>
      <w:jc w:val="center"/>
    </w:pPr>
    <w:r w:rsidRPr="00272CA2">
      <w:rPr>
        <w:rFonts w:ascii="Calibri" w:hAnsi="Calibri" w:cs="Calibri"/>
        <w:b/>
        <w:color w:val="F00000"/>
        <w:sz w:val="24"/>
      </w:rPr>
      <w:t xml:space="preserve"> </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84FA" w14:textId="77777777" w:rsidR="00272CA2" w:rsidRPr="00272CA2" w:rsidRDefault="00272CA2" w:rsidP="00272CA2">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272CA2">
      <w:rPr>
        <w:rFonts w:ascii="Calibri" w:hAnsi="Calibri" w:cs="Calibri"/>
        <w:b/>
        <w:bCs/>
        <w:color w:val="F00000"/>
        <w:sz w:val="24"/>
      </w:rPr>
      <w:t>OFFICIAL</w:t>
    </w:r>
  </w:p>
  <w:p w14:paraId="37BF11B1" w14:textId="3C0C2C29" w:rsidR="00272CA2" w:rsidRDefault="00272CA2" w:rsidP="00272CA2">
    <w:pPr>
      <w:pStyle w:val="Header"/>
      <w:jc w:val="center"/>
      <w:rPr>
        <w:b/>
        <w:bCs/>
      </w:rPr>
    </w:pPr>
    <w:r w:rsidRPr="00272CA2">
      <w:rPr>
        <w:rFonts w:ascii="Calibri" w:hAnsi="Calibri" w:cs="Calibri"/>
        <w:b/>
        <w:bCs/>
        <w:color w:val="F00000"/>
        <w:sz w:val="24"/>
      </w:rPr>
      <w:t xml:space="preserve"> </w:t>
    </w:r>
    <w:r>
      <w:rPr>
        <w:b/>
        <w:bCs/>
      </w:rPr>
      <w:fldChar w:fldCharType="end"/>
    </w:r>
  </w:p>
  <w:p w14:paraId="3FB005B8" w14:textId="424DA4FB" w:rsidR="00DF510F" w:rsidRDefault="00DF510F">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F2E4B"/>
    <w:multiLevelType w:val="hybridMultilevel"/>
    <w:tmpl w:val="968AC7FE"/>
    <w:lvl w:ilvl="0" w:tplc="E1A4DE10">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3F605B7"/>
    <w:multiLevelType w:val="hybridMultilevel"/>
    <w:tmpl w:val="EA36CB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1C33A6"/>
    <w:multiLevelType w:val="hybridMultilevel"/>
    <w:tmpl w:val="6448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938FB"/>
    <w:multiLevelType w:val="multilevel"/>
    <w:tmpl w:val="84EE10C2"/>
    <w:lvl w:ilvl="0">
      <w:start w:val="2"/>
      <w:numFmt w:val="decimal"/>
      <w:lvlText w:val="%1"/>
      <w:lvlJc w:val="left"/>
      <w:pPr>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0BC1D79"/>
    <w:multiLevelType w:val="hybridMultilevel"/>
    <w:tmpl w:val="A93AC28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77807E1"/>
    <w:multiLevelType w:val="hybridMultilevel"/>
    <w:tmpl w:val="38B86AB8"/>
    <w:lvl w:ilvl="0" w:tplc="0652BB5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5580B"/>
    <w:multiLevelType w:val="multilevel"/>
    <w:tmpl w:val="F5D0CE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2B3811"/>
    <w:multiLevelType w:val="hybridMultilevel"/>
    <w:tmpl w:val="4A703842"/>
    <w:lvl w:ilvl="0" w:tplc="A440CB4C">
      <w:numFmt w:val="bullet"/>
      <w:pStyle w:val="Dash"/>
      <w:lvlText w:val="-"/>
      <w:lvlJc w:val="left"/>
      <w:pPr>
        <w:tabs>
          <w:tab w:val="num" w:pos="583"/>
        </w:tabs>
        <w:ind w:left="583" w:hanging="360"/>
      </w:pPr>
      <w:rPr>
        <w:rFonts w:ascii="Times New Roman" w:eastAsia="Times New Roman" w:hAnsi="Times New Roman" w:cs="Times New Roman" w:hint="default"/>
      </w:rPr>
    </w:lvl>
    <w:lvl w:ilvl="1" w:tplc="9BCA2148" w:tentative="1">
      <w:start w:val="1"/>
      <w:numFmt w:val="bullet"/>
      <w:lvlText w:val="o"/>
      <w:lvlJc w:val="left"/>
      <w:pPr>
        <w:tabs>
          <w:tab w:val="num" w:pos="1440"/>
        </w:tabs>
        <w:ind w:left="1440" w:hanging="360"/>
      </w:pPr>
      <w:rPr>
        <w:rFonts w:ascii="Courier New" w:hAnsi="Courier New" w:cs="Courier New" w:hint="default"/>
      </w:rPr>
    </w:lvl>
    <w:lvl w:ilvl="2" w:tplc="07F6C9BC" w:tentative="1">
      <w:start w:val="1"/>
      <w:numFmt w:val="bullet"/>
      <w:lvlText w:val=""/>
      <w:lvlJc w:val="left"/>
      <w:pPr>
        <w:tabs>
          <w:tab w:val="num" w:pos="2160"/>
        </w:tabs>
        <w:ind w:left="2160" w:hanging="360"/>
      </w:pPr>
      <w:rPr>
        <w:rFonts w:ascii="Wingdings" w:hAnsi="Wingdings" w:hint="default"/>
      </w:rPr>
    </w:lvl>
    <w:lvl w:ilvl="3" w:tplc="E60CD978" w:tentative="1">
      <w:start w:val="1"/>
      <w:numFmt w:val="bullet"/>
      <w:lvlText w:val=""/>
      <w:lvlJc w:val="left"/>
      <w:pPr>
        <w:tabs>
          <w:tab w:val="num" w:pos="2880"/>
        </w:tabs>
        <w:ind w:left="2880" w:hanging="360"/>
      </w:pPr>
      <w:rPr>
        <w:rFonts w:ascii="Symbol" w:hAnsi="Symbol" w:hint="default"/>
      </w:rPr>
    </w:lvl>
    <w:lvl w:ilvl="4" w:tplc="65780D44" w:tentative="1">
      <w:start w:val="1"/>
      <w:numFmt w:val="bullet"/>
      <w:lvlText w:val="o"/>
      <w:lvlJc w:val="left"/>
      <w:pPr>
        <w:tabs>
          <w:tab w:val="num" w:pos="3600"/>
        </w:tabs>
        <w:ind w:left="3600" w:hanging="360"/>
      </w:pPr>
      <w:rPr>
        <w:rFonts w:ascii="Courier New" w:hAnsi="Courier New" w:cs="Courier New" w:hint="default"/>
      </w:rPr>
    </w:lvl>
    <w:lvl w:ilvl="5" w:tplc="4E50DEF0" w:tentative="1">
      <w:start w:val="1"/>
      <w:numFmt w:val="bullet"/>
      <w:lvlText w:val=""/>
      <w:lvlJc w:val="left"/>
      <w:pPr>
        <w:tabs>
          <w:tab w:val="num" w:pos="4320"/>
        </w:tabs>
        <w:ind w:left="4320" w:hanging="360"/>
      </w:pPr>
      <w:rPr>
        <w:rFonts w:ascii="Wingdings" w:hAnsi="Wingdings" w:hint="default"/>
      </w:rPr>
    </w:lvl>
    <w:lvl w:ilvl="6" w:tplc="1CCC1B14" w:tentative="1">
      <w:start w:val="1"/>
      <w:numFmt w:val="bullet"/>
      <w:lvlText w:val=""/>
      <w:lvlJc w:val="left"/>
      <w:pPr>
        <w:tabs>
          <w:tab w:val="num" w:pos="5040"/>
        </w:tabs>
        <w:ind w:left="5040" w:hanging="360"/>
      </w:pPr>
      <w:rPr>
        <w:rFonts w:ascii="Symbol" w:hAnsi="Symbol" w:hint="default"/>
      </w:rPr>
    </w:lvl>
    <w:lvl w:ilvl="7" w:tplc="3BE05FB4" w:tentative="1">
      <w:start w:val="1"/>
      <w:numFmt w:val="bullet"/>
      <w:lvlText w:val="o"/>
      <w:lvlJc w:val="left"/>
      <w:pPr>
        <w:tabs>
          <w:tab w:val="num" w:pos="5760"/>
        </w:tabs>
        <w:ind w:left="5760" w:hanging="360"/>
      </w:pPr>
      <w:rPr>
        <w:rFonts w:ascii="Courier New" w:hAnsi="Courier New" w:cs="Courier New" w:hint="default"/>
      </w:rPr>
    </w:lvl>
    <w:lvl w:ilvl="8" w:tplc="07EE87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6" w15:restartNumberingAfterBreak="0">
    <w:nsid w:val="74B053AF"/>
    <w:multiLevelType w:val="multilevel"/>
    <w:tmpl w:val="41E43B7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2"/>
  </w:num>
  <w:num w:numId="4">
    <w:abstractNumId w:val="14"/>
  </w:num>
  <w:num w:numId="5">
    <w:abstractNumId w:val="4"/>
  </w:num>
  <w:num w:numId="6">
    <w:abstractNumId w:val="0"/>
  </w:num>
  <w:num w:numId="7">
    <w:abstractNumId w:val="8"/>
  </w:num>
  <w:num w:numId="8">
    <w:abstractNumId w:val="16"/>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9"/>
  </w:num>
  <w:num w:numId="20">
    <w:abstractNumId w:val="13"/>
  </w:num>
  <w:num w:numId="21">
    <w:abstractNumId w:val="11"/>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carnitine&lt;/item&gt;&lt;item&gt;infant formula&lt;/item&gt;&lt;/Libraries&gt;&lt;/ENLibraries&gt;"/>
  </w:docVars>
  <w:rsids>
    <w:rsidRoot w:val="005F7342"/>
    <w:rsid w:val="000000AA"/>
    <w:rsid w:val="00000472"/>
    <w:rsid w:val="0000110D"/>
    <w:rsid w:val="000015D0"/>
    <w:rsid w:val="000019E5"/>
    <w:rsid w:val="00001CF2"/>
    <w:rsid w:val="00001DE8"/>
    <w:rsid w:val="00002105"/>
    <w:rsid w:val="0000247B"/>
    <w:rsid w:val="00002971"/>
    <w:rsid w:val="00003282"/>
    <w:rsid w:val="0000469B"/>
    <w:rsid w:val="00004A0F"/>
    <w:rsid w:val="0001002F"/>
    <w:rsid w:val="0001161C"/>
    <w:rsid w:val="00011C4D"/>
    <w:rsid w:val="0001367A"/>
    <w:rsid w:val="00013A74"/>
    <w:rsid w:val="00014690"/>
    <w:rsid w:val="000149F0"/>
    <w:rsid w:val="00015126"/>
    <w:rsid w:val="00015F27"/>
    <w:rsid w:val="0001725C"/>
    <w:rsid w:val="000205BC"/>
    <w:rsid w:val="00020B46"/>
    <w:rsid w:val="00021BB8"/>
    <w:rsid w:val="00022839"/>
    <w:rsid w:val="00022D83"/>
    <w:rsid w:val="0002337A"/>
    <w:rsid w:val="00024FAF"/>
    <w:rsid w:val="00025623"/>
    <w:rsid w:val="00030D96"/>
    <w:rsid w:val="00031CA9"/>
    <w:rsid w:val="00033346"/>
    <w:rsid w:val="00033C81"/>
    <w:rsid w:val="00034CF3"/>
    <w:rsid w:val="00034E2D"/>
    <w:rsid w:val="000354B4"/>
    <w:rsid w:val="00035FF3"/>
    <w:rsid w:val="00036B77"/>
    <w:rsid w:val="00036D61"/>
    <w:rsid w:val="00036DC3"/>
    <w:rsid w:val="00037027"/>
    <w:rsid w:val="00040550"/>
    <w:rsid w:val="0004091B"/>
    <w:rsid w:val="00041F10"/>
    <w:rsid w:val="0004339A"/>
    <w:rsid w:val="00043FAC"/>
    <w:rsid w:val="00045D4F"/>
    <w:rsid w:val="00046D9D"/>
    <w:rsid w:val="0004700A"/>
    <w:rsid w:val="0005001E"/>
    <w:rsid w:val="00051021"/>
    <w:rsid w:val="00051151"/>
    <w:rsid w:val="00051CB0"/>
    <w:rsid w:val="00051D1E"/>
    <w:rsid w:val="00051ED9"/>
    <w:rsid w:val="00052DFC"/>
    <w:rsid w:val="00052EAD"/>
    <w:rsid w:val="000531E1"/>
    <w:rsid w:val="00053B01"/>
    <w:rsid w:val="000540A2"/>
    <w:rsid w:val="00054C67"/>
    <w:rsid w:val="00057181"/>
    <w:rsid w:val="000609CE"/>
    <w:rsid w:val="00062FEC"/>
    <w:rsid w:val="00064025"/>
    <w:rsid w:val="00064479"/>
    <w:rsid w:val="0006473A"/>
    <w:rsid w:val="00064B2D"/>
    <w:rsid w:val="00064C66"/>
    <w:rsid w:val="000651C8"/>
    <w:rsid w:val="00065F1F"/>
    <w:rsid w:val="00066634"/>
    <w:rsid w:val="00067BCD"/>
    <w:rsid w:val="00070342"/>
    <w:rsid w:val="00071654"/>
    <w:rsid w:val="0007209C"/>
    <w:rsid w:val="00072A69"/>
    <w:rsid w:val="00074E32"/>
    <w:rsid w:val="00076D33"/>
    <w:rsid w:val="00077096"/>
    <w:rsid w:val="00077DFB"/>
    <w:rsid w:val="00083B86"/>
    <w:rsid w:val="00085A2E"/>
    <w:rsid w:val="00085EA5"/>
    <w:rsid w:val="000860A0"/>
    <w:rsid w:val="000862BB"/>
    <w:rsid w:val="000863B7"/>
    <w:rsid w:val="00087466"/>
    <w:rsid w:val="00087D37"/>
    <w:rsid w:val="00090224"/>
    <w:rsid w:val="0009094F"/>
    <w:rsid w:val="000912B9"/>
    <w:rsid w:val="0009263C"/>
    <w:rsid w:val="00092CDA"/>
    <w:rsid w:val="00094252"/>
    <w:rsid w:val="0009473A"/>
    <w:rsid w:val="00095F19"/>
    <w:rsid w:val="00096258"/>
    <w:rsid w:val="00096392"/>
    <w:rsid w:val="00096531"/>
    <w:rsid w:val="000A20B4"/>
    <w:rsid w:val="000A22ED"/>
    <w:rsid w:val="000A2359"/>
    <w:rsid w:val="000A27E9"/>
    <w:rsid w:val="000A2A84"/>
    <w:rsid w:val="000A35B0"/>
    <w:rsid w:val="000A3D8B"/>
    <w:rsid w:val="000A4AA7"/>
    <w:rsid w:val="000A507B"/>
    <w:rsid w:val="000A5B37"/>
    <w:rsid w:val="000A5DF8"/>
    <w:rsid w:val="000A6D8B"/>
    <w:rsid w:val="000A71DC"/>
    <w:rsid w:val="000A7E2C"/>
    <w:rsid w:val="000B283C"/>
    <w:rsid w:val="000B337B"/>
    <w:rsid w:val="000B54B1"/>
    <w:rsid w:val="000B5576"/>
    <w:rsid w:val="000B6AF2"/>
    <w:rsid w:val="000B73AC"/>
    <w:rsid w:val="000B7500"/>
    <w:rsid w:val="000B7646"/>
    <w:rsid w:val="000B7678"/>
    <w:rsid w:val="000C0D2B"/>
    <w:rsid w:val="000C1526"/>
    <w:rsid w:val="000C51DC"/>
    <w:rsid w:val="000C5374"/>
    <w:rsid w:val="000C57B3"/>
    <w:rsid w:val="000D11C2"/>
    <w:rsid w:val="000D1653"/>
    <w:rsid w:val="000D1FDB"/>
    <w:rsid w:val="000D2165"/>
    <w:rsid w:val="000D4193"/>
    <w:rsid w:val="000D4826"/>
    <w:rsid w:val="000D4851"/>
    <w:rsid w:val="000D489E"/>
    <w:rsid w:val="000D5884"/>
    <w:rsid w:val="000D62D4"/>
    <w:rsid w:val="000D68A0"/>
    <w:rsid w:val="000D6921"/>
    <w:rsid w:val="000D692C"/>
    <w:rsid w:val="000D6FD4"/>
    <w:rsid w:val="000E0AE4"/>
    <w:rsid w:val="000E1AE9"/>
    <w:rsid w:val="000E2586"/>
    <w:rsid w:val="000E2B24"/>
    <w:rsid w:val="000E372D"/>
    <w:rsid w:val="000E3DBC"/>
    <w:rsid w:val="000E4DE9"/>
    <w:rsid w:val="000E56B5"/>
    <w:rsid w:val="000E5F70"/>
    <w:rsid w:val="000E6E55"/>
    <w:rsid w:val="000E6EB3"/>
    <w:rsid w:val="000E74FB"/>
    <w:rsid w:val="000E7DBF"/>
    <w:rsid w:val="000F21DE"/>
    <w:rsid w:val="000F29F2"/>
    <w:rsid w:val="000F2A09"/>
    <w:rsid w:val="000F2C97"/>
    <w:rsid w:val="000F41DF"/>
    <w:rsid w:val="000F5F74"/>
    <w:rsid w:val="000F609E"/>
    <w:rsid w:val="000F61B6"/>
    <w:rsid w:val="000F67B0"/>
    <w:rsid w:val="000F6857"/>
    <w:rsid w:val="000F6FD4"/>
    <w:rsid w:val="000F75B4"/>
    <w:rsid w:val="00100705"/>
    <w:rsid w:val="00101D3C"/>
    <w:rsid w:val="00103A04"/>
    <w:rsid w:val="001054DA"/>
    <w:rsid w:val="00106099"/>
    <w:rsid w:val="001102CF"/>
    <w:rsid w:val="00110A2D"/>
    <w:rsid w:val="00110AB7"/>
    <w:rsid w:val="00110BAF"/>
    <w:rsid w:val="00110BCB"/>
    <w:rsid w:val="0011103B"/>
    <w:rsid w:val="0011192E"/>
    <w:rsid w:val="001130FC"/>
    <w:rsid w:val="001131F9"/>
    <w:rsid w:val="00113CE3"/>
    <w:rsid w:val="00114760"/>
    <w:rsid w:val="00115445"/>
    <w:rsid w:val="00115BF7"/>
    <w:rsid w:val="001174AB"/>
    <w:rsid w:val="00117522"/>
    <w:rsid w:val="00117930"/>
    <w:rsid w:val="001243E8"/>
    <w:rsid w:val="00124C2D"/>
    <w:rsid w:val="00127236"/>
    <w:rsid w:val="00127623"/>
    <w:rsid w:val="00127B0F"/>
    <w:rsid w:val="00131418"/>
    <w:rsid w:val="001326D3"/>
    <w:rsid w:val="001329A0"/>
    <w:rsid w:val="001336E9"/>
    <w:rsid w:val="0013396F"/>
    <w:rsid w:val="00134C9A"/>
    <w:rsid w:val="0013570C"/>
    <w:rsid w:val="00135A0D"/>
    <w:rsid w:val="001363B1"/>
    <w:rsid w:val="001363FE"/>
    <w:rsid w:val="00136CAC"/>
    <w:rsid w:val="00136DFB"/>
    <w:rsid w:val="00137205"/>
    <w:rsid w:val="0013745B"/>
    <w:rsid w:val="00142B27"/>
    <w:rsid w:val="001436C4"/>
    <w:rsid w:val="00143C25"/>
    <w:rsid w:val="0014419A"/>
    <w:rsid w:val="001511DD"/>
    <w:rsid w:val="00151BCA"/>
    <w:rsid w:val="0015288C"/>
    <w:rsid w:val="00153186"/>
    <w:rsid w:val="001542D8"/>
    <w:rsid w:val="0015469D"/>
    <w:rsid w:val="00154C8C"/>
    <w:rsid w:val="00160E7F"/>
    <w:rsid w:val="00161F83"/>
    <w:rsid w:val="00162A7F"/>
    <w:rsid w:val="00162EE0"/>
    <w:rsid w:val="00166F23"/>
    <w:rsid w:val="00166F86"/>
    <w:rsid w:val="001671D3"/>
    <w:rsid w:val="001716AB"/>
    <w:rsid w:val="0017182C"/>
    <w:rsid w:val="00171B96"/>
    <w:rsid w:val="00171EF5"/>
    <w:rsid w:val="001721FD"/>
    <w:rsid w:val="00172D38"/>
    <w:rsid w:val="001739A5"/>
    <w:rsid w:val="001745B8"/>
    <w:rsid w:val="00176CCB"/>
    <w:rsid w:val="00177356"/>
    <w:rsid w:val="00180220"/>
    <w:rsid w:val="00180C41"/>
    <w:rsid w:val="0018202A"/>
    <w:rsid w:val="0018271E"/>
    <w:rsid w:val="00182C4C"/>
    <w:rsid w:val="00183394"/>
    <w:rsid w:val="001838A1"/>
    <w:rsid w:val="0018647A"/>
    <w:rsid w:val="00186510"/>
    <w:rsid w:val="00186739"/>
    <w:rsid w:val="001902D2"/>
    <w:rsid w:val="001922B6"/>
    <w:rsid w:val="00194EA2"/>
    <w:rsid w:val="0019666A"/>
    <w:rsid w:val="00197D8D"/>
    <w:rsid w:val="001A17EA"/>
    <w:rsid w:val="001A1A75"/>
    <w:rsid w:val="001A2D64"/>
    <w:rsid w:val="001A319B"/>
    <w:rsid w:val="001A4B36"/>
    <w:rsid w:val="001A4D4C"/>
    <w:rsid w:val="001A56A7"/>
    <w:rsid w:val="001A5F34"/>
    <w:rsid w:val="001A7E9A"/>
    <w:rsid w:val="001B0756"/>
    <w:rsid w:val="001B2D61"/>
    <w:rsid w:val="001B33F4"/>
    <w:rsid w:val="001B3AAD"/>
    <w:rsid w:val="001B4349"/>
    <w:rsid w:val="001B4761"/>
    <w:rsid w:val="001B4BB4"/>
    <w:rsid w:val="001B4D18"/>
    <w:rsid w:val="001B5D3E"/>
    <w:rsid w:val="001B6310"/>
    <w:rsid w:val="001B645D"/>
    <w:rsid w:val="001B7D3D"/>
    <w:rsid w:val="001C1FF2"/>
    <w:rsid w:val="001C212A"/>
    <w:rsid w:val="001C2221"/>
    <w:rsid w:val="001C2439"/>
    <w:rsid w:val="001C27A3"/>
    <w:rsid w:val="001C4458"/>
    <w:rsid w:val="001C4FCF"/>
    <w:rsid w:val="001C5295"/>
    <w:rsid w:val="001C5F14"/>
    <w:rsid w:val="001C6C6F"/>
    <w:rsid w:val="001C72EA"/>
    <w:rsid w:val="001C79C6"/>
    <w:rsid w:val="001D1445"/>
    <w:rsid w:val="001D21E2"/>
    <w:rsid w:val="001D2F80"/>
    <w:rsid w:val="001D33DC"/>
    <w:rsid w:val="001D54D9"/>
    <w:rsid w:val="001D6329"/>
    <w:rsid w:val="001D678D"/>
    <w:rsid w:val="001D77F5"/>
    <w:rsid w:val="001D7AFC"/>
    <w:rsid w:val="001D7D9C"/>
    <w:rsid w:val="001E09FA"/>
    <w:rsid w:val="001E2DEE"/>
    <w:rsid w:val="001E40E7"/>
    <w:rsid w:val="001E4272"/>
    <w:rsid w:val="001E62A4"/>
    <w:rsid w:val="001E66AF"/>
    <w:rsid w:val="001E71EF"/>
    <w:rsid w:val="001E735F"/>
    <w:rsid w:val="001F0D5C"/>
    <w:rsid w:val="001F4F2E"/>
    <w:rsid w:val="001F61CE"/>
    <w:rsid w:val="001F61F1"/>
    <w:rsid w:val="001F62FB"/>
    <w:rsid w:val="001F748E"/>
    <w:rsid w:val="001F74EC"/>
    <w:rsid w:val="001F778E"/>
    <w:rsid w:val="002000C8"/>
    <w:rsid w:val="00200FB1"/>
    <w:rsid w:val="002019F9"/>
    <w:rsid w:val="00203540"/>
    <w:rsid w:val="0020527B"/>
    <w:rsid w:val="00207C64"/>
    <w:rsid w:val="00210620"/>
    <w:rsid w:val="00210D34"/>
    <w:rsid w:val="002110EE"/>
    <w:rsid w:val="002126D2"/>
    <w:rsid w:val="00213020"/>
    <w:rsid w:val="00214289"/>
    <w:rsid w:val="002144FF"/>
    <w:rsid w:val="0021612B"/>
    <w:rsid w:val="002163C9"/>
    <w:rsid w:val="002166D5"/>
    <w:rsid w:val="00216AD6"/>
    <w:rsid w:val="00216C33"/>
    <w:rsid w:val="00216C73"/>
    <w:rsid w:val="00217A26"/>
    <w:rsid w:val="0022083A"/>
    <w:rsid w:val="00221A11"/>
    <w:rsid w:val="00221D07"/>
    <w:rsid w:val="00222D4A"/>
    <w:rsid w:val="002231ED"/>
    <w:rsid w:val="00223454"/>
    <w:rsid w:val="00223586"/>
    <w:rsid w:val="00224011"/>
    <w:rsid w:val="0022475B"/>
    <w:rsid w:val="00226EED"/>
    <w:rsid w:val="00227E4A"/>
    <w:rsid w:val="00231466"/>
    <w:rsid w:val="0023146A"/>
    <w:rsid w:val="00231979"/>
    <w:rsid w:val="0023332F"/>
    <w:rsid w:val="002337A6"/>
    <w:rsid w:val="00233978"/>
    <w:rsid w:val="002347DE"/>
    <w:rsid w:val="00235527"/>
    <w:rsid w:val="002358CC"/>
    <w:rsid w:val="00235E13"/>
    <w:rsid w:val="002366FE"/>
    <w:rsid w:val="002373BF"/>
    <w:rsid w:val="00240036"/>
    <w:rsid w:val="00240F59"/>
    <w:rsid w:val="00242EDF"/>
    <w:rsid w:val="00243464"/>
    <w:rsid w:val="0024513C"/>
    <w:rsid w:val="002452DB"/>
    <w:rsid w:val="0024582E"/>
    <w:rsid w:val="00245C03"/>
    <w:rsid w:val="00245C56"/>
    <w:rsid w:val="0024638C"/>
    <w:rsid w:val="00250DE2"/>
    <w:rsid w:val="00250E2F"/>
    <w:rsid w:val="0025118C"/>
    <w:rsid w:val="002524AF"/>
    <w:rsid w:val="00253DB2"/>
    <w:rsid w:val="00254714"/>
    <w:rsid w:val="002547A2"/>
    <w:rsid w:val="002547EF"/>
    <w:rsid w:val="002562CA"/>
    <w:rsid w:val="002565CE"/>
    <w:rsid w:val="00256D65"/>
    <w:rsid w:val="00261E5F"/>
    <w:rsid w:val="002639B4"/>
    <w:rsid w:val="00265AC5"/>
    <w:rsid w:val="00265B32"/>
    <w:rsid w:val="00266A6E"/>
    <w:rsid w:val="00271F00"/>
    <w:rsid w:val="0027280B"/>
    <w:rsid w:val="00272CA2"/>
    <w:rsid w:val="00273A80"/>
    <w:rsid w:val="0027489D"/>
    <w:rsid w:val="002757F3"/>
    <w:rsid w:val="00276828"/>
    <w:rsid w:val="002772C9"/>
    <w:rsid w:val="00277AF5"/>
    <w:rsid w:val="00277ED9"/>
    <w:rsid w:val="0028662F"/>
    <w:rsid w:val="002879A8"/>
    <w:rsid w:val="00290D02"/>
    <w:rsid w:val="0029204E"/>
    <w:rsid w:val="00292EAC"/>
    <w:rsid w:val="00295096"/>
    <w:rsid w:val="00295471"/>
    <w:rsid w:val="0029631C"/>
    <w:rsid w:val="0029743C"/>
    <w:rsid w:val="002978AD"/>
    <w:rsid w:val="002A0194"/>
    <w:rsid w:val="002A1E46"/>
    <w:rsid w:val="002A1EDD"/>
    <w:rsid w:val="002A200C"/>
    <w:rsid w:val="002A2AA1"/>
    <w:rsid w:val="002A3314"/>
    <w:rsid w:val="002A4435"/>
    <w:rsid w:val="002A4E6D"/>
    <w:rsid w:val="002A5962"/>
    <w:rsid w:val="002A5F8B"/>
    <w:rsid w:val="002A668C"/>
    <w:rsid w:val="002A6B5B"/>
    <w:rsid w:val="002A6D5D"/>
    <w:rsid w:val="002A783E"/>
    <w:rsid w:val="002A7F6C"/>
    <w:rsid w:val="002B04F2"/>
    <w:rsid w:val="002B3C9C"/>
    <w:rsid w:val="002B6077"/>
    <w:rsid w:val="002B642C"/>
    <w:rsid w:val="002B6A62"/>
    <w:rsid w:val="002B6E00"/>
    <w:rsid w:val="002B7577"/>
    <w:rsid w:val="002C0B53"/>
    <w:rsid w:val="002C16E5"/>
    <w:rsid w:val="002C1D89"/>
    <w:rsid w:val="002C333B"/>
    <w:rsid w:val="002C5AF6"/>
    <w:rsid w:val="002C6910"/>
    <w:rsid w:val="002C738C"/>
    <w:rsid w:val="002D00F2"/>
    <w:rsid w:val="002D0CD9"/>
    <w:rsid w:val="002D1339"/>
    <w:rsid w:val="002D2C2D"/>
    <w:rsid w:val="002D591B"/>
    <w:rsid w:val="002D5A83"/>
    <w:rsid w:val="002D611D"/>
    <w:rsid w:val="002D6809"/>
    <w:rsid w:val="002D7070"/>
    <w:rsid w:val="002E2935"/>
    <w:rsid w:val="002E2EC0"/>
    <w:rsid w:val="002E3A76"/>
    <w:rsid w:val="002E415D"/>
    <w:rsid w:val="002E4AB9"/>
    <w:rsid w:val="002E5BC8"/>
    <w:rsid w:val="002E6D41"/>
    <w:rsid w:val="002E7A70"/>
    <w:rsid w:val="002F010F"/>
    <w:rsid w:val="002F04F6"/>
    <w:rsid w:val="002F07E6"/>
    <w:rsid w:val="002F1B37"/>
    <w:rsid w:val="002F3140"/>
    <w:rsid w:val="002F3BD0"/>
    <w:rsid w:val="002F4C4B"/>
    <w:rsid w:val="002F4EA9"/>
    <w:rsid w:val="002F5E2B"/>
    <w:rsid w:val="002F6488"/>
    <w:rsid w:val="003003F5"/>
    <w:rsid w:val="003019DD"/>
    <w:rsid w:val="00301FA3"/>
    <w:rsid w:val="00302723"/>
    <w:rsid w:val="00302936"/>
    <w:rsid w:val="0030318B"/>
    <w:rsid w:val="00303FA6"/>
    <w:rsid w:val="00304021"/>
    <w:rsid w:val="00304914"/>
    <w:rsid w:val="00304D98"/>
    <w:rsid w:val="00305765"/>
    <w:rsid w:val="0030584B"/>
    <w:rsid w:val="003063AF"/>
    <w:rsid w:val="00306E9F"/>
    <w:rsid w:val="003070E6"/>
    <w:rsid w:val="00307D38"/>
    <w:rsid w:val="003108DB"/>
    <w:rsid w:val="00310B73"/>
    <w:rsid w:val="00311EF1"/>
    <w:rsid w:val="00311FB1"/>
    <w:rsid w:val="003121BC"/>
    <w:rsid w:val="00312DC1"/>
    <w:rsid w:val="0031340A"/>
    <w:rsid w:val="00313BA1"/>
    <w:rsid w:val="003161AB"/>
    <w:rsid w:val="003174B4"/>
    <w:rsid w:val="00317851"/>
    <w:rsid w:val="00320157"/>
    <w:rsid w:val="00320839"/>
    <w:rsid w:val="003213F9"/>
    <w:rsid w:val="003237DC"/>
    <w:rsid w:val="00323DBF"/>
    <w:rsid w:val="00324651"/>
    <w:rsid w:val="003263B4"/>
    <w:rsid w:val="00327353"/>
    <w:rsid w:val="00327F31"/>
    <w:rsid w:val="003309A8"/>
    <w:rsid w:val="00330E80"/>
    <w:rsid w:val="00331040"/>
    <w:rsid w:val="00332338"/>
    <w:rsid w:val="00332B12"/>
    <w:rsid w:val="00332D97"/>
    <w:rsid w:val="00335B1F"/>
    <w:rsid w:val="003370FE"/>
    <w:rsid w:val="003400CD"/>
    <w:rsid w:val="00341A96"/>
    <w:rsid w:val="00341AB7"/>
    <w:rsid w:val="00341DE4"/>
    <w:rsid w:val="00341DFA"/>
    <w:rsid w:val="00343B3B"/>
    <w:rsid w:val="00343BF6"/>
    <w:rsid w:val="00343FA6"/>
    <w:rsid w:val="00344210"/>
    <w:rsid w:val="00344264"/>
    <w:rsid w:val="003442BD"/>
    <w:rsid w:val="00344903"/>
    <w:rsid w:val="0034604C"/>
    <w:rsid w:val="003460E8"/>
    <w:rsid w:val="003461A6"/>
    <w:rsid w:val="00346248"/>
    <w:rsid w:val="00347F2E"/>
    <w:rsid w:val="00350307"/>
    <w:rsid w:val="00350660"/>
    <w:rsid w:val="00351B07"/>
    <w:rsid w:val="00352CF2"/>
    <w:rsid w:val="003532B3"/>
    <w:rsid w:val="00354296"/>
    <w:rsid w:val="00354544"/>
    <w:rsid w:val="00354994"/>
    <w:rsid w:val="0035523C"/>
    <w:rsid w:val="00356650"/>
    <w:rsid w:val="00357E2E"/>
    <w:rsid w:val="00360CA4"/>
    <w:rsid w:val="00360FE8"/>
    <w:rsid w:val="00361459"/>
    <w:rsid w:val="00362875"/>
    <w:rsid w:val="00362A73"/>
    <w:rsid w:val="00362DFE"/>
    <w:rsid w:val="00363854"/>
    <w:rsid w:val="00364841"/>
    <w:rsid w:val="00364DA1"/>
    <w:rsid w:val="00365DC5"/>
    <w:rsid w:val="00371616"/>
    <w:rsid w:val="00371B29"/>
    <w:rsid w:val="00371F51"/>
    <w:rsid w:val="00372A71"/>
    <w:rsid w:val="00372BB8"/>
    <w:rsid w:val="00373ED7"/>
    <w:rsid w:val="0037656B"/>
    <w:rsid w:val="003769C6"/>
    <w:rsid w:val="00376A54"/>
    <w:rsid w:val="00377B8D"/>
    <w:rsid w:val="00377E44"/>
    <w:rsid w:val="003802B5"/>
    <w:rsid w:val="003818BF"/>
    <w:rsid w:val="00381A94"/>
    <w:rsid w:val="00383834"/>
    <w:rsid w:val="00383DEC"/>
    <w:rsid w:val="003847D4"/>
    <w:rsid w:val="00386695"/>
    <w:rsid w:val="0038675C"/>
    <w:rsid w:val="00386B8B"/>
    <w:rsid w:val="00386F52"/>
    <w:rsid w:val="00387C45"/>
    <w:rsid w:val="0039025C"/>
    <w:rsid w:val="0039089A"/>
    <w:rsid w:val="00391769"/>
    <w:rsid w:val="00391D4E"/>
    <w:rsid w:val="00393292"/>
    <w:rsid w:val="00393F4E"/>
    <w:rsid w:val="003948ED"/>
    <w:rsid w:val="003953E1"/>
    <w:rsid w:val="0039552A"/>
    <w:rsid w:val="003955D9"/>
    <w:rsid w:val="003956B3"/>
    <w:rsid w:val="0039594F"/>
    <w:rsid w:val="00395A91"/>
    <w:rsid w:val="00395B4F"/>
    <w:rsid w:val="00397B50"/>
    <w:rsid w:val="00397EDE"/>
    <w:rsid w:val="003A1616"/>
    <w:rsid w:val="003A3208"/>
    <w:rsid w:val="003A345E"/>
    <w:rsid w:val="003A46AC"/>
    <w:rsid w:val="003A53DB"/>
    <w:rsid w:val="003A5EB8"/>
    <w:rsid w:val="003A68BE"/>
    <w:rsid w:val="003A72CF"/>
    <w:rsid w:val="003B0C9C"/>
    <w:rsid w:val="003B1293"/>
    <w:rsid w:val="003B1805"/>
    <w:rsid w:val="003B2321"/>
    <w:rsid w:val="003B2878"/>
    <w:rsid w:val="003B2CF8"/>
    <w:rsid w:val="003B30BA"/>
    <w:rsid w:val="003B3C9D"/>
    <w:rsid w:val="003B4D05"/>
    <w:rsid w:val="003B6CB3"/>
    <w:rsid w:val="003B71FF"/>
    <w:rsid w:val="003B78E0"/>
    <w:rsid w:val="003B7E25"/>
    <w:rsid w:val="003C0BF4"/>
    <w:rsid w:val="003C0E50"/>
    <w:rsid w:val="003C4969"/>
    <w:rsid w:val="003C52D3"/>
    <w:rsid w:val="003C6618"/>
    <w:rsid w:val="003C6E5D"/>
    <w:rsid w:val="003C7751"/>
    <w:rsid w:val="003D04B4"/>
    <w:rsid w:val="003D070B"/>
    <w:rsid w:val="003D0D8C"/>
    <w:rsid w:val="003D192D"/>
    <w:rsid w:val="003D2096"/>
    <w:rsid w:val="003D2D1B"/>
    <w:rsid w:val="003D2FDA"/>
    <w:rsid w:val="003D354D"/>
    <w:rsid w:val="003D498D"/>
    <w:rsid w:val="003D69EA"/>
    <w:rsid w:val="003D7785"/>
    <w:rsid w:val="003D7E6E"/>
    <w:rsid w:val="003E00B9"/>
    <w:rsid w:val="003E0EA0"/>
    <w:rsid w:val="003E194A"/>
    <w:rsid w:val="003E2044"/>
    <w:rsid w:val="003E25B1"/>
    <w:rsid w:val="003E41D5"/>
    <w:rsid w:val="003E46BA"/>
    <w:rsid w:val="003E4895"/>
    <w:rsid w:val="003E57FC"/>
    <w:rsid w:val="003E63AA"/>
    <w:rsid w:val="003E7D22"/>
    <w:rsid w:val="003F0CD5"/>
    <w:rsid w:val="003F175B"/>
    <w:rsid w:val="003F364A"/>
    <w:rsid w:val="003F42BB"/>
    <w:rsid w:val="003F51A9"/>
    <w:rsid w:val="003F642E"/>
    <w:rsid w:val="003F6CFD"/>
    <w:rsid w:val="003F6E3B"/>
    <w:rsid w:val="003F727E"/>
    <w:rsid w:val="003F74C1"/>
    <w:rsid w:val="00400D77"/>
    <w:rsid w:val="00400EE1"/>
    <w:rsid w:val="0040119E"/>
    <w:rsid w:val="00402B84"/>
    <w:rsid w:val="00402CB6"/>
    <w:rsid w:val="004034F2"/>
    <w:rsid w:val="00403757"/>
    <w:rsid w:val="00404150"/>
    <w:rsid w:val="00405B1A"/>
    <w:rsid w:val="004068FD"/>
    <w:rsid w:val="0040778D"/>
    <w:rsid w:val="00407965"/>
    <w:rsid w:val="00407AEB"/>
    <w:rsid w:val="0041003F"/>
    <w:rsid w:val="004105BA"/>
    <w:rsid w:val="00410647"/>
    <w:rsid w:val="00410B5E"/>
    <w:rsid w:val="00410C76"/>
    <w:rsid w:val="0041107F"/>
    <w:rsid w:val="004114DF"/>
    <w:rsid w:val="004116E8"/>
    <w:rsid w:val="00411907"/>
    <w:rsid w:val="00411958"/>
    <w:rsid w:val="00412255"/>
    <w:rsid w:val="00413CA8"/>
    <w:rsid w:val="0041588C"/>
    <w:rsid w:val="00415A2E"/>
    <w:rsid w:val="0041786E"/>
    <w:rsid w:val="00417A37"/>
    <w:rsid w:val="00417E12"/>
    <w:rsid w:val="00417EE3"/>
    <w:rsid w:val="00420098"/>
    <w:rsid w:val="004201EE"/>
    <w:rsid w:val="004207EB"/>
    <w:rsid w:val="0042106A"/>
    <w:rsid w:val="00421363"/>
    <w:rsid w:val="004218FB"/>
    <w:rsid w:val="00422174"/>
    <w:rsid w:val="004226FD"/>
    <w:rsid w:val="00423E3A"/>
    <w:rsid w:val="0042509C"/>
    <w:rsid w:val="00425DAC"/>
    <w:rsid w:val="00425FC9"/>
    <w:rsid w:val="004267E7"/>
    <w:rsid w:val="00426938"/>
    <w:rsid w:val="00427663"/>
    <w:rsid w:val="0043129B"/>
    <w:rsid w:val="004315A4"/>
    <w:rsid w:val="00431CDC"/>
    <w:rsid w:val="00432C61"/>
    <w:rsid w:val="004339FE"/>
    <w:rsid w:val="00434E5D"/>
    <w:rsid w:val="0043501A"/>
    <w:rsid w:val="00435BD1"/>
    <w:rsid w:val="0043664D"/>
    <w:rsid w:val="00436B01"/>
    <w:rsid w:val="00437276"/>
    <w:rsid w:val="00437B61"/>
    <w:rsid w:val="004408AB"/>
    <w:rsid w:val="00440AA2"/>
    <w:rsid w:val="0044180D"/>
    <w:rsid w:val="00443C96"/>
    <w:rsid w:val="00444194"/>
    <w:rsid w:val="00446887"/>
    <w:rsid w:val="004469DE"/>
    <w:rsid w:val="00446D77"/>
    <w:rsid w:val="00450D70"/>
    <w:rsid w:val="00451941"/>
    <w:rsid w:val="0045299E"/>
    <w:rsid w:val="00452A82"/>
    <w:rsid w:val="004538D2"/>
    <w:rsid w:val="004543DE"/>
    <w:rsid w:val="00454A33"/>
    <w:rsid w:val="00454DA0"/>
    <w:rsid w:val="00456549"/>
    <w:rsid w:val="00456B54"/>
    <w:rsid w:val="00457302"/>
    <w:rsid w:val="00460BAF"/>
    <w:rsid w:val="00461F8E"/>
    <w:rsid w:val="00462662"/>
    <w:rsid w:val="004628D1"/>
    <w:rsid w:val="004629A7"/>
    <w:rsid w:val="00464100"/>
    <w:rsid w:val="00464643"/>
    <w:rsid w:val="00464A26"/>
    <w:rsid w:val="00464C0F"/>
    <w:rsid w:val="00464D14"/>
    <w:rsid w:val="00464E1D"/>
    <w:rsid w:val="00465165"/>
    <w:rsid w:val="004651D5"/>
    <w:rsid w:val="00465517"/>
    <w:rsid w:val="004678F3"/>
    <w:rsid w:val="004704C0"/>
    <w:rsid w:val="00470873"/>
    <w:rsid w:val="004716F9"/>
    <w:rsid w:val="00471988"/>
    <w:rsid w:val="004719B0"/>
    <w:rsid w:val="0047268E"/>
    <w:rsid w:val="00474302"/>
    <w:rsid w:val="004746E7"/>
    <w:rsid w:val="004774C6"/>
    <w:rsid w:val="00481014"/>
    <w:rsid w:val="004816CF"/>
    <w:rsid w:val="0048355B"/>
    <w:rsid w:val="0048390B"/>
    <w:rsid w:val="00484548"/>
    <w:rsid w:val="0048574E"/>
    <w:rsid w:val="00485A99"/>
    <w:rsid w:val="00485DC2"/>
    <w:rsid w:val="004861B4"/>
    <w:rsid w:val="004864FA"/>
    <w:rsid w:val="00486793"/>
    <w:rsid w:val="00486D54"/>
    <w:rsid w:val="004909F0"/>
    <w:rsid w:val="0049134F"/>
    <w:rsid w:val="004913E6"/>
    <w:rsid w:val="004934A3"/>
    <w:rsid w:val="00493631"/>
    <w:rsid w:val="00493AC2"/>
    <w:rsid w:val="004954A3"/>
    <w:rsid w:val="00495EF2"/>
    <w:rsid w:val="00497644"/>
    <w:rsid w:val="00497ED2"/>
    <w:rsid w:val="004A08DE"/>
    <w:rsid w:val="004A18C3"/>
    <w:rsid w:val="004A1C83"/>
    <w:rsid w:val="004A2037"/>
    <w:rsid w:val="004A29A0"/>
    <w:rsid w:val="004A3B4F"/>
    <w:rsid w:val="004A3DDE"/>
    <w:rsid w:val="004A4072"/>
    <w:rsid w:val="004A45CE"/>
    <w:rsid w:val="004A6097"/>
    <w:rsid w:val="004A75FF"/>
    <w:rsid w:val="004A7796"/>
    <w:rsid w:val="004B1A20"/>
    <w:rsid w:val="004B1DF8"/>
    <w:rsid w:val="004B1DFA"/>
    <w:rsid w:val="004B20A0"/>
    <w:rsid w:val="004B2A73"/>
    <w:rsid w:val="004B454A"/>
    <w:rsid w:val="004B4876"/>
    <w:rsid w:val="004B49AD"/>
    <w:rsid w:val="004B4D0C"/>
    <w:rsid w:val="004B567B"/>
    <w:rsid w:val="004B6CFC"/>
    <w:rsid w:val="004B7AC0"/>
    <w:rsid w:val="004C03DF"/>
    <w:rsid w:val="004C0742"/>
    <w:rsid w:val="004C0A82"/>
    <w:rsid w:val="004C271D"/>
    <w:rsid w:val="004C2721"/>
    <w:rsid w:val="004C2CE7"/>
    <w:rsid w:val="004C35CB"/>
    <w:rsid w:val="004C3FBC"/>
    <w:rsid w:val="004C40C5"/>
    <w:rsid w:val="004C4333"/>
    <w:rsid w:val="004C5D0A"/>
    <w:rsid w:val="004C5DB3"/>
    <w:rsid w:val="004C637B"/>
    <w:rsid w:val="004C7A7A"/>
    <w:rsid w:val="004D1902"/>
    <w:rsid w:val="004D4634"/>
    <w:rsid w:val="004D5944"/>
    <w:rsid w:val="004E0229"/>
    <w:rsid w:val="004E0262"/>
    <w:rsid w:val="004E1515"/>
    <w:rsid w:val="004E1CD8"/>
    <w:rsid w:val="004E3166"/>
    <w:rsid w:val="004E3E3C"/>
    <w:rsid w:val="004E4D53"/>
    <w:rsid w:val="004E4FF3"/>
    <w:rsid w:val="004E50F5"/>
    <w:rsid w:val="004E7D78"/>
    <w:rsid w:val="004F082F"/>
    <w:rsid w:val="004F0C4B"/>
    <w:rsid w:val="004F10B2"/>
    <w:rsid w:val="004F23D5"/>
    <w:rsid w:val="004F32A8"/>
    <w:rsid w:val="004F3969"/>
    <w:rsid w:val="004F43A8"/>
    <w:rsid w:val="004F4409"/>
    <w:rsid w:val="004F4F98"/>
    <w:rsid w:val="004F52F8"/>
    <w:rsid w:val="004F5AA8"/>
    <w:rsid w:val="004F69F6"/>
    <w:rsid w:val="004F79AC"/>
    <w:rsid w:val="00500340"/>
    <w:rsid w:val="00500690"/>
    <w:rsid w:val="0050093E"/>
    <w:rsid w:val="00500FC5"/>
    <w:rsid w:val="005017CF"/>
    <w:rsid w:val="00503996"/>
    <w:rsid w:val="00505214"/>
    <w:rsid w:val="00506E0D"/>
    <w:rsid w:val="00506F43"/>
    <w:rsid w:val="005074E0"/>
    <w:rsid w:val="00507A6C"/>
    <w:rsid w:val="005109D8"/>
    <w:rsid w:val="005126A3"/>
    <w:rsid w:val="00513567"/>
    <w:rsid w:val="0051379B"/>
    <w:rsid w:val="00513D9E"/>
    <w:rsid w:val="00514A89"/>
    <w:rsid w:val="00515A6B"/>
    <w:rsid w:val="00515F7F"/>
    <w:rsid w:val="00515FDD"/>
    <w:rsid w:val="00517E29"/>
    <w:rsid w:val="005207D8"/>
    <w:rsid w:val="00521634"/>
    <w:rsid w:val="00521EF8"/>
    <w:rsid w:val="00522762"/>
    <w:rsid w:val="00522B77"/>
    <w:rsid w:val="005240BC"/>
    <w:rsid w:val="0052514B"/>
    <w:rsid w:val="00526B5C"/>
    <w:rsid w:val="00526CFE"/>
    <w:rsid w:val="00526D5C"/>
    <w:rsid w:val="005270CB"/>
    <w:rsid w:val="00530FCE"/>
    <w:rsid w:val="005312F4"/>
    <w:rsid w:val="00531DD9"/>
    <w:rsid w:val="00532040"/>
    <w:rsid w:val="00532090"/>
    <w:rsid w:val="0053464E"/>
    <w:rsid w:val="00535BFE"/>
    <w:rsid w:val="005367BC"/>
    <w:rsid w:val="00537E91"/>
    <w:rsid w:val="005419CE"/>
    <w:rsid w:val="0054272D"/>
    <w:rsid w:val="005432B5"/>
    <w:rsid w:val="00543DBF"/>
    <w:rsid w:val="00544E40"/>
    <w:rsid w:val="0054551E"/>
    <w:rsid w:val="00545CD0"/>
    <w:rsid w:val="0054747D"/>
    <w:rsid w:val="005521A3"/>
    <w:rsid w:val="00552610"/>
    <w:rsid w:val="00553CB9"/>
    <w:rsid w:val="00553CE0"/>
    <w:rsid w:val="0055564D"/>
    <w:rsid w:val="00556F14"/>
    <w:rsid w:val="00557056"/>
    <w:rsid w:val="005600B9"/>
    <w:rsid w:val="00560E31"/>
    <w:rsid w:val="0056111D"/>
    <w:rsid w:val="00562917"/>
    <w:rsid w:val="00563189"/>
    <w:rsid w:val="00563614"/>
    <w:rsid w:val="005653AB"/>
    <w:rsid w:val="00565690"/>
    <w:rsid w:val="00565B60"/>
    <w:rsid w:val="00566715"/>
    <w:rsid w:val="00566CC8"/>
    <w:rsid w:val="005679E7"/>
    <w:rsid w:val="00571A9D"/>
    <w:rsid w:val="00572862"/>
    <w:rsid w:val="00574272"/>
    <w:rsid w:val="00574E4F"/>
    <w:rsid w:val="00576033"/>
    <w:rsid w:val="00576277"/>
    <w:rsid w:val="005766DE"/>
    <w:rsid w:val="00577D21"/>
    <w:rsid w:val="00580DA0"/>
    <w:rsid w:val="00581E38"/>
    <w:rsid w:val="0058219E"/>
    <w:rsid w:val="005825CE"/>
    <w:rsid w:val="00582FD1"/>
    <w:rsid w:val="00584F24"/>
    <w:rsid w:val="00585505"/>
    <w:rsid w:val="00586228"/>
    <w:rsid w:val="00590421"/>
    <w:rsid w:val="00590F7F"/>
    <w:rsid w:val="005914C3"/>
    <w:rsid w:val="005925C9"/>
    <w:rsid w:val="005925EB"/>
    <w:rsid w:val="00592A26"/>
    <w:rsid w:val="00595064"/>
    <w:rsid w:val="00595E0C"/>
    <w:rsid w:val="00595F01"/>
    <w:rsid w:val="005A0292"/>
    <w:rsid w:val="005A052C"/>
    <w:rsid w:val="005A193D"/>
    <w:rsid w:val="005A1D97"/>
    <w:rsid w:val="005A1F3F"/>
    <w:rsid w:val="005A2266"/>
    <w:rsid w:val="005A3529"/>
    <w:rsid w:val="005A4EBD"/>
    <w:rsid w:val="005A53BC"/>
    <w:rsid w:val="005A577C"/>
    <w:rsid w:val="005A58F3"/>
    <w:rsid w:val="005A65AB"/>
    <w:rsid w:val="005A699E"/>
    <w:rsid w:val="005A6F5E"/>
    <w:rsid w:val="005B005A"/>
    <w:rsid w:val="005B1733"/>
    <w:rsid w:val="005B200C"/>
    <w:rsid w:val="005B2C1B"/>
    <w:rsid w:val="005B2F2F"/>
    <w:rsid w:val="005B38A4"/>
    <w:rsid w:val="005B3F77"/>
    <w:rsid w:val="005B6AF4"/>
    <w:rsid w:val="005B6E4B"/>
    <w:rsid w:val="005B7A73"/>
    <w:rsid w:val="005C04CB"/>
    <w:rsid w:val="005C0F3A"/>
    <w:rsid w:val="005C1136"/>
    <w:rsid w:val="005C2202"/>
    <w:rsid w:val="005C2329"/>
    <w:rsid w:val="005C2AE9"/>
    <w:rsid w:val="005C3570"/>
    <w:rsid w:val="005C50D4"/>
    <w:rsid w:val="005C666E"/>
    <w:rsid w:val="005C6FCC"/>
    <w:rsid w:val="005C7254"/>
    <w:rsid w:val="005D16AD"/>
    <w:rsid w:val="005D2D3B"/>
    <w:rsid w:val="005D3400"/>
    <w:rsid w:val="005D4720"/>
    <w:rsid w:val="005D54C7"/>
    <w:rsid w:val="005D5DA7"/>
    <w:rsid w:val="005D63C6"/>
    <w:rsid w:val="005D64D7"/>
    <w:rsid w:val="005D72E1"/>
    <w:rsid w:val="005D7402"/>
    <w:rsid w:val="005E00AA"/>
    <w:rsid w:val="005E0343"/>
    <w:rsid w:val="005E0348"/>
    <w:rsid w:val="005E3C35"/>
    <w:rsid w:val="005E4469"/>
    <w:rsid w:val="005E50C4"/>
    <w:rsid w:val="005E557E"/>
    <w:rsid w:val="005E63B1"/>
    <w:rsid w:val="005E6829"/>
    <w:rsid w:val="005E6E16"/>
    <w:rsid w:val="005E6E2F"/>
    <w:rsid w:val="005E7D08"/>
    <w:rsid w:val="005F0780"/>
    <w:rsid w:val="005F0B7C"/>
    <w:rsid w:val="005F1118"/>
    <w:rsid w:val="005F2284"/>
    <w:rsid w:val="005F255D"/>
    <w:rsid w:val="005F3F7B"/>
    <w:rsid w:val="005F400E"/>
    <w:rsid w:val="005F59EA"/>
    <w:rsid w:val="005F5C97"/>
    <w:rsid w:val="005F5DC4"/>
    <w:rsid w:val="005F5F68"/>
    <w:rsid w:val="005F71EA"/>
    <w:rsid w:val="005F7305"/>
    <w:rsid w:val="005F7342"/>
    <w:rsid w:val="005F76CE"/>
    <w:rsid w:val="00600952"/>
    <w:rsid w:val="00600F12"/>
    <w:rsid w:val="006016D9"/>
    <w:rsid w:val="006024EF"/>
    <w:rsid w:val="00603923"/>
    <w:rsid w:val="00603A08"/>
    <w:rsid w:val="00603C56"/>
    <w:rsid w:val="006054D9"/>
    <w:rsid w:val="00606161"/>
    <w:rsid w:val="00607A45"/>
    <w:rsid w:val="006108F2"/>
    <w:rsid w:val="00610914"/>
    <w:rsid w:val="00610A3C"/>
    <w:rsid w:val="00611477"/>
    <w:rsid w:val="00611B76"/>
    <w:rsid w:val="00611D19"/>
    <w:rsid w:val="00612E33"/>
    <w:rsid w:val="00613379"/>
    <w:rsid w:val="006133B8"/>
    <w:rsid w:val="006159E8"/>
    <w:rsid w:val="006163E9"/>
    <w:rsid w:val="00616906"/>
    <w:rsid w:val="00616C95"/>
    <w:rsid w:val="00617A9C"/>
    <w:rsid w:val="006205F4"/>
    <w:rsid w:val="00621431"/>
    <w:rsid w:val="006214AF"/>
    <w:rsid w:val="00621670"/>
    <w:rsid w:val="00622E7E"/>
    <w:rsid w:val="00623C03"/>
    <w:rsid w:val="00624B45"/>
    <w:rsid w:val="0062510C"/>
    <w:rsid w:val="00625558"/>
    <w:rsid w:val="006261B3"/>
    <w:rsid w:val="00626F23"/>
    <w:rsid w:val="00626F73"/>
    <w:rsid w:val="00627AD6"/>
    <w:rsid w:val="00627C32"/>
    <w:rsid w:val="00627F48"/>
    <w:rsid w:val="00630C23"/>
    <w:rsid w:val="00631D42"/>
    <w:rsid w:val="006323EB"/>
    <w:rsid w:val="00632E4A"/>
    <w:rsid w:val="006330A6"/>
    <w:rsid w:val="00633A97"/>
    <w:rsid w:val="00633BE2"/>
    <w:rsid w:val="00633BEE"/>
    <w:rsid w:val="0063448F"/>
    <w:rsid w:val="00634B96"/>
    <w:rsid w:val="00635F9B"/>
    <w:rsid w:val="00635FFD"/>
    <w:rsid w:val="006372A9"/>
    <w:rsid w:val="00637B52"/>
    <w:rsid w:val="00637CA6"/>
    <w:rsid w:val="00637CAF"/>
    <w:rsid w:val="00640273"/>
    <w:rsid w:val="00643C50"/>
    <w:rsid w:val="00645604"/>
    <w:rsid w:val="006460AB"/>
    <w:rsid w:val="00646944"/>
    <w:rsid w:val="00646ABA"/>
    <w:rsid w:val="00646BFA"/>
    <w:rsid w:val="006477C1"/>
    <w:rsid w:val="006512EE"/>
    <w:rsid w:val="00651AF5"/>
    <w:rsid w:val="00651B6E"/>
    <w:rsid w:val="00651D15"/>
    <w:rsid w:val="0065329A"/>
    <w:rsid w:val="00655073"/>
    <w:rsid w:val="00657052"/>
    <w:rsid w:val="00660332"/>
    <w:rsid w:val="00660A1D"/>
    <w:rsid w:val="00663AD7"/>
    <w:rsid w:val="00663FCF"/>
    <w:rsid w:val="00664816"/>
    <w:rsid w:val="006652A2"/>
    <w:rsid w:val="006658E4"/>
    <w:rsid w:val="00665A38"/>
    <w:rsid w:val="00666775"/>
    <w:rsid w:val="0067182A"/>
    <w:rsid w:val="006725FB"/>
    <w:rsid w:val="006739CA"/>
    <w:rsid w:val="006766FA"/>
    <w:rsid w:val="00677FBB"/>
    <w:rsid w:val="006815CF"/>
    <w:rsid w:val="00682798"/>
    <w:rsid w:val="006857AB"/>
    <w:rsid w:val="00690206"/>
    <w:rsid w:val="006912FB"/>
    <w:rsid w:val="00691E31"/>
    <w:rsid w:val="00692717"/>
    <w:rsid w:val="006937FF"/>
    <w:rsid w:val="00693A7F"/>
    <w:rsid w:val="00696459"/>
    <w:rsid w:val="00697540"/>
    <w:rsid w:val="006976CF"/>
    <w:rsid w:val="006A0A00"/>
    <w:rsid w:val="006A0D2B"/>
    <w:rsid w:val="006A2758"/>
    <w:rsid w:val="006A3AED"/>
    <w:rsid w:val="006A48A7"/>
    <w:rsid w:val="006A51C2"/>
    <w:rsid w:val="006A6FC2"/>
    <w:rsid w:val="006B03F5"/>
    <w:rsid w:val="006B10E0"/>
    <w:rsid w:val="006B3445"/>
    <w:rsid w:val="006B35DD"/>
    <w:rsid w:val="006B41BF"/>
    <w:rsid w:val="006B49F4"/>
    <w:rsid w:val="006B4BA1"/>
    <w:rsid w:val="006B4D2E"/>
    <w:rsid w:val="006B5436"/>
    <w:rsid w:val="006B5AD3"/>
    <w:rsid w:val="006B5EBE"/>
    <w:rsid w:val="006B5F66"/>
    <w:rsid w:val="006B67C2"/>
    <w:rsid w:val="006B6A99"/>
    <w:rsid w:val="006C0E47"/>
    <w:rsid w:val="006C0F7F"/>
    <w:rsid w:val="006C1CAC"/>
    <w:rsid w:val="006C2850"/>
    <w:rsid w:val="006C357E"/>
    <w:rsid w:val="006C3FF4"/>
    <w:rsid w:val="006C4AA9"/>
    <w:rsid w:val="006C555C"/>
    <w:rsid w:val="006C5CF5"/>
    <w:rsid w:val="006C7665"/>
    <w:rsid w:val="006D1DF3"/>
    <w:rsid w:val="006D1F67"/>
    <w:rsid w:val="006D446D"/>
    <w:rsid w:val="006D4B40"/>
    <w:rsid w:val="006D4B7F"/>
    <w:rsid w:val="006D5909"/>
    <w:rsid w:val="006D60A5"/>
    <w:rsid w:val="006D72C2"/>
    <w:rsid w:val="006D77E9"/>
    <w:rsid w:val="006E0A32"/>
    <w:rsid w:val="006E163D"/>
    <w:rsid w:val="006E189E"/>
    <w:rsid w:val="006E211E"/>
    <w:rsid w:val="006E2839"/>
    <w:rsid w:val="006E2966"/>
    <w:rsid w:val="006E29C1"/>
    <w:rsid w:val="006E2C73"/>
    <w:rsid w:val="006E3176"/>
    <w:rsid w:val="006E39FF"/>
    <w:rsid w:val="006E5309"/>
    <w:rsid w:val="006E5721"/>
    <w:rsid w:val="006E7D31"/>
    <w:rsid w:val="006F140F"/>
    <w:rsid w:val="006F1DB6"/>
    <w:rsid w:val="006F25C4"/>
    <w:rsid w:val="006F33F5"/>
    <w:rsid w:val="006F3AF2"/>
    <w:rsid w:val="006F41A6"/>
    <w:rsid w:val="006F4A82"/>
    <w:rsid w:val="006F4CB8"/>
    <w:rsid w:val="006F5326"/>
    <w:rsid w:val="006F6A1C"/>
    <w:rsid w:val="006F6FC5"/>
    <w:rsid w:val="006F7132"/>
    <w:rsid w:val="006F7DCB"/>
    <w:rsid w:val="00700125"/>
    <w:rsid w:val="00700B54"/>
    <w:rsid w:val="00700BE6"/>
    <w:rsid w:val="007017BA"/>
    <w:rsid w:val="007018FA"/>
    <w:rsid w:val="00703315"/>
    <w:rsid w:val="0070355C"/>
    <w:rsid w:val="0070373B"/>
    <w:rsid w:val="007046EA"/>
    <w:rsid w:val="007051A9"/>
    <w:rsid w:val="00705912"/>
    <w:rsid w:val="00706FE1"/>
    <w:rsid w:val="00710619"/>
    <w:rsid w:val="00710C67"/>
    <w:rsid w:val="00710E69"/>
    <w:rsid w:val="0071120D"/>
    <w:rsid w:val="00712A8B"/>
    <w:rsid w:val="00712AA1"/>
    <w:rsid w:val="00712D62"/>
    <w:rsid w:val="007139CB"/>
    <w:rsid w:val="007149E9"/>
    <w:rsid w:val="007162C6"/>
    <w:rsid w:val="0072063F"/>
    <w:rsid w:val="0072243D"/>
    <w:rsid w:val="00723043"/>
    <w:rsid w:val="007239F0"/>
    <w:rsid w:val="00723C4A"/>
    <w:rsid w:val="00723F21"/>
    <w:rsid w:val="007242CA"/>
    <w:rsid w:val="00724FA4"/>
    <w:rsid w:val="007267E4"/>
    <w:rsid w:val="00726CA9"/>
    <w:rsid w:val="007270AA"/>
    <w:rsid w:val="00727DA3"/>
    <w:rsid w:val="007303CC"/>
    <w:rsid w:val="00730579"/>
    <w:rsid w:val="00730800"/>
    <w:rsid w:val="0073155C"/>
    <w:rsid w:val="00731BCC"/>
    <w:rsid w:val="007338FE"/>
    <w:rsid w:val="007341C6"/>
    <w:rsid w:val="00735982"/>
    <w:rsid w:val="00736EAA"/>
    <w:rsid w:val="00737523"/>
    <w:rsid w:val="007377EA"/>
    <w:rsid w:val="00740CFF"/>
    <w:rsid w:val="00743FE8"/>
    <w:rsid w:val="007444FF"/>
    <w:rsid w:val="00744EAE"/>
    <w:rsid w:val="00745BF2"/>
    <w:rsid w:val="00750EFD"/>
    <w:rsid w:val="00752F1F"/>
    <w:rsid w:val="00754003"/>
    <w:rsid w:val="0075508C"/>
    <w:rsid w:val="007602AA"/>
    <w:rsid w:val="0076087B"/>
    <w:rsid w:val="00761098"/>
    <w:rsid w:val="007616AE"/>
    <w:rsid w:val="00761D58"/>
    <w:rsid w:val="007627AD"/>
    <w:rsid w:val="00762D92"/>
    <w:rsid w:val="007634BB"/>
    <w:rsid w:val="00763D57"/>
    <w:rsid w:val="0076417A"/>
    <w:rsid w:val="007652EF"/>
    <w:rsid w:val="00765928"/>
    <w:rsid w:val="00766C67"/>
    <w:rsid w:val="00766D48"/>
    <w:rsid w:val="00770E56"/>
    <w:rsid w:val="00771B0E"/>
    <w:rsid w:val="00772BDC"/>
    <w:rsid w:val="00774406"/>
    <w:rsid w:val="007748A2"/>
    <w:rsid w:val="00775182"/>
    <w:rsid w:val="0077666E"/>
    <w:rsid w:val="00776CA6"/>
    <w:rsid w:val="00780792"/>
    <w:rsid w:val="00780C80"/>
    <w:rsid w:val="00781344"/>
    <w:rsid w:val="00781386"/>
    <w:rsid w:val="00783440"/>
    <w:rsid w:val="00784255"/>
    <w:rsid w:val="00784AE2"/>
    <w:rsid w:val="00785628"/>
    <w:rsid w:val="00785714"/>
    <w:rsid w:val="00785A2B"/>
    <w:rsid w:val="00786AD6"/>
    <w:rsid w:val="00786F93"/>
    <w:rsid w:val="007907FC"/>
    <w:rsid w:val="007914FC"/>
    <w:rsid w:val="00791BCA"/>
    <w:rsid w:val="007931A9"/>
    <w:rsid w:val="0079357C"/>
    <w:rsid w:val="007937A1"/>
    <w:rsid w:val="007937D5"/>
    <w:rsid w:val="00793BE9"/>
    <w:rsid w:val="007941B9"/>
    <w:rsid w:val="0079433E"/>
    <w:rsid w:val="00794A57"/>
    <w:rsid w:val="00795249"/>
    <w:rsid w:val="00796483"/>
    <w:rsid w:val="00796562"/>
    <w:rsid w:val="007A0082"/>
    <w:rsid w:val="007A2BF1"/>
    <w:rsid w:val="007A3452"/>
    <w:rsid w:val="007A36E4"/>
    <w:rsid w:val="007A44B4"/>
    <w:rsid w:val="007A6852"/>
    <w:rsid w:val="007A6927"/>
    <w:rsid w:val="007A6CE0"/>
    <w:rsid w:val="007A791D"/>
    <w:rsid w:val="007A7D3D"/>
    <w:rsid w:val="007B14B0"/>
    <w:rsid w:val="007B1761"/>
    <w:rsid w:val="007B225D"/>
    <w:rsid w:val="007B27B7"/>
    <w:rsid w:val="007B2C09"/>
    <w:rsid w:val="007B3532"/>
    <w:rsid w:val="007B5621"/>
    <w:rsid w:val="007B6717"/>
    <w:rsid w:val="007B6974"/>
    <w:rsid w:val="007B6FC3"/>
    <w:rsid w:val="007B7018"/>
    <w:rsid w:val="007C174F"/>
    <w:rsid w:val="007C1C64"/>
    <w:rsid w:val="007C2028"/>
    <w:rsid w:val="007C39CC"/>
    <w:rsid w:val="007C437E"/>
    <w:rsid w:val="007C4963"/>
    <w:rsid w:val="007C68D7"/>
    <w:rsid w:val="007C6A4C"/>
    <w:rsid w:val="007C7EBB"/>
    <w:rsid w:val="007D03EA"/>
    <w:rsid w:val="007D0600"/>
    <w:rsid w:val="007D2061"/>
    <w:rsid w:val="007D2B88"/>
    <w:rsid w:val="007D70A4"/>
    <w:rsid w:val="007E006F"/>
    <w:rsid w:val="007E1BB1"/>
    <w:rsid w:val="007E246F"/>
    <w:rsid w:val="007E3071"/>
    <w:rsid w:val="007E45CF"/>
    <w:rsid w:val="007E48BC"/>
    <w:rsid w:val="007E6569"/>
    <w:rsid w:val="007E6B68"/>
    <w:rsid w:val="007E6B99"/>
    <w:rsid w:val="007E79F0"/>
    <w:rsid w:val="007E79F7"/>
    <w:rsid w:val="007F03FF"/>
    <w:rsid w:val="007F054C"/>
    <w:rsid w:val="007F10CB"/>
    <w:rsid w:val="007F16F7"/>
    <w:rsid w:val="007F1E7E"/>
    <w:rsid w:val="007F35DC"/>
    <w:rsid w:val="007F3630"/>
    <w:rsid w:val="007F3AB6"/>
    <w:rsid w:val="007F4425"/>
    <w:rsid w:val="007F4739"/>
    <w:rsid w:val="007F578C"/>
    <w:rsid w:val="007F5B34"/>
    <w:rsid w:val="008005D7"/>
    <w:rsid w:val="008034C8"/>
    <w:rsid w:val="00807559"/>
    <w:rsid w:val="008079FC"/>
    <w:rsid w:val="00810BF7"/>
    <w:rsid w:val="00811A8E"/>
    <w:rsid w:val="00811EAE"/>
    <w:rsid w:val="0081447C"/>
    <w:rsid w:val="00816082"/>
    <w:rsid w:val="00816B7B"/>
    <w:rsid w:val="008172B4"/>
    <w:rsid w:val="00820CBE"/>
    <w:rsid w:val="008211F0"/>
    <w:rsid w:val="008214D5"/>
    <w:rsid w:val="00822374"/>
    <w:rsid w:val="008223CB"/>
    <w:rsid w:val="008224DF"/>
    <w:rsid w:val="00822E1C"/>
    <w:rsid w:val="00823719"/>
    <w:rsid w:val="0082398B"/>
    <w:rsid w:val="00824912"/>
    <w:rsid w:val="0082578A"/>
    <w:rsid w:val="0082644E"/>
    <w:rsid w:val="00827B98"/>
    <w:rsid w:val="00830A96"/>
    <w:rsid w:val="00830BC0"/>
    <w:rsid w:val="00831A71"/>
    <w:rsid w:val="00833E36"/>
    <w:rsid w:val="00834BCC"/>
    <w:rsid w:val="00834E99"/>
    <w:rsid w:val="00835418"/>
    <w:rsid w:val="00835D50"/>
    <w:rsid w:val="0083627F"/>
    <w:rsid w:val="00836765"/>
    <w:rsid w:val="00841052"/>
    <w:rsid w:val="00841E63"/>
    <w:rsid w:val="00842EE5"/>
    <w:rsid w:val="0084330A"/>
    <w:rsid w:val="00843CE4"/>
    <w:rsid w:val="00844007"/>
    <w:rsid w:val="0084448C"/>
    <w:rsid w:val="00844DB4"/>
    <w:rsid w:val="0084501E"/>
    <w:rsid w:val="008450BC"/>
    <w:rsid w:val="00845862"/>
    <w:rsid w:val="00845F37"/>
    <w:rsid w:val="008463BE"/>
    <w:rsid w:val="008467BE"/>
    <w:rsid w:val="00846FFE"/>
    <w:rsid w:val="00847884"/>
    <w:rsid w:val="00850017"/>
    <w:rsid w:val="0085098E"/>
    <w:rsid w:val="00851088"/>
    <w:rsid w:val="0085334B"/>
    <w:rsid w:val="008544D1"/>
    <w:rsid w:val="00854752"/>
    <w:rsid w:val="00855538"/>
    <w:rsid w:val="008555EC"/>
    <w:rsid w:val="008558F1"/>
    <w:rsid w:val="00855A4B"/>
    <w:rsid w:val="008560CA"/>
    <w:rsid w:val="008566A5"/>
    <w:rsid w:val="00856BC3"/>
    <w:rsid w:val="00857466"/>
    <w:rsid w:val="008637B1"/>
    <w:rsid w:val="00864A68"/>
    <w:rsid w:val="00864D45"/>
    <w:rsid w:val="008655D7"/>
    <w:rsid w:val="008655DD"/>
    <w:rsid w:val="008658C9"/>
    <w:rsid w:val="00867720"/>
    <w:rsid w:val="00870214"/>
    <w:rsid w:val="00872673"/>
    <w:rsid w:val="00872715"/>
    <w:rsid w:val="008732FC"/>
    <w:rsid w:val="00873345"/>
    <w:rsid w:val="0087473A"/>
    <w:rsid w:val="0087509D"/>
    <w:rsid w:val="00876CA7"/>
    <w:rsid w:val="00877226"/>
    <w:rsid w:val="00877BD4"/>
    <w:rsid w:val="00880A7C"/>
    <w:rsid w:val="00881FA2"/>
    <w:rsid w:val="00884247"/>
    <w:rsid w:val="008842D8"/>
    <w:rsid w:val="00884C05"/>
    <w:rsid w:val="00885016"/>
    <w:rsid w:val="00885433"/>
    <w:rsid w:val="0088557C"/>
    <w:rsid w:val="00885890"/>
    <w:rsid w:val="00885C51"/>
    <w:rsid w:val="00885EB0"/>
    <w:rsid w:val="00886E87"/>
    <w:rsid w:val="00887C3E"/>
    <w:rsid w:val="008911AC"/>
    <w:rsid w:val="008917E8"/>
    <w:rsid w:val="00891F4B"/>
    <w:rsid w:val="0089264A"/>
    <w:rsid w:val="00892FD3"/>
    <w:rsid w:val="0089397C"/>
    <w:rsid w:val="008939B0"/>
    <w:rsid w:val="00894458"/>
    <w:rsid w:val="008960CD"/>
    <w:rsid w:val="00896B85"/>
    <w:rsid w:val="008A031E"/>
    <w:rsid w:val="008A0E77"/>
    <w:rsid w:val="008A1E22"/>
    <w:rsid w:val="008A22BE"/>
    <w:rsid w:val="008A2E28"/>
    <w:rsid w:val="008A337F"/>
    <w:rsid w:val="008A33C2"/>
    <w:rsid w:val="008A3C2D"/>
    <w:rsid w:val="008A4BE1"/>
    <w:rsid w:val="008A561D"/>
    <w:rsid w:val="008A5CEB"/>
    <w:rsid w:val="008B0368"/>
    <w:rsid w:val="008B1447"/>
    <w:rsid w:val="008B1836"/>
    <w:rsid w:val="008B1F12"/>
    <w:rsid w:val="008B2AEC"/>
    <w:rsid w:val="008B4D60"/>
    <w:rsid w:val="008B5BF9"/>
    <w:rsid w:val="008B6663"/>
    <w:rsid w:val="008B7C38"/>
    <w:rsid w:val="008C0278"/>
    <w:rsid w:val="008C0354"/>
    <w:rsid w:val="008C05E4"/>
    <w:rsid w:val="008C0F72"/>
    <w:rsid w:val="008C1B36"/>
    <w:rsid w:val="008C3830"/>
    <w:rsid w:val="008C51CB"/>
    <w:rsid w:val="008C55E4"/>
    <w:rsid w:val="008D008D"/>
    <w:rsid w:val="008D0691"/>
    <w:rsid w:val="008D06C6"/>
    <w:rsid w:val="008D0C04"/>
    <w:rsid w:val="008D156E"/>
    <w:rsid w:val="008D3A4F"/>
    <w:rsid w:val="008D52D8"/>
    <w:rsid w:val="008D5447"/>
    <w:rsid w:val="008D6FDF"/>
    <w:rsid w:val="008D71CE"/>
    <w:rsid w:val="008E018A"/>
    <w:rsid w:val="008E051C"/>
    <w:rsid w:val="008E0ABB"/>
    <w:rsid w:val="008E0DAD"/>
    <w:rsid w:val="008E1F2C"/>
    <w:rsid w:val="008E47BB"/>
    <w:rsid w:val="008E4E95"/>
    <w:rsid w:val="008E4E9A"/>
    <w:rsid w:val="008E6250"/>
    <w:rsid w:val="008E77DC"/>
    <w:rsid w:val="008E7B3B"/>
    <w:rsid w:val="008F031E"/>
    <w:rsid w:val="008F0631"/>
    <w:rsid w:val="008F107C"/>
    <w:rsid w:val="008F168E"/>
    <w:rsid w:val="008F41E3"/>
    <w:rsid w:val="008F57BC"/>
    <w:rsid w:val="008F74CA"/>
    <w:rsid w:val="008F7B7A"/>
    <w:rsid w:val="009001E7"/>
    <w:rsid w:val="009003EF"/>
    <w:rsid w:val="00901B2B"/>
    <w:rsid w:val="0090205D"/>
    <w:rsid w:val="00902AF6"/>
    <w:rsid w:val="00904EA5"/>
    <w:rsid w:val="009051EF"/>
    <w:rsid w:val="00906FE7"/>
    <w:rsid w:val="00907C3D"/>
    <w:rsid w:val="009111DC"/>
    <w:rsid w:val="00912753"/>
    <w:rsid w:val="009148E8"/>
    <w:rsid w:val="0091509D"/>
    <w:rsid w:val="00920249"/>
    <w:rsid w:val="009214AB"/>
    <w:rsid w:val="00922091"/>
    <w:rsid w:val="00923E69"/>
    <w:rsid w:val="00924B16"/>
    <w:rsid w:val="00924C2B"/>
    <w:rsid w:val="00924C80"/>
    <w:rsid w:val="00924F89"/>
    <w:rsid w:val="00925DC2"/>
    <w:rsid w:val="0092749B"/>
    <w:rsid w:val="0092777B"/>
    <w:rsid w:val="00930B71"/>
    <w:rsid w:val="0093234A"/>
    <w:rsid w:val="00932456"/>
    <w:rsid w:val="00932F14"/>
    <w:rsid w:val="009337C2"/>
    <w:rsid w:val="00933887"/>
    <w:rsid w:val="009351F7"/>
    <w:rsid w:val="00935C88"/>
    <w:rsid w:val="00935D66"/>
    <w:rsid w:val="0093610A"/>
    <w:rsid w:val="00936921"/>
    <w:rsid w:val="00936F35"/>
    <w:rsid w:val="009377A9"/>
    <w:rsid w:val="00940A18"/>
    <w:rsid w:val="00940B68"/>
    <w:rsid w:val="00940BDC"/>
    <w:rsid w:val="0094247F"/>
    <w:rsid w:val="00942607"/>
    <w:rsid w:val="00942D60"/>
    <w:rsid w:val="00942E27"/>
    <w:rsid w:val="009436FA"/>
    <w:rsid w:val="009442C7"/>
    <w:rsid w:val="00944BA3"/>
    <w:rsid w:val="00952144"/>
    <w:rsid w:val="00952300"/>
    <w:rsid w:val="009531E6"/>
    <w:rsid w:val="0095357F"/>
    <w:rsid w:val="00954CDC"/>
    <w:rsid w:val="009550D6"/>
    <w:rsid w:val="00955783"/>
    <w:rsid w:val="00956A32"/>
    <w:rsid w:val="009605D8"/>
    <w:rsid w:val="00960607"/>
    <w:rsid w:val="00962E10"/>
    <w:rsid w:val="0096338C"/>
    <w:rsid w:val="00963960"/>
    <w:rsid w:val="00965094"/>
    <w:rsid w:val="0096523B"/>
    <w:rsid w:val="0096572D"/>
    <w:rsid w:val="00966EE3"/>
    <w:rsid w:val="00970354"/>
    <w:rsid w:val="00970AD4"/>
    <w:rsid w:val="00970C9F"/>
    <w:rsid w:val="00971220"/>
    <w:rsid w:val="009716A4"/>
    <w:rsid w:val="00972C94"/>
    <w:rsid w:val="00972D06"/>
    <w:rsid w:val="00972F0C"/>
    <w:rsid w:val="009733ED"/>
    <w:rsid w:val="00975673"/>
    <w:rsid w:val="00980113"/>
    <w:rsid w:val="00980644"/>
    <w:rsid w:val="009809EC"/>
    <w:rsid w:val="0098145A"/>
    <w:rsid w:val="00982105"/>
    <w:rsid w:val="00982EE7"/>
    <w:rsid w:val="009830D0"/>
    <w:rsid w:val="00983925"/>
    <w:rsid w:val="0098619B"/>
    <w:rsid w:val="00987551"/>
    <w:rsid w:val="009904B3"/>
    <w:rsid w:val="0099092F"/>
    <w:rsid w:val="00991088"/>
    <w:rsid w:val="0099170A"/>
    <w:rsid w:val="00991BA6"/>
    <w:rsid w:val="009937DD"/>
    <w:rsid w:val="00993A77"/>
    <w:rsid w:val="00993FAD"/>
    <w:rsid w:val="0099433F"/>
    <w:rsid w:val="00994ECF"/>
    <w:rsid w:val="00995D70"/>
    <w:rsid w:val="00996A58"/>
    <w:rsid w:val="009A0961"/>
    <w:rsid w:val="009A10B7"/>
    <w:rsid w:val="009A1ECD"/>
    <w:rsid w:val="009A24D8"/>
    <w:rsid w:val="009A2D54"/>
    <w:rsid w:val="009A391C"/>
    <w:rsid w:val="009A50F2"/>
    <w:rsid w:val="009A51A9"/>
    <w:rsid w:val="009A53A3"/>
    <w:rsid w:val="009A5C6D"/>
    <w:rsid w:val="009A6D8B"/>
    <w:rsid w:val="009B01A0"/>
    <w:rsid w:val="009B01A1"/>
    <w:rsid w:val="009B0855"/>
    <w:rsid w:val="009B2AE6"/>
    <w:rsid w:val="009B2E29"/>
    <w:rsid w:val="009B3944"/>
    <w:rsid w:val="009B6240"/>
    <w:rsid w:val="009B7244"/>
    <w:rsid w:val="009B791C"/>
    <w:rsid w:val="009C3DAD"/>
    <w:rsid w:val="009C47BF"/>
    <w:rsid w:val="009C4869"/>
    <w:rsid w:val="009C6A57"/>
    <w:rsid w:val="009D02A7"/>
    <w:rsid w:val="009D1CD5"/>
    <w:rsid w:val="009D2550"/>
    <w:rsid w:val="009D27B4"/>
    <w:rsid w:val="009D2A98"/>
    <w:rsid w:val="009D5939"/>
    <w:rsid w:val="009D5EA3"/>
    <w:rsid w:val="009E0A61"/>
    <w:rsid w:val="009E1165"/>
    <w:rsid w:val="009E261E"/>
    <w:rsid w:val="009E3010"/>
    <w:rsid w:val="009E36D8"/>
    <w:rsid w:val="009E5C8C"/>
    <w:rsid w:val="009E60F8"/>
    <w:rsid w:val="009E6CA9"/>
    <w:rsid w:val="009E75C7"/>
    <w:rsid w:val="009E7B48"/>
    <w:rsid w:val="009F007E"/>
    <w:rsid w:val="009F1990"/>
    <w:rsid w:val="009F19CE"/>
    <w:rsid w:val="009F1EEA"/>
    <w:rsid w:val="009F2F93"/>
    <w:rsid w:val="009F300C"/>
    <w:rsid w:val="009F41D6"/>
    <w:rsid w:val="009F68C2"/>
    <w:rsid w:val="009F6A86"/>
    <w:rsid w:val="009F7065"/>
    <w:rsid w:val="009F76B3"/>
    <w:rsid w:val="009F76D4"/>
    <w:rsid w:val="00A000C2"/>
    <w:rsid w:val="00A00DD6"/>
    <w:rsid w:val="00A01C81"/>
    <w:rsid w:val="00A02563"/>
    <w:rsid w:val="00A02596"/>
    <w:rsid w:val="00A027F8"/>
    <w:rsid w:val="00A02B24"/>
    <w:rsid w:val="00A03323"/>
    <w:rsid w:val="00A03744"/>
    <w:rsid w:val="00A03E5A"/>
    <w:rsid w:val="00A055EC"/>
    <w:rsid w:val="00A05904"/>
    <w:rsid w:val="00A05C00"/>
    <w:rsid w:val="00A05C75"/>
    <w:rsid w:val="00A0675A"/>
    <w:rsid w:val="00A07084"/>
    <w:rsid w:val="00A077CA"/>
    <w:rsid w:val="00A1063A"/>
    <w:rsid w:val="00A109DE"/>
    <w:rsid w:val="00A11D18"/>
    <w:rsid w:val="00A1255C"/>
    <w:rsid w:val="00A137B4"/>
    <w:rsid w:val="00A13AAF"/>
    <w:rsid w:val="00A14414"/>
    <w:rsid w:val="00A14995"/>
    <w:rsid w:val="00A169DA"/>
    <w:rsid w:val="00A17CCA"/>
    <w:rsid w:val="00A20D5F"/>
    <w:rsid w:val="00A20EBB"/>
    <w:rsid w:val="00A21338"/>
    <w:rsid w:val="00A228FF"/>
    <w:rsid w:val="00A24574"/>
    <w:rsid w:val="00A26D8D"/>
    <w:rsid w:val="00A30FF8"/>
    <w:rsid w:val="00A31DDF"/>
    <w:rsid w:val="00A32E6A"/>
    <w:rsid w:val="00A3396D"/>
    <w:rsid w:val="00A3504B"/>
    <w:rsid w:val="00A354CC"/>
    <w:rsid w:val="00A35B30"/>
    <w:rsid w:val="00A36D79"/>
    <w:rsid w:val="00A406E7"/>
    <w:rsid w:val="00A4175D"/>
    <w:rsid w:val="00A41CC3"/>
    <w:rsid w:val="00A42A58"/>
    <w:rsid w:val="00A43B01"/>
    <w:rsid w:val="00A4539C"/>
    <w:rsid w:val="00A45C5C"/>
    <w:rsid w:val="00A46ECF"/>
    <w:rsid w:val="00A50E79"/>
    <w:rsid w:val="00A51337"/>
    <w:rsid w:val="00A526DA"/>
    <w:rsid w:val="00A56DC7"/>
    <w:rsid w:val="00A570B2"/>
    <w:rsid w:val="00A6152E"/>
    <w:rsid w:val="00A62ED2"/>
    <w:rsid w:val="00A642A8"/>
    <w:rsid w:val="00A6733A"/>
    <w:rsid w:val="00A73EAF"/>
    <w:rsid w:val="00A740D0"/>
    <w:rsid w:val="00A74C75"/>
    <w:rsid w:val="00A74FD1"/>
    <w:rsid w:val="00A77323"/>
    <w:rsid w:val="00A77BFA"/>
    <w:rsid w:val="00A805EF"/>
    <w:rsid w:val="00A80E06"/>
    <w:rsid w:val="00A83354"/>
    <w:rsid w:val="00A8375C"/>
    <w:rsid w:val="00A84622"/>
    <w:rsid w:val="00A84A58"/>
    <w:rsid w:val="00A86AB4"/>
    <w:rsid w:val="00A86F94"/>
    <w:rsid w:val="00A87371"/>
    <w:rsid w:val="00A87DB6"/>
    <w:rsid w:val="00A907DA"/>
    <w:rsid w:val="00A928A6"/>
    <w:rsid w:val="00A93D89"/>
    <w:rsid w:val="00A97A1D"/>
    <w:rsid w:val="00AA1615"/>
    <w:rsid w:val="00AA1DA4"/>
    <w:rsid w:val="00AA4BFA"/>
    <w:rsid w:val="00AA4E89"/>
    <w:rsid w:val="00AA5155"/>
    <w:rsid w:val="00AA51AE"/>
    <w:rsid w:val="00AA5929"/>
    <w:rsid w:val="00AA59C0"/>
    <w:rsid w:val="00AA6842"/>
    <w:rsid w:val="00AA68E5"/>
    <w:rsid w:val="00AA737B"/>
    <w:rsid w:val="00AA756E"/>
    <w:rsid w:val="00AA79F2"/>
    <w:rsid w:val="00AA7C94"/>
    <w:rsid w:val="00AB00E5"/>
    <w:rsid w:val="00AB06A2"/>
    <w:rsid w:val="00AB3B0E"/>
    <w:rsid w:val="00AB3F71"/>
    <w:rsid w:val="00AB40F4"/>
    <w:rsid w:val="00AB75CD"/>
    <w:rsid w:val="00AB788E"/>
    <w:rsid w:val="00AC21A2"/>
    <w:rsid w:val="00AC3CD6"/>
    <w:rsid w:val="00AC3D18"/>
    <w:rsid w:val="00AC46FC"/>
    <w:rsid w:val="00AC4D78"/>
    <w:rsid w:val="00AC54D2"/>
    <w:rsid w:val="00AC590D"/>
    <w:rsid w:val="00AC5E55"/>
    <w:rsid w:val="00AC5EF1"/>
    <w:rsid w:val="00AC607A"/>
    <w:rsid w:val="00AC6145"/>
    <w:rsid w:val="00AC6231"/>
    <w:rsid w:val="00AD090C"/>
    <w:rsid w:val="00AD0A99"/>
    <w:rsid w:val="00AD1586"/>
    <w:rsid w:val="00AD216D"/>
    <w:rsid w:val="00AD233B"/>
    <w:rsid w:val="00AD283D"/>
    <w:rsid w:val="00AD2D81"/>
    <w:rsid w:val="00AD3F9F"/>
    <w:rsid w:val="00AD4A59"/>
    <w:rsid w:val="00AD4A80"/>
    <w:rsid w:val="00AD57E1"/>
    <w:rsid w:val="00AD6098"/>
    <w:rsid w:val="00AD6441"/>
    <w:rsid w:val="00AD74BC"/>
    <w:rsid w:val="00AE01CB"/>
    <w:rsid w:val="00AE108A"/>
    <w:rsid w:val="00AE1AC6"/>
    <w:rsid w:val="00AE25ED"/>
    <w:rsid w:val="00AE2973"/>
    <w:rsid w:val="00AE4AC6"/>
    <w:rsid w:val="00AE4C9C"/>
    <w:rsid w:val="00AE5B43"/>
    <w:rsid w:val="00AE6111"/>
    <w:rsid w:val="00AE7539"/>
    <w:rsid w:val="00AF06FC"/>
    <w:rsid w:val="00AF1DF7"/>
    <w:rsid w:val="00AF268D"/>
    <w:rsid w:val="00AF2ABD"/>
    <w:rsid w:val="00AF3391"/>
    <w:rsid w:val="00AF387F"/>
    <w:rsid w:val="00AF3EED"/>
    <w:rsid w:val="00AF4249"/>
    <w:rsid w:val="00AF606E"/>
    <w:rsid w:val="00AF7F3A"/>
    <w:rsid w:val="00B002DA"/>
    <w:rsid w:val="00B0085C"/>
    <w:rsid w:val="00B00E7F"/>
    <w:rsid w:val="00B0106D"/>
    <w:rsid w:val="00B02443"/>
    <w:rsid w:val="00B02546"/>
    <w:rsid w:val="00B0450C"/>
    <w:rsid w:val="00B048A3"/>
    <w:rsid w:val="00B056B5"/>
    <w:rsid w:val="00B05DC6"/>
    <w:rsid w:val="00B06357"/>
    <w:rsid w:val="00B063F7"/>
    <w:rsid w:val="00B06DDC"/>
    <w:rsid w:val="00B07FD6"/>
    <w:rsid w:val="00B1097D"/>
    <w:rsid w:val="00B10FD9"/>
    <w:rsid w:val="00B12F1E"/>
    <w:rsid w:val="00B132A0"/>
    <w:rsid w:val="00B14E5C"/>
    <w:rsid w:val="00B14FEA"/>
    <w:rsid w:val="00B150A3"/>
    <w:rsid w:val="00B150C7"/>
    <w:rsid w:val="00B158A6"/>
    <w:rsid w:val="00B17189"/>
    <w:rsid w:val="00B173DA"/>
    <w:rsid w:val="00B21DCC"/>
    <w:rsid w:val="00B25145"/>
    <w:rsid w:val="00B25F37"/>
    <w:rsid w:val="00B263B5"/>
    <w:rsid w:val="00B26D4C"/>
    <w:rsid w:val="00B30898"/>
    <w:rsid w:val="00B31168"/>
    <w:rsid w:val="00B31D2D"/>
    <w:rsid w:val="00B326D6"/>
    <w:rsid w:val="00B33AC3"/>
    <w:rsid w:val="00B34810"/>
    <w:rsid w:val="00B359F1"/>
    <w:rsid w:val="00B362BA"/>
    <w:rsid w:val="00B3762D"/>
    <w:rsid w:val="00B377F3"/>
    <w:rsid w:val="00B37BF0"/>
    <w:rsid w:val="00B40D5F"/>
    <w:rsid w:val="00B410C8"/>
    <w:rsid w:val="00B412DE"/>
    <w:rsid w:val="00B412EF"/>
    <w:rsid w:val="00B42398"/>
    <w:rsid w:val="00B42B3B"/>
    <w:rsid w:val="00B44422"/>
    <w:rsid w:val="00B448AD"/>
    <w:rsid w:val="00B4538B"/>
    <w:rsid w:val="00B46EA0"/>
    <w:rsid w:val="00B47AB9"/>
    <w:rsid w:val="00B501DD"/>
    <w:rsid w:val="00B5044A"/>
    <w:rsid w:val="00B5174D"/>
    <w:rsid w:val="00B5273B"/>
    <w:rsid w:val="00B531CF"/>
    <w:rsid w:val="00B5503F"/>
    <w:rsid w:val="00B56FB9"/>
    <w:rsid w:val="00B57317"/>
    <w:rsid w:val="00B60B90"/>
    <w:rsid w:val="00B61548"/>
    <w:rsid w:val="00B61FFC"/>
    <w:rsid w:val="00B621C9"/>
    <w:rsid w:val="00B62812"/>
    <w:rsid w:val="00B63DBB"/>
    <w:rsid w:val="00B64016"/>
    <w:rsid w:val="00B6507D"/>
    <w:rsid w:val="00B660CC"/>
    <w:rsid w:val="00B66B67"/>
    <w:rsid w:val="00B671D1"/>
    <w:rsid w:val="00B673CC"/>
    <w:rsid w:val="00B67852"/>
    <w:rsid w:val="00B7041B"/>
    <w:rsid w:val="00B70525"/>
    <w:rsid w:val="00B718C0"/>
    <w:rsid w:val="00B721FF"/>
    <w:rsid w:val="00B72272"/>
    <w:rsid w:val="00B731D3"/>
    <w:rsid w:val="00B74BBD"/>
    <w:rsid w:val="00B75DEE"/>
    <w:rsid w:val="00B76D89"/>
    <w:rsid w:val="00B811F6"/>
    <w:rsid w:val="00B816ED"/>
    <w:rsid w:val="00B81E70"/>
    <w:rsid w:val="00B830CB"/>
    <w:rsid w:val="00B83659"/>
    <w:rsid w:val="00B83825"/>
    <w:rsid w:val="00B839A3"/>
    <w:rsid w:val="00B83D29"/>
    <w:rsid w:val="00B845F2"/>
    <w:rsid w:val="00B85746"/>
    <w:rsid w:val="00B902BD"/>
    <w:rsid w:val="00B90DCA"/>
    <w:rsid w:val="00B9257C"/>
    <w:rsid w:val="00B93716"/>
    <w:rsid w:val="00B93BD1"/>
    <w:rsid w:val="00B93DB9"/>
    <w:rsid w:val="00B94935"/>
    <w:rsid w:val="00B959A5"/>
    <w:rsid w:val="00B9759F"/>
    <w:rsid w:val="00B9769C"/>
    <w:rsid w:val="00B97BB6"/>
    <w:rsid w:val="00BA05F9"/>
    <w:rsid w:val="00BA1A20"/>
    <w:rsid w:val="00BA1C35"/>
    <w:rsid w:val="00BA237B"/>
    <w:rsid w:val="00BA24E2"/>
    <w:rsid w:val="00BA29DF"/>
    <w:rsid w:val="00BA56F2"/>
    <w:rsid w:val="00BA5C73"/>
    <w:rsid w:val="00BA797B"/>
    <w:rsid w:val="00BB1D58"/>
    <w:rsid w:val="00BB2137"/>
    <w:rsid w:val="00BB563A"/>
    <w:rsid w:val="00BB6B3E"/>
    <w:rsid w:val="00BC0000"/>
    <w:rsid w:val="00BC0536"/>
    <w:rsid w:val="00BC0C58"/>
    <w:rsid w:val="00BC24CD"/>
    <w:rsid w:val="00BC33E8"/>
    <w:rsid w:val="00BC4D44"/>
    <w:rsid w:val="00BC5980"/>
    <w:rsid w:val="00BC77FA"/>
    <w:rsid w:val="00BD2A39"/>
    <w:rsid w:val="00BD2D08"/>
    <w:rsid w:val="00BD2E80"/>
    <w:rsid w:val="00BD3C6E"/>
    <w:rsid w:val="00BD413D"/>
    <w:rsid w:val="00BD4D95"/>
    <w:rsid w:val="00BE0228"/>
    <w:rsid w:val="00BE1194"/>
    <w:rsid w:val="00BE11B8"/>
    <w:rsid w:val="00BE13A6"/>
    <w:rsid w:val="00BE2017"/>
    <w:rsid w:val="00BE25AA"/>
    <w:rsid w:val="00BE3AA4"/>
    <w:rsid w:val="00BE43CF"/>
    <w:rsid w:val="00BE46C4"/>
    <w:rsid w:val="00BE485E"/>
    <w:rsid w:val="00BE4D56"/>
    <w:rsid w:val="00BE7E52"/>
    <w:rsid w:val="00BF037A"/>
    <w:rsid w:val="00BF0833"/>
    <w:rsid w:val="00BF0E8E"/>
    <w:rsid w:val="00BF2E76"/>
    <w:rsid w:val="00BF2F32"/>
    <w:rsid w:val="00BF5115"/>
    <w:rsid w:val="00BF6910"/>
    <w:rsid w:val="00BF760A"/>
    <w:rsid w:val="00BF7FF0"/>
    <w:rsid w:val="00C01CD6"/>
    <w:rsid w:val="00C01FC0"/>
    <w:rsid w:val="00C0212B"/>
    <w:rsid w:val="00C02161"/>
    <w:rsid w:val="00C03F6C"/>
    <w:rsid w:val="00C057F4"/>
    <w:rsid w:val="00C05922"/>
    <w:rsid w:val="00C102B3"/>
    <w:rsid w:val="00C10380"/>
    <w:rsid w:val="00C12502"/>
    <w:rsid w:val="00C13D32"/>
    <w:rsid w:val="00C15278"/>
    <w:rsid w:val="00C15E6B"/>
    <w:rsid w:val="00C165C8"/>
    <w:rsid w:val="00C16A5E"/>
    <w:rsid w:val="00C2080C"/>
    <w:rsid w:val="00C223F1"/>
    <w:rsid w:val="00C226D0"/>
    <w:rsid w:val="00C229F7"/>
    <w:rsid w:val="00C23544"/>
    <w:rsid w:val="00C24B99"/>
    <w:rsid w:val="00C26E0F"/>
    <w:rsid w:val="00C27E45"/>
    <w:rsid w:val="00C30523"/>
    <w:rsid w:val="00C3076A"/>
    <w:rsid w:val="00C310A1"/>
    <w:rsid w:val="00C324D5"/>
    <w:rsid w:val="00C32A4A"/>
    <w:rsid w:val="00C336FE"/>
    <w:rsid w:val="00C35C37"/>
    <w:rsid w:val="00C36578"/>
    <w:rsid w:val="00C36CA8"/>
    <w:rsid w:val="00C3752D"/>
    <w:rsid w:val="00C40AA5"/>
    <w:rsid w:val="00C40CC3"/>
    <w:rsid w:val="00C413BC"/>
    <w:rsid w:val="00C44F3F"/>
    <w:rsid w:val="00C451F9"/>
    <w:rsid w:val="00C46CA9"/>
    <w:rsid w:val="00C46F70"/>
    <w:rsid w:val="00C47105"/>
    <w:rsid w:val="00C476D0"/>
    <w:rsid w:val="00C51049"/>
    <w:rsid w:val="00C51F8F"/>
    <w:rsid w:val="00C533CE"/>
    <w:rsid w:val="00C534EA"/>
    <w:rsid w:val="00C53F7C"/>
    <w:rsid w:val="00C5481C"/>
    <w:rsid w:val="00C54EAA"/>
    <w:rsid w:val="00C54EAF"/>
    <w:rsid w:val="00C5500C"/>
    <w:rsid w:val="00C576E2"/>
    <w:rsid w:val="00C57EF1"/>
    <w:rsid w:val="00C60B7E"/>
    <w:rsid w:val="00C61AC1"/>
    <w:rsid w:val="00C6217E"/>
    <w:rsid w:val="00C6220C"/>
    <w:rsid w:val="00C62792"/>
    <w:rsid w:val="00C62CE4"/>
    <w:rsid w:val="00C644ED"/>
    <w:rsid w:val="00C64AB6"/>
    <w:rsid w:val="00C64F56"/>
    <w:rsid w:val="00C65558"/>
    <w:rsid w:val="00C660FD"/>
    <w:rsid w:val="00C668E5"/>
    <w:rsid w:val="00C67379"/>
    <w:rsid w:val="00C70487"/>
    <w:rsid w:val="00C70ABC"/>
    <w:rsid w:val="00C70C33"/>
    <w:rsid w:val="00C73B09"/>
    <w:rsid w:val="00C73E29"/>
    <w:rsid w:val="00C74A6B"/>
    <w:rsid w:val="00C7573A"/>
    <w:rsid w:val="00C75CC5"/>
    <w:rsid w:val="00C75E0E"/>
    <w:rsid w:val="00C75EC7"/>
    <w:rsid w:val="00C775DB"/>
    <w:rsid w:val="00C7761A"/>
    <w:rsid w:val="00C7780C"/>
    <w:rsid w:val="00C77C9C"/>
    <w:rsid w:val="00C803DF"/>
    <w:rsid w:val="00C80A28"/>
    <w:rsid w:val="00C8146D"/>
    <w:rsid w:val="00C826FB"/>
    <w:rsid w:val="00C836E3"/>
    <w:rsid w:val="00C83F10"/>
    <w:rsid w:val="00C84251"/>
    <w:rsid w:val="00C84F6A"/>
    <w:rsid w:val="00C8593A"/>
    <w:rsid w:val="00C86577"/>
    <w:rsid w:val="00C86EB3"/>
    <w:rsid w:val="00C90179"/>
    <w:rsid w:val="00C905D1"/>
    <w:rsid w:val="00C912B6"/>
    <w:rsid w:val="00C916C8"/>
    <w:rsid w:val="00C918D5"/>
    <w:rsid w:val="00C92E07"/>
    <w:rsid w:val="00C930B2"/>
    <w:rsid w:val="00C939D9"/>
    <w:rsid w:val="00C9424C"/>
    <w:rsid w:val="00C95ECD"/>
    <w:rsid w:val="00C9603A"/>
    <w:rsid w:val="00C967E5"/>
    <w:rsid w:val="00C96868"/>
    <w:rsid w:val="00C9694D"/>
    <w:rsid w:val="00CA0416"/>
    <w:rsid w:val="00CA07BF"/>
    <w:rsid w:val="00CA1BB1"/>
    <w:rsid w:val="00CA38E6"/>
    <w:rsid w:val="00CA39EC"/>
    <w:rsid w:val="00CA3FB3"/>
    <w:rsid w:val="00CA5A0C"/>
    <w:rsid w:val="00CA5F2A"/>
    <w:rsid w:val="00CA60D6"/>
    <w:rsid w:val="00CA790B"/>
    <w:rsid w:val="00CB2577"/>
    <w:rsid w:val="00CB3510"/>
    <w:rsid w:val="00CB43C4"/>
    <w:rsid w:val="00CB55BA"/>
    <w:rsid w:val="00CB6341"/>
    <w:rsid w:val="00CC0A7C"/>
    <w:rsid w:val="00CC1368"/>
    <w:rsid w:val="00CC2D3B"/>
    <w:rsid w:val="00CC323A"/>
    <w:rsid w:val="00CC408D"/>
    <w:rsid w:val="00CC560B"/>
    <w:rsid w:val="00CC5681"/>
    <w:rsid w:val="00CC5AFF"/>
    <w:rsid w:val="00CC71E7"/>
    <w:rsid w:val="00CC75E2"/>
    <w:rsid w:val="00CD06BC"/>
    <w:rsid w:val="00CD21AF"/>
    <w:rsid w:val="00CD3344"/>
    <w:rsid w:val="00CD360B"/>
    <w:rsid w:val="00CD3BB6"/>
    <w:rsid w:val="00CD3DB3"/>
    <w:rsid w:val="00CD42B1"/>
    <w:rsid w:val="00CD46EB"/>
    <w:rsid w:val="00CD6C69"/>
    <w:rsid w:val="00CD7376"/>
    <w:rsid w:val="00CD7A93"/>
    <w:rsid w:val="00CD7EBF"/>
    <w:rsid w:val="00CE1A8E"/>
    <w:rsid w:val="00CE1EE9"/>
    <w:rsid w:val="00CE2D7C"/>
    <w:rsid w:val="00CE610F"/>
    <w:rsid w:val="00CE7BE3"/>
    <w:rsid w:val="00CF00C3"/>
    <w:rsid w:val="00CF18B7"/>
    <w:rsid w:val="00CF29D4"/>
    <w:rsid w:val="00CF2E4C"/>
    <w:rsid w:val="00CF3AB4"/>
    <w:rsid w:val="00CF4BFC"/>
    <w:rsid w:val="00CF5BF5"/>
    <w:rsid w:val="00CF7275"/>
    <w:rsid w:val="00CF74AB"/>
    <w:rsid w:val="00CF7C23"/>
    <w:rsid w:val="00D0043A"/>
    <w:rsid w:val="00D0063D"/>
    <w:rsid w:val="00D01703"/>
    <w:rsid w:val="00D01890"/>
    <w:rsid w:val="00D01CD1"/>
    <w:rsid w:val="00D01D51"/>
    <w:rsid w:val="00D0369A"/>
    <w:rsid w:val="00D03B12"/>
    <w:rsid w:val="00D03B2A"/>
    <w:rsid w:val="00D03C4D"/>
    <w:rsid w:val="00D0404B"/>
    <w:rsid w:val="00D04EEF"/>
    <w:rsid w:val="00D056F1"/>
    <w:rsid w:val="00D05ABC"/>
    <w:rsid w:val="00D0632B"/>
    <w:rsid w:val="00D06DEA"/>
    <w:rsid w:val="00D07694"/>
    <w:rsid w:val="00D07EFA"/>
    <w:rsid w:val="00D10F16"/>
    <w:rsid w:val="00D11171"/>
    <w:rsid w:val="00D111FC"/>
    <w:rsid w:val="00D14BF5"/>
    <w:rsid w:val="00D15847"/>
    <w:rsid w:val="00D2129B"/>
    <w:rsid w:val="00D217B9"/>
    <w:rsid w:val="00D22122"/>
    <w:rsid w:val="00D2269A"/>
    <w:rsid w:val="00D22F3C"/>
    <w:rsid w:val="00D23CB0"/>
    <w:rsid w:val="00D23D6A"/>
    <w:rsid w:val="00D23DB6"/>
    <w:rsid w:val="00D24CA7"/>
    <w:rsid w:val="00D26911"/>
    <w:rsid w:val="00D331AC"/>
    <w:rsid w:val="00D3471D"/>
    <w:rsid w:val="00D35713"/>
    <w:rsid w:val="00D36E68"/>
    <w:rsid w:val="00D37089"/>
    <w:rsid w:val="00D40E44"/>
    <w:rsid w:val="00D413F8"/>
    <w:rsid w:val="00D41A43"/>
    <w:rsid w:val="00D41D35"/>
    <w:rsid w:val="00D43696"/>
    <w:rsid w:val="00D43FE6"/>
    <w:rsid w:val="00D449B1"/>
    <w:rsid w:val="00D44BFA"/>
    <w:rsid w:val="00D454E8"/>
    <w:rsid w:val="00D4565E"/>
    <w:rsid w:val="00D456F5"/>
    <w:rsid w:val="00D46783"/>
    <w:rsid w:val="00D46F8F"/>
    <w:rsid w:val="00D47669"/>
    <w:rsid w:val="00D47AD2"/>
    <w:rsid w:val="00D512CF"/>
    <w:rsid w:val="00D51A95"/>
    <w:rsid w:val="00D51CE8"/>
    <w:rsid w:val="00D52A02"/>
    <w:rsid w:val="00D54C3C"/>
    <w:rsid w:val="00D55531"/>
    <w:rsid w:val="00D55E7A"/>
    <w:rsid w:val="00D5630D"/>
    <w:rsid w:val="00D56429"/>
    <w:rsid w:val="00D60568"/>
    <w:rsid w:val="00D608E1"/>
    <w:rsid w:val="00D609FA"/>
    <w:rsid w:val="00D61A42"/>
    <w:rsid w:val="00D62ACD"/>
    <w:rsid w:val="00D63300"/>
    <w:rsid w:val="00D654A8"/>
    <w:rsid w:val="00D65996"/>
    <w:rsid w:val="00D701BB"/>
    <w:rsid w:val="00D7081C"/>
    <w:rsid w:val="00D70C7A"/>
    <w:rsid w:val="00D716E3"/>
    <w:rsid w:val="00D718EF"/>
    <w:rsid w:val="00D73297"/>
    <w:rsid w:val="00D737CF"/>
    <w:rsid w:val="00D73DAD"/>
    <w:rsid w:val="00D7414D"/>
    <w:rsid w:val="00D75247"/>
    <w:rsid w:val="00D7524D"/>
    <w:rsid w:val="00D75501"/>
    <w:rsid w:val="00D76804"/>
    <w:rsid w:val="00D76D94"/>
    <w:rsid w:val="00D77C3F"/>
    <w:rsid w:val="00D81D38"/>
    <w:rsid w:val="00D83A3E"/>
    <w:rsid w:val="00D83E27"/>
    <w:rsid w:val="00D87DA0"/>
    <w:rsid w:val="00D90BF1"/>
    <w:rsid w:val="00D926E2"/>
    <w:rsid w:val="00D92EB3"/>
    <w:rsid w:val="00D92FE1"/>
    <w:rsid w:val="00D94355"/>
    <w:rsid w:val="00D95B9A"/>
    <w:rsid w:val="00D95F7B"/>
    <w:rsid w:val="00D961B4"/>
    <w:rsid w:val="00D9620E"/>
    <w:rsid w:val="00D962B9"/>
    <w:rsid w:val="00D96C50"/>
    <w:rsid w:val="00D96D8D"/>
    <w:rsid w:val="00D973B7"/>
    <w:rsid w:val="00DA10A8"/>
    <w:rsid w:val="00DA27A0"/>
    <w:rsid w:val="00DA2A8E"/>
    <w:rsid w:val="00DA2B03"/>
    <w:rsid w:val="00DA36BE"/>
    <w:rsid w:val="00DA395C"/>
    <w:rsid w:val="00DA3BE1"/>
    <w:rsid w:val="00DA4C09"/>
    <w:rsid w:val="00DA55FC"/>
    <w:rsid w:val="00DA599D"/>
    <w:rsid w:val="00DA61D3"/>
    <w:rsid w:val="00DB0260"/>
    <w:rsid w:val="00DB0DB8"/>
    <w:rsid w:val="00DB13B5"/>
    <w:rsid w:val="00DB1E08"/>
    <w:rsid w:val="00DB2973"/>
    <w:rsid w:val="00DB3342"/>
    <w:rsid w:val="00DB38CB"/>
    <w:rsid w:val="00DB3E19"/>
    <w:rsid w:val="00DB3ED0"/>
    <w:rsid w:val="00DB40DF"/>
    <w:rsid w:val="00DB4D1C"/>
    <w:rsid w:val="00DB50B3"/>
    <w:rsid w:val="00DB5596"/>
    <w:rsid w:val="00DB5AFD"/>
    <w:rsid w:val="00DB6AF8"/>
    <w:rsid w:val="00DC07C5"/>
    <w:rsid w:val="00DC1B56"/>
    <w:rsid w:val="00DC1CF3"/>
    <w:rsid w:val="00DC2129"/>
    <w:rsid w:val="00DC45C3"/>
    <w:rsid w:val="00DC5622"/>
    <w:rsid w:val="00DC5979"/>
    <w:rsid w:val="00DC6570"/>
    <w:rsid w:val="00DC72BE"/>
    <w:rsid w:val="00DD0629"/>
    <w:rsid w:val="00DD08D2"/>
    <w:rsid w:val="00DD0B9D"/>
    <w:rsid w:val="00DD279D"/>
    <w:rsid w:val="00DD2E21"/>
    <w:rsid w:val="00DD2F92"/>
    <w:rsid w:val="00DD305E"/>
    <w:rsid w:val="00DD35DE"/>
    <w:rsid w:val="00DD39CF"/>
    <w:rsid w:val="00DD3C5E"/>
    <w:rsid w:val="00DD410E"/>
    <w:rsid w:val="00DD47ED"/>
    <w:rsid w:val="00DD5DA7"/>
    <w:rsid w:val="00DD663A"/>
    <w:rsid w:val="00DE0A9D"/>
    <w:rsid w:val="00DE0B35"/>
    <w:rsid w:val="00DE151D"/>
    <w:rsid w:val="00DE28DE"/>
    <w:rsid w:val="00DE3D68"/>
    <w:rsid w:val="00DE4307"/>
    <w:rsid w:val="00DE566C"/>
    <w:rsid w:val="00DE748E"/>
    <w:rsid w:val="00DE7B78"/>
    <w:rsid w:val="00DF1226"/>
    <w:rsid w:val="00DF2534"/>
    <w:rsid w:val="00DF25C3"/>
    <w:rsid w:val="00DF3A9F"/>
    <w:rsid w:val="00DF4E03"/>
    <w:rsid w:val="00DF510F"/>
    <w:rsid w:val="00DF5486"/>
    <w:rsid w:val="00DF54ED"/>
    <w:rsid w:val="00DF5EE0"/>
    <w:rsid w:val="00DF6202"/>
    <w:rsid w:val="00DF6690"/>
    <w:rsid w:val="00DF7390"/>
    <w:rsid w:val="00E030CD"/>
    <w:rsid w:val="00E03825"/>
    <w:rsid w:val="00E04062"/>
    <w:rsid w:val="00E051FD"/>
    <w:rsid w:val="00E05E16"/>
    <w:rsid w:val="00E06217"/>
    <w:rsid w:val="00E063C6"/>
    <w:rsid w:val="00E066BA"/>
    <w:rsid w:val="00E11071"/>
    <w:rsid w:val="00E1178E"/>
    <w:rsid w:val="00E12CFA"/>
    <w:rsid w:val="00E15B88"/>
    <w:rsid w:val="00E17116"/>
    <w:rsid w:val="00E17AF7"/>
    <w:rsid w:val="00E2003B"/>
    <w:rsid w:val="00E202CC"/>
    <w:rsid w:val="00E203C2"/>
    <w:rsid w:val="00E206F8"/>
    <w:rsid w:val="00E21E25"/>
    <w:rsid w:val="00E22CA5"/>
    <w:rsid w:val="00E22F6A"/>
    <w:rsid w:val="00E239AE"/>
    <w:rsid w:val="00E247F1"/>
    <w:rsid w:val="00E25243"/>
    <w:rsid w:val="00E26B79"/>
    <w:rsid w:val="00E2752E"/>
    <w:rsid w:val="00E27533"/>
    <w:rsid w:val="00E279D8"/>
    <w:rsid w:val="00E305DD"/>
    <w:rsid w:val="00E3131B"/>
    <w:rsid w:val="00E319B1"/>
    <w:rsid w:val="00E33C73"/>
    <w:rsid w:val="00E3559F"/>
    <w:rsid w:val="00E357E9"/>
    <w:rsid w:val="00E35DA7"/>
    <w:rsid w:val="00E37986"/>
    <w:rsid w:val="00E41EAC"/>
    <w:rsid w:val="00E42770"/>
    <w:rsid w:val="00E42C37"/>
    <w:rsid w:val="00E42E06"/>
    <w:rsid w:val="00E44E0D"/>
    <w:rsid w:val="00E46AAB"/>
    <w:rsid w:val="00E47358"/>
    <w:rsid w:val="00E4738A"/>
    <w:rsid w:val="00E4793F"/>
    <w:rsid w:val="00E47C0F"/>
    <w:rsid w:val="00E50C70"/>
    <w:rsid w:val="00E50DF4"/>
    <w:rsid w:val="00E52D5E"/>
    <w:rsid w:val="00E5350D"/>
    <w:rsid w:val="00E53992"/>
    <w:rsid w:val="00E5492F"/>
    <w:rsid w:val="00E60401"/>
    <w:rsid w:val="00E60A19"/>
    <w:rsid w:val="00E60B34"/>
    <w:rsid w:val="00E621D7"/>
    <w:rsid w:val="00E62DEF"/>
    <w:rsid w:val="00E63F0D"/>
    <w:rsid w:val="00E64926"/>
    <w:rsid w:val="00E650F4"/>
    <w:rsid w:val="00E65325"/>
    <w:rsid w:val="00E660C0"/>
    <w:rsid w:val="00E670AA"/>
    <w:rsid w:val="00E70A86"/>
    <w:rsid w:val="00E7157F"/>
    <w:rsid w:val="00E71895"/>
    <w:rsid w:val="00E7213E"/>
    <w:rsid w:val="00E7214E"/>
    <w:rsid w:val="00E72A4D"/>
    <w:rsid w:val="00E7410D"/>
    <w:rsid w:val="00E754A0"/>
    <w:rsid w:val="00E76231"/>
    <w:rsid w:val="00E76B17"/>
    <w:rsid w:val="00E76D38"/>
    <w:rsid w:val="00E777EC"/>
    <w:rsid w:val="00E77FC1"/>
    <w:rsid w:val="00E80EBF"/>
    <w:rsid w:val="00E80FCD"/>
    <w:rsid w:val="00E81145"/>
    <w:rsid w:val="00E813D9"/>
    <w:rsid w:val="00E816C4"/>
    <w:rsid w:val="00E82976"/>
    <w:rsid w:val="00E839F5"/>
    <w:rsid w:val="00E86B49"/>
    <w:rsid w:val="00E874BB"/>
    <w:rsid w:val="00E903A7"/>
    <w:rsid w:val="00E907D7"/>
    <w:rsid w:val="00E91BE1"/>
    <w:rsid w:val="00E91C53"/>
    <w:rsid w:val="00E93E88"/>
    <w:rsid w:val="00E945AD"/>
    <w:rsid w:val="00E9700D"/>
    <w:rsid w:val="00E97487"/>
    <w:rsid w:val="00EA097C"/>
    <w:rsid w:val="00EA15C8"/>
    <w:rsid w:val="00EA19EE"/>
    <w:rsid w:val="00EA1E7F"/>
    <w:rsid w:val="00EA1FCB"/>
    <w:rsid w:val="00EA25EF"/>
    <w:rsid w:val="00EA4479"/>
    <w:rsid w:val="00EA45A9"/>
    <w:rsid w:val="00EA4D6E"/>
    <w:rsid w:val="00EA5625"/>
    <w:rsid w:val="00EA5629"/>
    <w:rsid w:val="00EA6EB5"/>
    <w:rsid w:val="00EA7964"/>
    <w:rsid w:val="00EA7F2F"/>
    <w:rsid w:val="00EB0FDE"/>
    <w:rsid w:val="00EB1B88"/>
    <w:rsid w:val="00EB20D0"/>
    <w:rsid w:val="00EB3EF4"/>
    <w:rsid w:val="00EB51D7"/>
    <w:rsid w:val="00EB68F3"/>
    <w:rsid w:val="00EB784C"/>
    <w:rsid w:val="00EC00DE"/>
    <w:rsid w:val="00EC05CA"/>
    <w:rsid w:val="00EC13A5"/>
    <w:rsid w:val="00EC1996"/>
    <w:rsid w:val="00EC21A8"/>
    <w:rsid w:val="00EC2558"/>
    <w:rsid w:val="00EC2D67"/>
    <w:rsid w:val="00EC30E1"/>
    <w:rsid w:val="00EC364F"/>
    <w:rsid w:val="00EC5A2F"/>
    <w:rsid w:val="00EC6B24"/>
    <w:rsid w:val="00EC7070"/>
    <w:rsid w:val="00EC711A"/>
    <w:rsid w:val="00EC765E"/>
    <w:rsid w:val="00ED172A"/>
    <w:rsid w:val="00ED1A3D"/>
    <w:rsid w:val="00ED1D9D"/>
    <w:rsid w:val="00ED2602"/>
    <w:rsid w:val="00ED3230"/>
    <w:rsid w:val="00ED422F"/>
    <w:rsid w:val="00ED504E"/>
    <w:rsid w:val="00ED5B05"/>
    <w:rsid w:val="00EE0CC5"/>
    <w:rsid w:val="00EE1432"/>
    <w:rsid w:val="00EE2AD7"/>
    <w:rsid w:val="00EE3641"/>
    <w:rsid w:val="00EE381A"/>
    <w:rsid w:val="00EE3F1C"/>
    <w:rsid w:val="00EE46E9"/>
    <w:rsid w:val="00EE7089"/>
    <w:rsid w:val="00EE7A0D"/>
    <w:rsid w:val="00EE7A6E"/>
    <w:rsid w:val="00EF0759"/>
    <w:rsid w:val="00EF1C8A"/>
    <w:rsid w:val="00EF1F96"/>
    <w:rsid w:val="00EF2A73"/>
    <w:rsid w:val="00EF6486"/>
    <w:rsid w:val="00F00A4A"/>
    <w:rsid w:val="00F02B41"/>
    <w:rsid w:val="00F03A21"/>
    <w:rsid w:val="00F046B9"/>
    <w:rsid w:val="00F04D55"/>
    <w:rsid w:val="00F050BB"/>
    <w:rsid w:val="00F05115"/>
    <w:rsid w:val="00F05DA5"/>
    <w:rsid w:val="00F108A3"/>
    <w:rsid w:val="00F10BD0"/>
    <w:rsid w:val="00F11F6C"/>
    <w:rsid w:val="00F13351"/>
    <w:rsid w:val="00F13B38"/>
    <w:rsid w:val="00F13EE9"/>
    <w:rsid w:val="00F14BEC"/>
    <w:rsid w:val="00F17160"/>
    <w:rsid w:val="00F17CB3"/>
    <w:rsid w:val="00F20912"/>
    <w:rsid w:val="00F21E0D"/>
    <w:rsid w:val="00F225C5"/>
    <w:rsid w:val="00F246C5"/>
    <w:rsid w:val="00F25201"/>
    <w:rsid w:val="00F2587A"/>
    <w:rsid w:val="00F3131A"/>
    <w:rsid w:val="00F317D7"/>
    <w:rsid w:val="00F332D2"/>
    <w:rsid w:val="00F335EA"/>
    <w:rsid w:val="00F349FC"/>
    <w:rsid w:val="00F35B49"/>
    <w:rsid w:val="00F36171"/>
    <w:rsid w:val="00F3618C"/>
    <w:rsid w:val="00F363C6"/>
    <w:rsid w:val="00F3715D"/>
    <w:rsid w:val="00F376DD"/>
    <w:rsid w:val="00F40B7A"/>
    <w:rsid w:val="00F420C8"/>
    <w:rsid w:val="00F42A4C"/>
    <w:rsid w:val="00F435CA"/>
    <w:rsid w:val="00F444E9"/>
    <w:rsid w:val="00F44AB2"/>
    <w:rsid w:val="00F45629"/>
    <w:rsid w:val="00F460D2"/>
    <w:rsid w:val="00F46217"/>
    <w:rsid w:val="00F50F50"/>
    <w:rsid w:val="00F51772"/>
    <w:rsid w:val="00F51A11"/>
    <w:rsid w:val="00F51B9B"/>
    <w:rsid w:val="00F5229A"/>
    <w:rsid w:val="00F524A3"/>
    <w:rsid w:val="00F53944"/>
    <w:rsid w:val="00F5441C"/>
    <w:rsid w:val="00F545FF"/>
    <w:rsid w:val="00F54A65"/>
    <w:rsid w:val="00F55298"/>
    <w:rsid w:val="00F55494"/>
    <w:rsid w:val="00F563C9"/>
    <w:rsid w:val="00F6029B"/>
    <w:rsid w:val="00F603C2"/>
    <w:rsid w:val="00F604DE"/>
    <w:rsid w:val="00F606DF"/>
    <w:rsid w:val="00F62AF6"/>
    <w:rsid w:val="00F63C05"/>
    <w:rsid w:val="00F64A30"/>
    <w:rsid w:val="00F64EBC"/>
    <w:rsid w:val="00F65477"/>
    <w:rsid w:val="00F659E7"/>
    <w:rsid w:val="00F65AF5"/>
    <w:rsid w:val="00F7042A"/>
    <w:rsid w:val="00F705B3"/>
    <w:rsid w:val="00F7104A"/>
    <w:rsid w:val="00F74C1B"/>
    <w:rsid w:val="00F75FE2"/>
    <w:rsid w:val="00F7700F"/>
    <w:rsid w:val="00F77C3A"/>
    <w:rsid w:val="00F81024"/>
    <w:rsid w:val="00F82721"/>
    <w:rsid w:val="00F83786"/>
    <w:rsid w:val="00F8393C"/>
    <w:rsid w:val="00F852BC"/>
    <w:rsid w:val="00F871F4"/>
    <w:rsid w:val="00F90171"/>
    <w:rsid w:val="00F908BA"/>
    <w:rsid w:val="00F91017"/>
    <w:rsid w:val="00F95093"/>
    <w:rsid w:val="00F95A91"/>
    <w:rsid w:val="00F95D8D"/>
    <w:rsid w:val="00F971EC"/>
    <w:rsid w:val="00FA0397"/>
    <w:rsid w:val="00FA0779"/>
    <w:rsid w:val="00FA10E4"/>
    <w:rsid w:val="00FA1AF8"/>
    <w:rsid w:val="00FA1FFB"/>
    <w:rsid w:val="00FA2DF7"/>
    <w:rsid w:val="00FA3243"/>
    <w:rsid w:val="00FA3DB3"/>
    <w:rsid w:val="00FA4410"/>
    <w:rsid w:val="00FA4C03"/>
    <w:rsid w:val="00FA559B"/>
    <w:rsid w:val="00FB039B"/>
    <w:rsid w:val="00FB111F"/>
    <w:rsid w:val="00FB1B54"/>
    <w:rsid w:val="00FB25E8"/>
    <w:rsid w:val="00FB2E22"/>
    <w:rsid w:val="00FB3036"/>
    <w:rsid w:val="00FB3381"/>
    <w:rsid w:val="00FB3383"/>
    <w:rsid w:val="00FB5DDA"/>
    <w:rsid w:val="00FB66F7"/>
    <w:rsid w:val="00FB6B86"/>
    <w:rsid w:val="00FB6EB8"/>
    <w:rsid w:val="00FB7512"/>
    <w:rsid w:val="00FC0BB7"/>
    <w:rsid w:val="00FC12ED"/>
    <w:rsid w:val="00FC319D"/>
    <w:rsid w:val="00FC5563"/>
    <w:rsid w:val="00FC58F2"/>
    <w:rsid w:val="00FC678A"/>
    <w:rsid w:val="00FD0916"/>
    <w:rsid w:val="00FD0974"/>
    <w:rsid w:val="00FD31B2"/>
    <w:rsid w:val="00FD71C5"/>
    <w:rsid w:val="00FD7547"/>
    <w:rsid w:val="00FE0744"/>
    <w:rsid w:val="00FE2529"/>
    <w:rsid w:val="00FE2F08"/>
    <w:rsid w:val="00FE3551"/>
    <w:rsid w:val="00FE6B7E"/>
    <w:rsid w:val="00FE716D"/>
    <w:rsid w:val="00FF2930"/>
    <w:rsid w:val="00FF30FF"/>
    <w:rsid w:val="00FF3A76"/>
    <w:rsid w:val="00FF42D9"/>
    <w:rsid w:val="00FF4881"/>
    <w:rsid w:val="00FF4EEB"/>
    <w:rsid w:val="00FF52FC"/>
    <w:rsid w:val="00FF5F5C"/>
    <w:rsid w:val="00FF6B20"/>
    <w:rsid w:val="00FF7F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7ADA9"/>
  <w15:docId w15:val="{7F8EE504-BF05-4CF6-808A-030640AE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iPriority="3"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autoRedefine/>
    <w:uiPriority w:val="2"/>
    <w:unhideWhenUsed/>
    <w:qFormat/>
    <w:rsid w:val="007F578C"/>
    <w:pPr>
      <w:keepNext/>
      <w:spacing w:before="240" w:after="240"/>
      <w:outlineLvl w:val="1"/>
    </w:pPr>
    <w:rPr>
      <w:rFonts w:eastAsiaTheme="minorEastAsia" w:cs="Arial"/>
      <w:b/>
      <w:bCs/>
      <w:color w:val="000000" w:themeColor="text1"/>
      <w:kern w:val="24"/>
      <w:szCs w:val="22"/>
      <w:lang w:val="en-AU" w:eastAsia="en-GB"/>
    </w:rPr>
  </w:style>
  <w:style w:type="paragraph" w:styleId="Heading3">
    <w:name w:val="heading 3"/>
    <w:aliases w:val="FSHeading 3,Subheading 1,FS Heading 3"/>
    <w:basedOn w:val="Normal"/>
    <w:next w:val="Normal"/>
    <w:link w:val="Heading3Char"/>
    <w:autoRedefine/>
    <w:uiPriority w:val="2"/>
    <w:unhideWhenUsed/>
    <w:qFormat/>
    <w:rsid w:val="00EE0CC5"/>
    <w:pPr>
      <w:keepNext/>
      <w:spacing w:before="240" w:after="240"/>
      <w:ind w:left="720" w:hanging="720"/>
      <w:outlineLvl w:val="2"/>
    </w:pPr>
    <w:rPr>
      <w:b/>
      <w:bCs/>
      <w:color w:val="000000" w:themeColor="text1"/>
      <w:lang w:eastAsia="en-AU" w:bidi="ar-SA"/>
    </w:rPr>
  </w:style>
  <w:style w:type="paragraph" w:styleId="Heading4">
    <w:name w:val="heading 4"/>
    <w:aliases w:val="FSHeading 4,Subheading 2,FS Heading 4"/>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2"/>
    <w:rsid w:val="007F578C"/>
    <w:rPr>
      <w:rFonts w:ascii="Arial" w:eastAsiaTheme="minorEastAsia" w:hAnsi="Arial" w:cs="Arial"/>
      <w:b/>
      <w:bCs/>
      <w:color w:val="000000" w:themeColor="text1"/>
      <w:kern w:val="24"/>
      <w:sz w:val="22"/>
      <w:szCs w:val="22"/>
      <w:lang w:val="en-AU" w:bidi="en-US"/>
    </w:rPr>
  </w:style>
  <w:style w:type="character" w:customStyle="1" w:styleId="Heading3Char">
    <w:name w:val="Heading 3 Char"/>
    <w:aliases w:val="FSHeading 3 Char,Subheading 1 Char,FS Heading 3 Char"/>
    <w:link w:val="Heading3"/>
    <w:uiPriority w:val="2"/>
    <w:rsid w:val="00EE0CC5"/>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D2A98"/>
    <w:pPr>
      <w:spacing w:after="240"/>
    </w:pPr>
    <w:rPr>
      <w:rFonts w:cs="Arial"/>
      <w:b/>
      <w:lang w:bidi="ar-SA"/>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Table2">
    <w:name w:val="Table 2"/>
    <w:basedOn w:val="Normal"/>
    <w:uiPriority w:val="20"/>
    <w:qFormat/>
    <w:rsid w:val="00C912B6"/>
    <w:pPr>
      <w:ind w:left="142" w:hanging="142"/>
    </w:pPr>
    <w:rPr>
      <w:bCs/>
      <w:sz w:val="20"/>
      <w:szCs w:val="20"/>
    </w:rPr>
  </w:style>
  <w:style w:type="paragraph" w:customStyle="1" w:styleId="131ItemHeading">
    <w:name w:val="1.3.1 Item Heading"/>
    <w:basedOn w:val="Table2"/>
    <w:next w:val="Table2"/>
    <w:uiPriority w:val="22"/>
    <w:qFormat/>
    <w:rsid w:val="00C912B6"/>
    <w:pPr>
      <w:keepNext/>
      <w:widowControl/>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C912B6"/>
    <w:pPr>
      <w:spacing w:after="120"/>
    </w:pPr>
    <w:rPr>
      <w:caps w:val="0"/>
      <w:sz w:val="18"/>
    </w:rPr>
  </w:style>
  <w:style w:type="paragraph" w:customStyle="1" w:styleId="142Tableheading1">
    <w:name w:val="1.4.2 Table heading1"/>
    <w:basedOn w:val="Normal"/>
    <w:uiPriority w:val="22"/>
    <w:qFormat/>
    <w:rsid w:val="00C912B6"/>
    <w:pPr>
      <w:keepNext/>
      <w:jc w:val="center"/>
    </w:pPr>
    <w:rPr>
      <w:rFonts w:ascii="Arial Bold" w:hAnsi="Arial Bold"/>
      <w:b/>
      <w:bCs/>
      <w:iCs/>
      <w:sz w:val="18"/>
    </w:rPr>
  </w:style>
  <w:style w:type="paragraph" w:customStyle="1" w:styleId="142Tableheading2">
    <w:name w:val="1.4.2 Table heading2"/>
    <w:basedOn w:val="Normal"/>
    <w:uiPriority w:val="22"/>
    <w:qFormat/>
    <w:rsid w:val="00C912B6"/>
    <w:pPr>
      <w:keepNext/>
      <w:jc w:val="center"/>
    </w:pPr>
    <w:rPr>
      <w:iCs/>
      <w:smallCaps/>
      <w:sz w:val="20"/>
      <w:szCs w:val="20"/>
    </w:rPr>
  </w:style>
  <w:style w:type="paragraph" w:customStyle="1" w:styleId="142Tabletext1">
    <w:name w:val="1.4.2 Table text1"/>
    <w:basedOn w:val="Normal"/>
    <w:link w:val="142Tabletext1Char"/>
    <w:uiPriority w:val="22"/>
    <w:qFormat/>
    <w:rsid w:val="00C912B6"/>
    <w:pPr>
      <w:ind w:left="142" w:hanging="142"/>
    </w:pPr>
    <w:rPr>
      <w:sz w:val="18"/>
      <w:szCs w:val="20"/>
    </w:rPr>
  </w:style>
  <w:style w:type="character" w:customStyle="1" w:styleId="142Tabletext1Char">
    <w:name w:val="1.4.2 Table text1 Char"/>
    <w:basedOn w:val="DefaultParagraphFont"/>
    <w:link w:val="142Tabletext1"/>
    <w:uiPriority w:val="22"/>
    <w:rsid w:val="00C912B6"/>
    <w:rPr>
      <w:rFonts w:ascii="Arial" w:hAnsi="Arial"/>
      <w:sz w:val="18"/>
      <w:lang w:eastAsia="en-US" w:bidi="en-US"/>
    </w:rPr>
  </w:style>
  <w:style w:type="paragraph" w:customStyle="1" w:styleId="142Tabletext2">
    <w:name w:val="1.4.2 Table text2"/>
    <w:basedOn w:val="142Tabletext1"/>
    <w:uiPriority w:val="22"/>
    <w:qFormat/>
    <w:rsid w:val="00C912B6"/>
    <w:pPr>
      <w:jc w:val="right"/>
    </w:pPr>
  </w:style>
  <w:style w:type="paragraph" w:customStyle="1" w:styleId="Blankpage">
    <w:name w:val="Blank page"/>
    <w:basedOn w:val="Normal"/>
    <w:next w:val="Normal"/>
    <w:uiPriority w:val="23"/>
    <w:qFormat/>
    <w:rsid w:val="00C912B6"/>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912B6"/>
    <w:pPr>
      <w:tabs>
        <w:tab w:val="left" w:pos="851"/>
      </w:tabs>
    </w:pPr>
    <w:rPr>
      <w:szCs w:val="20"/>
    </w:rPr>
  </w:style>
  <w:style w:type="character" w:customStyle="1" w:styleId="ClauseChar">
    <w:name w:val="Clause Char"/>
    <w:basedOn w:val="DefaultParagraphFont"/>
    <w:link w:val="Clause"/>
    <w:uiPriority w:val="10"/>
    <w:rsid w:val="00C912B6"/>
    <w:rPr>
      <w:rFonts w:ascii="Arial" w:hAnsi="Arial"/>
      <w:sz w:val="22"/>
      <w:lang w:eastAsia="en-US" w:bidi="en-US"/>
    </w:rPr>
  </w:style>
  <w:style w:type="paragraph" w:customStyle="1" w:styleId="Clauseheading">
    <w:name w:val="Clause heading"/>
    <w:basedOn w:val="Normal"/>
    <w:next w:val="Normal"/>
    <w:uiPriority w:val="14"/>
    <w:qFormat/>
    <w:rsid w:val="00C912B6"/>
    <w:pPr>
      <w:tabs>
        <w:tab w:val="left" w:pos="851"/>
      </w:tabs>
    </w:pPr>
    <w:rPr>
      <w:b/>
      <w:szCs w:val="20"/>
    </w:rPr>
  </w:style>
  <w:style w:type="paragraph" w:customStyle="1" w:styleId="ClauseList">
    <w:name w:val="Clause List"/>
    <w:basedOn w:val="Clause"/>
    <w:next w:val="Normal"/>
    <w:uiPriority w:val="14"/>
    <w:qFormat/>
    <w:rsid w:val="00C912B6"/>
  </w:style>
  <w:style w:type="paragraph" w:customStyle="1" w:styleId="Definition">
    <w:name w:val="Definition"/>
    <w:basedOn w:val="Normal"/>
    <w:next w:val="Normal"/>
    <w:link w:val="DefinitionChar"/>
    <w:uiPriority w:val="15"/>
    <w:qFormat/>
    <w:rsid w:val="00C912B6"/>
    <w:pPr>
      <w:ind w:left="1701" w:hanging="851"/>
    </w:pPr>
    <w:rPr>
      <w:szCs w:val="20"/>
    </w:rPr>
  </w:style>
  <w:style w:type="paragraph" w:customStyle="1" w:styleId="DivisionHeading">
    <w:name w:val="Division Heading"/>
    <w:basedOn w:val="Normal"/>
    <w:next w:val="Normal"/>
    <w:uiPriority w:val="15"/>
    <w:qFormat/>
    <w:rsid w:val="00C912B6"/>
    <w:pPr>
      <w:tabs>
        <w:tab w:val="left" w:pos="851"/>
      </w:tabs>
      <w:jc w:val="center"/>
    </w:pPr>
    <w:rPr>
      <w:b/>
      <w:sz w:val="28"/>
      <w:szCs w:val="20"/>
    </w:rPr>
  </w:style>
  <w:style w:type="paragraph" w:customStyle="1" w:styleId="EditorialNoteLine1">
    <w:name w:val="Editorial Note Line 1"/>
    <w:basedOn w:val="Normal"/>
    <w:next w:val="Normal"/>
    <w:uiPriority w:val="16"/>
    <w:qFormat/>
    <w:rsid w:val="00C912B6"/>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16"/>
    <w:qFormat/>
    <w:rsid w:val="00C912B6"/>
    <w:rPr>
      <w:b w:val="0"/>
    </w:rPr>
  </w:style>
  <w:style w:type="character" w:customStyle="1" w:styleId="FooterChar">
    <w:name w:val="Footer Char"/>
    <w:aliases w:val="FSFooter Char"/>
    <w:basedOn w:val="DefaultParagraphFont"/>
    <w:link w:val="Footer"/>
    <w:uiPriority w:val="99"/>
    <w:rsid w:val="00C912B6"/>
    <w:rPr>
      <w:rFonts w:ascii="Arial" w:hAnsi="Arial"/>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C912B6"/>
    <w:rPr>
      <w:rFonts w:ascii="Arial" w:hAnsi="Arial"/>
      <w:lang w:eastAsia="en-US" w:bidi="en-US"/>
    </w:rPr>
  </w:style>
  <w:style w:type="paragraph" w:customStyle="1" w:styleId="FSCaption">
    <w:name w:val="FSCaption"/>
    <w:basedOn w:val="Normal"/>
    <w:uiPriority w:val="9"/>
    <w:qFormat/>
    <w:rsid w:val="00C912B6"/>
    <w:pPr>
      <w:keepNext/>
      <w:keepLines/>
      <w:spacing w:before="120"/>
    </w:pPr>
    <w:rPr>
      <w:i/>
      <w:sz w:val="16"/>
      <w:szCs w:val="16"/>
    </w:rPr>
  </w:style>
  <w:style w:type="paragraph" w:customStyle="1" w:styleId="FSCFootnote">
    <w:name w:val="FSCFootnote"/>
    <w:basedOn w:val="Normal"/>
    <w:next w:val="Normal"/>
    <w:uiPriority w:val="17"/>
    <w:qFormat/>
    <w:rsid w:val="00C912B6"/>
    <w:rPr>
      <w:sz w:val="16"/>
      <w:szCs w:val="20"/>
    </w:rPr>
  </w:style>
  <w:style w:type="paragraph" w:customStyle="1" w:styleId="FSCFooter0">
    <w:name w:val="FSCFooter"/>
    <w:basedOn w:val="Footnote"/>
    <w:uiPriority w:val="17"/>
    <w:qFormat/>
    <w:rsid w:val="00C912B6"/>
    <w:pPr>
      <w:tabs>
        <w:tab w:val="clear" w:pos="851"/>
        <w:tab w:val="center" w:pos="4536"/>
        <w:tab w:val="right" w:pos="9070"/>
      </w:tabs>
    </w:pPr>
    <w:rPr>
      <w:sz w:val="18"/>
      <w:szCs w:val="18"/>
    </w:rPr>
  </w:style>
  <w:style w:type="paragraph" w:customStyle="1" w:styleId="FSPagenumber">
    <w:name w:val="FSPage number"/>
    <w:basedOn w:val="Normal"/>
    <w:uiPriority w:val="1"/>
    <w:qFormat/>
    <w:rsid w:val="00C912B6"/>
    <w:pPr>
      <w:jc w:val="right"/>
    </w:pPr>
    <w:rPr>
      <w:sz w:val="20"/>
      <w:szCs w:val="20"/>
    </w:rPr>
  </w:style>
  <w:style w:type="paragraph" w:customStyle="1" w:styleId="FSTableColumnRowheading">
    <w:name w:val="FSTable Column/Row heading"/>
    <w:basedOn w:val="Normal"/>
    <w:uiPriority w:val="8"/>
    <w:qFormat/>
    <w:rsid w:val="00C912B6"/>
    <w:pPr>
      <w:spacing w:before="120" w:after="120"/>
    </w:pPr>
    <w:rPr>
      <w:b/>
      <w:sz w:val="20"/>
      <w:szCs w:val="20"/>
    </w:rPr>
  </w:style>
  <w:style w:type="paragraph" w:customStyle="1" w:styleId="FSTableFigureHeading">
    <w:name w:val="FSTable/Figure Heading"/>
    <w:basedOn w:val="Normal"/>
    <w:uiPriority w:val="7"/>
    <w:qFormat/>
    <w:rsid w:val="00C912B6"/>
    <w:pPr>
      <w:spacing w:before="120" w:after="120"/>
      <w:ind w:left="1134" w:hanging="1134"/>
    </w:pPr>
    <w:rPr>
      <w:b/>
      <w:i/>
    </w:rPr>
  </w:style>
  <w:style w:type="paragraph" w:customStyle="1" w:styleId="Paragraph">
    <w:name w:val="Paragraph"/>
    <w:basedOn w:val="Clause"/>
    <w:next w:val="Normal"/>
    <w:uiPriority w:val="12"/>
    <w:qFormat/>
    <w:rsid w:val="00C912B6"/>
    <w:pPr>
      <w:tabs>
        <w:tab w:val="clear" w:pos="851"/>
      </w:tabs>
      <w:ind w:left="1702" w:hanging="851"/>
    </w:pPr>
  </w:style>
  <w:style w:type="paragraph" w:customStyle="1" w:styleId="ScheduleHeading">
    <w:name w:val="Schedule Heading"/>
    <w:basedOn w:val="Normal"/>
    <w:next w:val="Normal"/>
    <w:uiPriority w:val="18"/>
    <w:qFormat/>
    <w:rsid w:val="00C912B6"/>
    <w:pPr>
      <w:tabs>
        <w:tab w:val="left" w:pos="851"/>
      </w:tabs>
      <w:jc w:val="center"/>
    </w:pPr>
    <w:rPr>
      <w:b/>
      <w:caps/>
      <w:szCs w:val="20"/>
    </w:rPr>
  </w:style>
  <w:style w:type="paragraph" w:customStyle="1" w:styleId="Standardtitle">
    <w:name w:val="Standard title"/>
    <w:basedOn w:val="Normal"/>
    <w:uiPriority w:val="18"/>
    <w:qFormat/>
    <w:rsid w:val="00C912B6"/>
    <w:pPr>
      <w:tabs>
        <w:tab w:val="left" w:pos="851"/>
      </w:tabs>
      <w:jc w:val="center"/>
    </w:pPr>
    <w:rPr>
      <w:b/>
      <w:i/>
      <w:iCs/>
      <w:caps/>
      <w:sz w:val="28"/>
      <w:szCs w:val="20"/>
    </w:rPr>
  </w:style>
  <w:style w:type="paragraph" w:customStyle="1" w:styleId="Subclause">
    <w:name w:val="Subclause"/>
    <w:basedOn w:val="Clause"/>
    <w:link w:val="SubclauseChar"/>
    <w:uiPriority w:val="11"/>
    <w:qFormat/>
    <w:rsid w:val="00C912B6"/>
    <w:pPr>
      <w:ind w:hanging="11"/>
    </w:pPr>
  </w:style>
  <w:style w:type="paragraph" w:customStyle="1" w:styleId="Subparagraph">
    <w:name w:val="Subparagraph"/>
    <w:basedOn w:val="Paragraph"/>
    <w:next w:val="Normal"/>
    <w:uiPriority w:val="13"/>
    <w:qFormat/>
    <w:rsid w:val="00C912B6"/>
    <w:pPr>
      <w:ind w:left="2553"/>
    </w:pPr>
  </w:style>
  <w:style w:type="paragraph" w:customStyle="1" w:styleId="Table1">
    <w:name w:val="Table 1"/>
    <w:basedOn w:val="Normal"/>
    <w:uiPriority w:val="20"/>
    <w:qFormat/>
    <w:rsid w:val="00C912B6"/>
    <w:pPr>
      <w:spacing w:after="120"/>
      <w:jc w:val="center"/>
    </w:pPr>
    <w:rPr>
      <w:b/>
      <w:bCs/>
      <w:sz w:val="20"/>
      <w:szCs w:val="20"/>
    </w:rPr>
  </w:style>
  <w:style w:type="paragraph" w:customStyle="1" w:styleId="TitleBorder">
    <w:name w:val="TitleBorder"/>
    <w:basedOn w:val="Normal"/>
    <w:uiPriority w:val="19"/>
    <w:qFormat/>
    <w:rsid w:val="00C912B6"/>
    <w:pPr>
      <w:pBdr>
        <w:bottom w:val="double" w:sz="6" w:space="0" w:color="auto"/>
      </w:pBdr>
      <w:tabs>
        <w:tab w:val="left" w:pos="851"/>
      </w:tabs>
    </w:pPr>
    <w:rPr>
      <w:b/>
      <w:szCs w:val="20"/>
    </w:rPr>
  </w:style>
  <w:style w:type="paragraph" w:styleId="NoSpacing">
    <w:name w:val="No Spacing"/>
    <w:basedOn w:val="Normal"/>
    <w:uiPriority w:val="20"/>
    <w:qFormat/>
    <w:rsid w:val="00C912B6"/>
    <w:pPr>
      <w:widowControl/>
    </w:pPr>
    <w:rPr>
      <w:rFonts w:asciiTheme="minorHAnsi" w:eastAsiaTheme="minorHAnsi" w:hAnsiTheme="minorHAnsi" w:cstheme="minorBidi"/>
      <w:szCs w:val="22"/>
      <w:lang w:val="en-AU" w:bidi="ar-SA"/>
    </w:rPr>
  </w:style>
  <w:style w:type="paragraph" w:styleId="Subtitle">
    <w:name w:val="Subtitle"/>
    <w:basedOn w:val="Normal"/>
    <w:next w:val="Normal"/>
    <w:link w:val="SubtitleChar"/>
    <w:uiPriority w:val="11"/>
    <w:qFormat/>
    <w:rsid w:val="00C912B6"/>
    <w:pPr>
      <w:widowControl/>
      <w:numPr>
        <w:ilvl w:val="1"/>
      </w:numPr>
      <w:spacing w:after="200" w:line="276" w:lineRule="auto"/>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uiPriority w:val="11"/>
    <w:rsid w:val="00C912B6"/>
    <w:rPr>
      <w:rFonts w:asciiTheme="majorHAnsi" w:eastAsiaTheme="majorEastAsia" w:hAnsiTheme="majorHAnsi" w:cstheme="majorBidi"/>
      <w:i/>
      <w:iCs/>
      <w:color w:val="4F81BD" w:themeColor="accent1"/>
      <w:spacing w:val="15"/>
      <w:sz w:val="24"/>
      <w:szCs w:val="24"/>
      <w:lang w:val="en-AU" w:eastAsia="en-US"/>
    </w:rPr>
  </w:style>
  <w:style w:type="character" w:styleId="IntenseEmphasis">
    <w:name w:val="Intense Emphasis"/>
    <w:uiPriority w:val="21"/>
    <w:qFormat/>
    <w:rsid w:val="00C912B6"/>
    <w:rPr>
      <w:b/>
      <w:bCs/>
      <w:i/>
      <w:iCs/>
      <w:color w:val="4F81BD" w:themeColor="accent1"/>
    </w:rPr>
  </w:style>
  <w:style w:type="paragraph" w:styleId="ListParagraph">
    <w:name w:val="List Paragraph"/>
    <w:basedOn w:val="Normal"/>
    <w:uiPriority w:val="34"/>
    <w:qFormat/>
    <w:rsid w:val="00C912B6"/>
    <w:pPr>
      <w:ind w:left="720"/>
      <w:contextualSpacing/>
    </w:pPr>
  </w:style>
  <w:style w:type="paragraph" w:customStyle="1" w:styleId="FSDash">
    <w:name w:val="FS Dash"/>
    <w:basedOn w:val="Normal"/>
    <w:qFormat/>
    <w:rsid w:val="00C912B6"/>
    <w:pPr>
      <w:ind w:left="1134" w:hanging="567"/>
    </w:pPr>
  </w:style>
  <w:style w:type="paragraph" w:customStyle="1" w:styleId="Box1">
    <w:name w:val="Box 1"/>
    <w:basedOn w:val="Normal"/>
    <w:rsid w:val="00C912B6"/>
    <w:pPr>
      <w:tabs>
        <w:tab w:val="num" w:pos="120"/>
      </w:tabs>
      <w:ind w:left="113" w:hanging="113"/>
    </w:pPr>
    <w:rPr>
      <w:sz w:val="16"/>
    </w:rPr>
  </w:style>
  <w:style w:type="paragraph" w:customStyle="1" w:styleId="Box2">
    <w:name w:val="Box 2"/>
    <w:basedOn w:val="Normal"/>
    <w:rsid w:val="00C912B6"/>
    <w:pPr>
      <w:tabs>
        <w:tab w:val="left" w:pos="4608"/>
        <w:tab w:val="left" w:pos="9180"/>
        <w:tab w:val="left" w:pos="9216"/>
      </w:tabs>
      <w:jc w:val="center"/>
    </w:pPr>
    <w:rPr>
      <w:b/>
      <w:bCs/>
      <w:i/>
      <w:iCs/>
      <w:color w:val="000000"/>
      <w:sz w:val="16"/>
    </w:rPr>
  </w:style>
  <w:style w:type="paragraph" w:customStyle="1" w:styleId="Box3">
    <w:name w:val="Box 3"/>
    <w:basedOn w:val="Normal"/>
    <w:rsid w:val="00C912B6"/>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C912B6"/>
    <w:rPr>
      <w:b/>
      <w:bCs/>
      <w:iCs w:val="0"/>
    </w:rPr>
  </w:style>
  <w:style w:type="paragraph" w:customStyle="1" w:styleId="142tabletext10">
    <w:name w:val="1.4.2 table text1"/>
    <w:basedOn w:val="Normal"/>
    <w:rsid w:val="00C912B6"/>
    <w:pPr>
      <w:ind w:left="142" w:hanging="142"/>
    </w:pPr>
    <w:rPr>
      <w:smallCaps/>
      <w:sz w:val="20"/>
      <w:szCs w:val="20"/>
    </w:rPr>
  </w:style>
  <w:style w:type="paragraph" w:customStyle="1" w:styleId="142tabletext20">
    <w:name w:val="1.4.2 table text2"/>
    <w:basedOn w:val="142tabletext10"/>
    <w:rsid w:val="00C912B6"/>
    <w:pPr>
      <w:jc w:val="right"/>
    </w:pPr>
  </w:style>
  <w:style w:type="paragraph" w:customStyle="1" w:styleId="MiscellaneousHeading">
    <w:name w:val="Miscellaneous Heading"/>
    <w:basedOn w:val="Normal"/>
    <w:next w:val="Normal"/>
    <w:rsid w:val="00C912B6"/>
    <w:rPr>
      <w:b/>
      <w:szCs w:val="20"/>
    </w:rPr>
  </w:style>
  <w:style w:type="paragraph" w:customStyle="1" w:styleId="TableHeading">
    <w:name w:val="Table Heading"/>
    <w:basedOn w:val="Normal"/>
    <w:next w:val="Normal"/>
    <w:rsid w:val="00C912B6"/>
    <w:pPr>
      <w:tabs>
        <w:tab w:val="left" w:pos="851"/>
      </w:tabs>
      <w:jc w:val="center"/>
    </w:pPr>
    <w:rPr>
      <w:b/>
      <w:szCs w:val="20"/>
    </w:rPr>
  </w:style>
  <w:style w:type="paragraph" w:customStyle="1" w:styleId="FSDecisionHeading">
    <w:name w:val="FS Decision Heading"/>
    <w:basedOn w:val="Normal"/>
    <w:next w:val="FSDecisiontext"/>
    <w:qFormat/>
    <w:rsid w:val="00C912B6"/>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C912B6"/>
    <w:pPr>
      <w:pBdr>
        <w:top w:val="single" w:sz="4" w:space="1" w:color="auto"/>
        <w:left w:val="single" w:sz="4" w:space="4" w:color="auto"/>
        <w:bottom w:val="single" w:sz="4" w:space="1" w:color="auto"/>
        <w:right w:val="single" w:sz="4" w:space="4" w:color="auto"/>
      </w:pBdr>
    </w:pPr>
  </w:style>
  <w:style w:type="character" w:customStyle="1" w:styleId="BalloonTextChar">
    <w:name w:val="Balloon Text Char"/>
    <w:basedOn w:val="DefaultParagraphFont"/>
    <w:link w:val="BalloonText"/>
    <w:uiPriority w:val="99"/>
    <w:semiHidden/>
    <w:rsid w:val="00C912B6"/>
    <w:rPr>
      <w:rFonts w:ascii="Tahoma" w:hAnsi="Tahoma" w:cs="Tahoma"/>
      <w:sz w:val="16"/>
      <w:szCs w:val="16"/>
      <w:lang w:eastAsia="en-US" w:bidi="en-US"/>
    </w:rPr>
  </w:style>
  <w:style w:type="paragraph" w:customStyle="1" w:styleId="FSBullet">
    <w:name w:val="FS Bullet"/>
    <w:basedOn w:val="Normal"/>
    <w:next w:val="Normal"/>
    <w:link w:val="FSBulletChar"/>
    <w:qFormat/>
    <w:rsid w:val="00C912B6"/>
    <w:pPr>
      <w:ind w:left="567" w:hanging="567"/>
    </w:pPr>
    <w:rPr>
      <w:rFonts w:cs="Arial"/>
    </w:rPr>
  </w:style>
  <w:style w:type="character" w:customStyle="1" w:styleId="FSBulletChar">
    <w:name w:val="FS Bullet Char"/>
    <w:basedOn w:val="DefaultParagraphFont"/>
    <w:link w:val="FSBullet"/>
    <w:rsid w:val="00C912B6"/>
    <w:rPr>
      <w:rFonts w:ascii="Arial" w:hAnsi="Arial" w:cs="Arial"/>
      <w:sz w:val="22"/>
      <w:szCs w:val="24"/>
      <w:lang w:eastAsia="en-US" w:bidi="en-US"/>
    </w:rPr>
  </w:style>
  <w:style w:type="paragraph" w:styleId="CommentSubject">
    <w:name w:val="annotation subject"/>
    <w:basedOn w:val="CommentText"/>
    <w:next w:val="CommentText"/>
    <w:link w:val="CommentSubjectChar"/>
    <w:uiPriority w:val="99"/>
    <w:rsid w:val="00C912B6"/>
    <w:rPr>
      <w:b/>
      <w:bCs/>
    </w:rPr>
  </w:style>
  <w:style w:type="character" w:customStyle="1" w:styleId="CommentSubjectChar">
    <w:name w:val="Comment Subject Char"/>
    <w:basedOn w:val="CommentTextChar"/>
    <w:link w:val="CommentSubject"/>
    <w:uiPriority w:val="99"/>
    <w:rsid w:val="00C912B6"/>
    <w:rPr>
      <w:rFonts w:ascii="Arial" w:hAnsi="Arial"/>
      <w:b/>
      <w:bCs/>
      <w:lang w:eastAsia="en-US" w:bidi="en-US"/>
    </w:rPr>
  </w:style>
  <w:style w:type="paragraph" w:styleId="DocumentMap">
    <w:name w:val="Document Map"/>
    <w:basedOn w:val="Normal"/>
    <w:link w:val="DocumentMapChar"/>
    <w:uiPriority w:val="99"/>
    <w:rsid w:val="00C912B6"/>
    <w:rPr>
      <w:rFonts w:ascii="Tahoma" w:hAnsi="Tahoma" w:cs="Tahoma"/>
      <w:sz w:val="16"/>
      <w:szCs w:val="16"/>
    </w:rPr>
  </w:style>
  <w:style w:type="character" w:customStyle="1" w:styleId="DocumentMapChar">
    <w:name w:val="Document Map Char"/>
    <w:basedOn w:val="DefaultParagraphFont"/>
    <w:link w:val="DocumentMap"/>
    <w:uiPriority w:val="99"/>
    <w:rsid w:val="00C912B6"/>
    <w:rPr>
      <w:rFonts w:ascii="Tahoma" w:hAnsi="Tahoma" w:cs="Tahoma"/>
      <w:sz w:val="16"/>
      <w:szCs w:val="16"/>
      <w:lang w:eastAsia="en-US" w:bidi="en-US"/>
    </w:rPr>
  </w:style>
  <w:style w:type="paragraph" w:customStyle="1" w:styleId="heading">
    <w:name w:val="heading"/>
    <w:basedOn w:val="Normal"/>
    <w:rsid w:val="00C912B6"/>
    <w:pPr>
      <w:tabs>
        <w:tab w:val="left" w:pos="840"/>
      </w:tabs>
      <w:ind w:left="851" w:hanging="851"/>
    </w:pPr>
    <w:rPr>
      <w:b/>
      <w:caps/>
      <w:szCs w:val="20"/>
    </w:rPr>
  </w:style>
  <w:style w:type="paragraph" w:customStyle="1" w:styleId="Bullet">
    <w:name w:val="Bullet"/>
    <w:basedOn w:val="Normal"/>
    <w:next w:val="Normal"/>
    <w:link w:val="BulletChar"/>
    <w:rsid w:val="00C912B6"/>
    <w:pPr>
      <w:spacing w:after="200" w:line="276" w:lineRule="auto"/>
      <w:ind w:left="567" w:hanging="567"/>
    </w:pPr>
    <w:rPr>
      <w:rFonts w:ascii="Times New Roman" w:eastAsiaTheme="minorHAnsi" w:hAnsi="Times New Roman" w:cstheme="minorBidi"/>
      <w:lang w:bidi="ar-SA"/>
    </w:rPr>
  </w:style>
  <w:style w:type="character" w:customStyle="1" w:styleId="BulletChar">
    <w:name w:val="Bullet Char"/>
    <w:basedOn w:val="DefaultParagraphFont"/>
    <w:link w:val="Bullet"/>
    <w:locked/>
    <w:rsid w:val="00C912B6"/>
    <w:rPr>
      <w:rFonts w:ascii="Times New Roman" w:eastAsiaTheme="minorHAnsi" w:hAnsi="Times New Roman" w:cstheme="minorBidi"/>
      <w:sz w:val="22"/>
      <w:szCs w:val="24"/>
      <w:lang w:eastAsia="en-US"/>
    </w:rPr>
  </w:style>
  <w:style w:type="paragraph" w:styleId="NormalWeb">
    <w:name w:val="Normal (Web)"/>
    <w:basedOn w:val="Normal"/>
    <w:uiPriority w:val="99"/>
    <w:rsid w:val="00C912B6"/>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1">
    <w:name w:val="EmailStyle831"/>
    <w:basedOn w:val="DefaultParagraphFont"/>
    <w:rsid w:val="00C912B6"/>
    <w:rPr>
      <w:rFonts w:ascii="Arial" w:hAnsi="Arial" w:cs="Arial"/>
      <w:color w:val="000000"/>
      <w:sz w:val="20"/>
      <w:szCs w:val="20"/>
    </w:rPr>
  </w:style>
  <w:style w:type="paragraph" w:styleId="HTMLPreformatted">
    <w:name w:val="HTML Preformatted"/>
    <w:basedOn w:val="Normal"/>
    <w:link w:val="HTMLPreformattedChar"/>
    <w:rsid w:val="00C912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C912B6"/>
    <w:rPr>
      <w:rFonts w:ascii="Courier New" w:eastAsiaTheme="minorHAnsi" w:hAnsi="Courier New" w:cs="Courier New"/>
      <w:szCs w:val="22"/>
      <w:lang w:val="en-AU" w:eastAsia="en-AU"/>
    </w:rPr>
  </w:style>
  <w:style w:type="paragraph" w:customStyle="1" w:styleId="Default">
    <w:name w:val="Default"/>
    <w:rsid w:val="00C912B6"/>
    <w:pPr>
      <w:autoSpaceDE w:val="0"/>
      <w:autoSpaceDN w:val="0"/>
      <w:adjustRightInd w:val="0"/>
    </w:pPr>
    <w:rPr>
      <w:rFonts w:ascii="CVKFAZ+Helvetica-Bold" w:hAnsi="CVKFAZ+Helvetica-Bold" w:cs="CVKFAZ+Helvetica-Bold"/>
      <w:color w:val="000000"/>
      <w:sz w:val="24"/>
      <w:szCs w:val="24"/>
      <w:lang w:val="en-AU" w:eastAsia="en-AU"/>
    </w:rPr>
  </w:style>
  <w:style w:type="paragraph" w:styleId="Title">
    <w:name w:val="Title"/>
    <w:basedOn w:val="Normal"/>
    <w:next w:val="Normal"/>
    <w:link w:val="TitleChar"/>
    <w:uiPriority w:val="10"/>
    <w:qFormat/>
    <w:rsid w:val="00C912B6"/>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C912B6"/>
    <w:rPr>
      <w:rFonts w:asciiTheme="majorHAnsi" w:eastAsiaTheme="majorEastAsia" w:hAnsiTheme="majorHAnsi" w:cstheme="majorBidi"/>
      <w:color w:val="17365D" w:themeColor="text2" w:themeShade="BF"/>
      <w:spacing w:val="5"/>
      <w:kern w:val="28"/>
      <w:sz w:val="52"/>
      <w:szCs w:val="52"/>
      <w:lang w:val="en-AU" w:eastAsia="en-US"/>
    </w:rPr>
  </w:style>
  <w:style w:type="character" w:styleId="Strong">
    <w:name w:val="Strong"/>
    <w:uiPriority w:val="22"/>
    <w:qFormat/>
    <w:rsid w:val="00C912B6"/>
    <w:rPr>
      <w:b/>
      <w:bCs/>
    </w:rPr>
  </w:style>
  <w:style w:type="character" w:styleId="Emphasis">
    <w:name w:val="Emphasis"/>
    <w:uiPriority w:val="20"/>
    <w:qFormat/>
    <w:rsid w:val="00C912B6"/>
    <w:rPr>
      <w:i/>
      <w:iCs/>
    </w:rPr>
  </w:style>
  <w:style w:type="paragraph" w:styleId="Quote">
    <w:name w:val="Quote"/>
    <w:basedOn w:val="Normal"/>
    <w:next w:val="Normal"/>
    <w:link w:val="QuoteChar"/>
    <w:uiPriority w:val="29"/>
    <w:qFormat/>
    <w:rsid w:val="00C912B6"/>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C912B6"/>
    <w:rPr>
      <w:rFonts w:asciiTheme="minorHAnsi" w:eastAsiaTheme="minorHAnsi" w:hAnsiTheme="minorHAnsi" w:cstheme="minorBidi"/>
      <w:i/>
      <w:iCs/>
      <w:color w:val="000000" w:themeColor="text1"/>
      <w:sz w:val="22"/>
      <w:szCs w:val="22"/>
      <w:lang w:val="en-AU" w:eastAsia="en-US"/>
    </w:rPr>
  </w:style>
  <w:style w:type="paragraph" w:styleId="IntenseQuote">
    <w:name w:val="Intense Quote"/>
    <w:basedOn w:val="Normal"/>
    <w:next w:val="Normal"/>
    <w:link w:val="IntenseQuoteChar"/>
    <w:uiPriority w:val="30"/>
    <w:qFormat/>
    <w:rsid w:val="00C912B6"/>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C912B6"/>
    <w:rPr>
      <w:rFonts w:asciiTheme="minorHAnsi" w:eastAsiaTheme="minorHAnsi" w:hAnsiTheme="minorHAnsi" w:cstheme="minorBidi"/>
      <w:b/>
      <w:bCs/>
      <w:i/>
      <w:iCs/>
      <w:color w:val="4F81BD" w:themeColor="accent1"/>
      <w:sz w:val="22"/>
      <w:szCs w:val="22"/>
      <w:lang w:val="en-AU" w:eastAsia="en-US"/>
    </w:rPr>
  </w:style>
  <w:style w:type="character" w:styleId="SubtleEmphasis">
    <w:name w:val="Subtle Emphasis"/>
    <w:uiPriority w:val="19"/>
    <w:qFormat/>
    <w:rsid w:val="00C912B6"/>
    <w:rPr>
      <w:i/>
      <w:iCs/>
      <w:color w:val="808080" w:themeColor="text1" w:themeTint="7F"/>
    </w:rPr>
  </w:style>
  <w:style w:type="character" w:styleId="SubtleReference">
    <w:name w:val="Subtle Reference"/>
    <w:uiPriority w:val="31"/>
    <w:qFormat/>
    <w:rsid w:val="00C912B6"/>
    <w:rPr>
      <w:smallCaps/>
      <w:color w:val="C0504D" w:themeColor="accent2"/>
      <w:u w:val="single"/>
    </w:rPr>
  </w:style>
  <w:style w:type="character" w:styleId="IntenseReference">
    <w:name w:val="Intense Reference"/>
    <w:uiPriority w:val="32"/>
    <w:qFormat/>
    <w:rsid w:val="00C912B6"/>
    <w:rPr>
      <w:b/>
      <w:bCs/>
      <w:smallCaps/>
      <w:color w:val="C0504D" w:themeColor="accent2"/>
      <w:spacing w:val="5"/>
      <w:u w:val="single"/>
    </w:rPr>
  </w:style>
  <w:style w:type="character" w:styleId="BookTitle">
    <w:name w:val="Book Title"/>
    <w:uiPriority w:val="33"/>
    <w:qFormat/>
    <w:rsid w:val="00C912B6"/>
    <w:rPr>
      <w:b/>
      <w:bCs/>
      <w:smallCaps/>
      <w:spacing w:val="5"/>
    </w:rPr>
  </w:style>
  <w:style w:type="table" w:customStyle="1" w:styleId="Style1">
    <w:name w:val="Style1"/>
    <w:basedOn w:val="TableNormal"/>
    <w:uiPriority w:val="99"/>
    <w:qFormat/>
    <w:rsid w:val="00C912B6"/>
    <w:rPr>
      <w:rFonts w:asciiTheme="minorHAnsi" w:eastAsiaTheme="minorHAnsi" w:hAnsiTheme="minorHAnsi" w:cstheme="minorBidi"/>
      <w:sz w:val="22"/>
      <w:szCs w:val="22"/>
      <w:lang w:val="en-AU" w:eastAsia="en-US"/>
    </w:rPr>
    <w:tblPr/>
  </w:style>
  <w:style w:type="table" w:styleId="MediumList1-Accent3">
    <w:name w:val="Medium List 1 Accent 3"/>
    <w:basedOn w:val="TableNormal"/>
    <w:uiPriority w:val="65"/>
    <w:rsid w:val="00C912B6"/>
    <w:rPr>
      <w:rFonts w:ascii="Times New Roman" w:hAnsi="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C912B6"/>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C912B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C912B6"/>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ash">
    <w:name w:val="Dash"/>
    <w:basedOn w:val="Normal"/>
    <w:rsid w:val="00C912B6"/>
    <w:pPr>
      <w:numPr>
        <w:numId w:val="4"/>
      </w:numPr>
      <w:tabs>
        <w:tab w:val="clear" w:pos="583"/>
      </w:tabs>
      <w:ind w:left="1134" w:hanging="567"/>
    </w:pPr>
    <w:rPr>
      <w:rFonts w:ascii="Times New Roman" w:hAnsi="Times New Roman"/>
      <w:snapToGrid w:val="0"/>
      <w:sz w:val="24"/>
      <w:szCs w:val="20"/>
      <w:lang w:val="en-US" w:bidi="ar-SA"/>
    </w:rPr>
  </w:style>
  <w:style w:type="paragraph" w:customStyle="1" w:styleId="citation">
    <w:name w:val="citation"/>
    <w:basedOn w:val="Normal"/>
    <w:rsid w:val="00C912B6"/>
    <w:pPr>
      <w:widowControl/>
      <w:spacing w:before="100" w:beforeAutospacing="1" w:after="100" w:afterAutospacing="1"/>
    </w:pPr>
    <w:rPr>
      <w:rFonts w:ascii="Times New Roman" w:hAnsi="Times New Roman"/>
      <w:sz w:val="24"/>
      <w:lang w:val="en-AU" w:eastAsia="en-AU" w:bidi="ar-SA"/>
    </w:rPr>
  </w:style>
  <w:style w:type="paragraph" w:customStyle="1" w:styleId="authlist">
    <w:name w:val="auth_list"/>
    <w:basedOn w:val="Normal"/>
    <w:rsid w:val="00C912B6"/>
    <w:pPr>
      <w:widowControl/>
      <w:spacing w:before="100" w:beforeAutospacing="1" w:after="100" w:afterAutospacing="1"/>
    </w:pPr>
    <w:rPr>
      <w:rFonts w:ascii="Times New Roman" w:hAnsi="Times New Roman"/>
      <w:sz w:val="24"/>
      <w:lang w:val="en-AU" w:eastAsia="en-AU" w:bidi="ar-SA"/>
    </w:rPr>
  </w:style>
  <w:style w:type="paragraph" w:customStyle="1" w:styleId="aff">
    <w:name w:val="aff"/>
    <w:basedOn w:val="Normal"/>
    <w:rsid w:val="00C912B6"/>
    <w:pPr>
      <w:widowControl/>
      <w:spacing w:before="100" w:beforeAutospacing="1" w:after="100" w:afterAutospacing="1"/>
    </w:pPr>
    <w:rPr>
      <w:rFonts w:ascii="Times New Roman" w:hAnsi="Times New Roman"/>
      <w:sz w:val="24"/>
      <w:lang w:val="en-AU" w:eastAsia="en-AU" w:bidi="ar-SA"/>
    </w:rPr>
  </w:style>
  <w:style w:type="character" w:customStyle="1" w:styleId="criterion">
    <w:name w:val="criterion"/>
    <w:basedOn w:val="DefaultParagraphFont"/>
    <w:rsid w:val="00C912B6"/>
  </w:style>
  <w:style w:type="character" w:customStyle="1" w:styleId="criteria-value1">
    <w:name w:val="criteria-value1"/>
    <w:basedOn w:val="DefaultParagraphFont"/>
    <w:rsid w:val="00C912B6"/>
    <w:rPr>
      <w:b/>
      <w:bCs/>
      <w:color w:val="CC0000"/>
    </w:rPr>
  </w:style>
  <w:style w:type="character" w:customStyle="1" w:styleId="criteria-boolean">
    <w:name w:val="criteria-boolean"/>
    <w:basedOn w:val="DefaultParagraphFont"/>
    <w:rsid w:val="00C912B6"/>
  </w:style>
  <w:style w:type="character" w:customStyle="1" w:styleId="criteria-location">
    <w:name w:val="criteria-location"/>
    <w:basedOn w:val="DefaultParagraphFont"/>
    <w:rsid w:val="00C912B6"/>
  </w:style>
  <w:style w:type="paragraph" w:customStyle="1" w:styleId="Level2">
    <w:name w:val="Level 2"/>
    <w:basedOn w:val="Heading2"/>
    <w:link w:val="Level2Char"/>
    <w:rsid w:val="00C912B6"/>
    <w:pPr>
      <w:keepLines/>
      <w:widowControl/>
    </w:pPr>
    <w:rPr>
      <w:rFonts w:eastAsiaTheme="majorEastAsia"/>
      <w:szCs w:val="28"/>
    </w:rPr>
  </w:style>
  <w:style w:type="character" w:customStyle="1" w:styleId="Level2Char">
    <w:name w:val="Level 2 Char"/>
    <w:basedOn w:val="Heading2Char"/>
    <w:link w:val="Level2"/>
    <w:rsid w:val="00C912B6"/>
    <w:rPr>
      <w:rFonts w:ascii="Arial" w:eastAsiaTheme="majorEastAsia" w:hAnsi="Arial" w:cs="Arial"/>
      <w:b/>
      <w:bCs/>
      <w:color w:val="000000" w:themeColor="text1"/>
      <w:kern w:val="24"/>
      <w:sz w:val="28"/>
      <w:szCs w:val="28"/>
      <w:lang w:val="en-AU" w:eastAsia="en-US" w:bidi="en-US"/>
    </w:rPr>
  </w:style>
  <w:style w:type="paragraph" w:customStyle="1" w:styleId="Level1">
    <w:name w:val="Level 1"/>
    <w:basedOn w:val="Heading1"/>
    <w:link w:val="Level1Char"/>
    <w:rsid w:val="00C912B6"/>
    <w:pPr>
      <w:keepNext w:val="0"/>
      <w:widowControl/>
      <w:ind w:left="0" w:firstLine="0"/>
    </w:pPr>
    <w:rPr>
      <w:kern w:val="36"/>
      <w:szCs w:val="36"/>
      <w:u w:val="single"/>
      <w:lang w:eastAsia="en-AU" w:bidi="en-US"/>
    </w:rPr>
  </w:style>
  <w:style w:type="character" w:customStyle="1" w:styleId="Level1Char">
    <w:name w:val="Level 1 Char"/>
    <w:basedOn w:val="Heading1Char"/>
    <w:link w:val="Level1"/>
    <w:rsid w:val="00C912B6"/>
    <w:rPr>
      <w:rFonts w:ascii="Arial" w:hAnsi="Arial"/>
      <w:b/>
      <w:bCs/>
      <w:kern w:val="36"/>
      <w:sz w:val="36"/>
      <w:szCs w:val="36"/>
      <w:u w:val="single"/>
      <w:lang w:eastAsia="en-AU" w:bidi="en-US"/>
    </w:rPr>
  </w:style>
  <w:style w:type="paragraph" w:customStyle="1" w:styleId="Level3">
    <w:name w:val="Level 3"/>
    <w:basedOn w:val="Heading3"/>
    <w:link w:val="Level3Char"/>
    <w:rsid w:val="00C912B6"/>
    <w:pPr>
      <w:keepLines/>
      <w:widowControl/>
    </w:pPr>
    <w:rPr>
      <w:rFonts w:eastAsiaTheme="majorEastAsia" w:cs="Arial"/>
      <w:szCs w:val="22"/>
      <w:lang w:eastAsia="en-US" w:bidi="en-US"/>
    </w:rPr>
  </w:style>
  <w:style w:type="character" w:customStyle="1" w:styleId="Level3Char">
    <w:name w:val="Level 3 Char"/>
    <w:basedOn w:val="Heading3Char"/>
    <w:link w:val="Level3"/>
    <w:rsid w:val="00C912B6"/>
    <w:rPr>
      <w:rFonts w:ascii="Arial" w:eastAsiaTheme="majorEastAsia" w:hAnsi="Arial" w:cs="Arial"/>
      <w:b/>
      <w:bCs/>
      <w:color w:val="000000" w:themeColor="text1"/>
      <w:sz w:val="22"/>
      <w:szCs w:val="22"/>
      <w:lang w:eastAsia="en-US" w:bidi="en-US"/>
    </w:rPr>
  </w:style>
  <w:style w:type="paragraph" w:customStyle="1" w:styleId="Level4">
    <w:name w:val="Level 4"/>
    <w:basedOn w:val="Heading4"/>
    <w:link w:val="Level4Char"/>
    <w:rsid w:val="00C912B6"/>
    <w:pPr>
      <w:keepLines/>
      <w:widowControl/>
      <w:numPr>
        <w:ilvl w:val="3"/>
      </w:numPr>
      <w:ind w:left="851" w:hanging="851"/>
    </w:pPr>
    <w:rPr>
      <w:rFonts w:eastAsiaTheme="majorEastAsia"/>
      <w:lang w:bidi="en-US"/>
    </w:rPr>
  </w:style>
  <w:style w:type="character" w:customStyle="1" w:styleId="Level4Char">
    <w:name w:val="Level 4 Char"/>
    <w:basedOn w:val="Heading4Char"/>
    <w:link w:val="Level4"/>
    <w:rsid w:val="00C912B6"/>
    <w:rPr>
      <w:rFonts w:ascii="Arial" w:eastAsiaTheme="majorEastAsia" w:hAnsi="Arial"/>
      <w:b/>
      <w:bCs/>
      <w:i/>
      <w:iCs/>
      <w:sz w:val="22"/>
      <w:szCs w:val="22"/>
      <w:lang w:eastAsia="en-US" w:bidi="en-US"/>
    </w:rPr>
  </w:style>
  <w:style w:type="paragraph" w:customStyle="1" w:styleId="Level5">
    <w:name w:val="Level 5"/>
    <w:basedOn w:val="Heading5"/>
    <w:link w:val="Level5Char"/>
    <w:rsid w:val="00C912B6"/>
    <w:pPr>
      <w:keepLines/>
      <w:widowControl/>
      <w:numPr>
        <w:ilvl w:val="4"/>
      </w:numPr>
      <w:ind w:left="851" w:hanging="851"/>
    </w:pPr>
    <w:rPr>
      <w:rFonts w:eastAsiaTheme="majorEastAsia"/>
      <w:u w:val="single"/>
      <w:lang w:bidi="en-US"/>
    </w:rPr>
  </w:style>
  <w:style w:type="character" w:customStyle="1" w:styleId="Level5Char">
    <w:name w:val="Level 5 Char"/>
    <w:basedOn w:val="Heading5Char"/>
    <w:link w:val="Level5"/>
    <w:rsid w:val="00C912B6"/>
    <w:rPr>
      <w:rFonts w:ascii="Arial" w:eastAsiaTheme="majorEastAsia" w:hAnsi="Arial"/>
      <w:i/>
      <w:sz w:val="22"/>
      <w:szCs w:val="22"/>
      <w:u w:val="single"/>
      <w:lang w:eastAsia="en-US" w:bidi="en-US"/>
    </w:rPr>
  </w:style>
  <w:style w:type="paragraph" w:customStyle="1" w:styleId="One">
    <w:name w:val="One"/>
    <w:basedOn w:val="Heading1"/>
    <w:link w:val="OneChar"/>
    <w:autoRedefine/>
    <w:qFormat/>
    <w:rsid w:val="00C912B6"/>
    <w:pPr>
      <w:keepNext w:val="0"/>
      <w:widowControl/>
      <w:spacing w:line="264" w:lineRule="atLeast"/>
      <w:ind w:left="432" w:hanging="432"/>
      <w:jc w:val="both"/>
    </w:pPr>
    <w:rPr>
      <w:rFonts w:ascii="Tahoma" w:hAnsi="Tahoma" w:cs="Tahoma"/>
      <w:kern w:val="36"/>
      <w:sz w:val="28"/>
      <w:lang w:eastAsia="en-AU" w:bidi="en-US"/>
    </w:rPr>
  </w:style>
  <w:style w:type="character" w:customStyle="1" w:styleId="OneChar">
    <w:name w:val="One Char"/>
    <w:basedOn w:val="Heading1Char"/>
    <w:link w:val="One"/>
    <w:rsid w:val="00C912B6"/>
    <w:rPr>
      <w:rFonts w:ascii="Tahoma" w:hAnsi="Tahoma" w:cs="Tahoma"/>
      <w:b/>
      <w:bCs/>
      <w:kern w:val="36"/>
      <w:sz w:val="28"/>
      <w:szCs w:val="28"/>
      <w:lang w:eastAsia="en-AU" w:bidi="en-US"/>
    </w:rPr>
  </w:style>
  <w:style w:type="paragraph" w:customStyle="1" w:styleId="Two">
    <w:name w:val="Two"/>
    <w:basedOn w:val="Heading2"/>
    <w:link w:val="TwoChar"/>
    <w:autoRedefine/>
    <w:qFormat/>
    <w:rsid w:val="00C912B6"/>
    <w:pPr>
      <w:keepLines/>
      <w:widowControl/>
      <w:ind w:left="851" w:hanging="851"/>
    </w:pPr>
    <w:rPr>
      <w:rFonts w:eastAsiaTheme="majorEastAsia"/>
      <w:szCs w:val="28"/>
    </w:rPr>
  </w:style>
  <w:style w:type="character" w:customStyle="1" w:styleId="TwoChar">
    <w:name w:val="Two Char"/>
    <w:basedOn w:val="Heading2Char"/>
    <w:link w:val="Two"/>
    <w:rsid w:val="00C912B6"/>
    <w:rPr>
      <w:rFonts w:ascii="Arial" w:eastAsiaTheme="majorEastAsia" w:hAnsi="Arial" w:cs="Arial"/>
      <w:b/>
      <w:bCs/>
      <w:color w:val="000000" w:themeColor="text1"/>
      <w:kern w:val="24"/>
      <w:sz w:val="28"/>
      <w:szCs w:val="28"/>
      <w:lang w:val="en-AU" w:eastAsia="en-US" w:bidi="en-US"/>
    </w:rPr>
  </w:style>
  <w:style w:type="paragraph" w:customStyle="1" w:styleId="Three">
    <w:name w:val="Three"/>
    <w:basedOn w:val="Heading3"/>
    <w:link w:val="ThreeChar"/>
    <w:autoRedefine/>
    <w:qFormat/>
    <w:rsid w:val="00C912B6"/>
    <w:pPr>
      <w:keepLines/>
      <w:widowControl/>
      <w:ind w:left="851" w:hanging="851"/>
    </w:pPr>
    <w:rPr>
      <w:rFonts w:eastAsiaTheme="majorEastAsia" w:cs="Arial"/>
      <w:i/>
      <w:szCs w:val="22"/>
      <w:lang w:eastAsia="en-US" w:bidi="en-US"/>
    </w:rPr>
  </w:style>
  <w:style w:type="character" w:customStyle="1" w:styleId="ThreeChar">
    <w:name w:val="Three Char"/>
    <w:basedOn w:val="Heading3Char"/>
    <w:link w:val="Three"/>
    <w:rsid w:val="00C912B6"/>
    <w:rPr>
      <w:rFonts w:ascii="Arial" w:eastAsiaTheme="majorEastAsia" w:hAnsi="Arial" w:cs="Arial"/>
      <w:b/>
      <w:bCs/>
      <w:i/>
      <w:color w:val="000000" w:themeColor="text1"/>
      <w:sz w:val="22"/>
      <w:szCs w:val="22"/>
      <w:lang w:eastAsia="en-US" w:bidi="en-US"/>
    </w:rPr>
  </w:style>
  <w:style w:type="paragraph" w:customStyle="1" w:styleId="Four">
    <w:name w:val="Four"/>
    <w:basedOn w:val="Heading4"/>
    <w:link w:val="FourChar"/>
    <w:autoRedefine/>
    <w:qFormat/>
    <w:rsid w:val="00C912B6"/>
    <w:pPr>
      <w:keepLines/>
      <w:widowControl/>
      <w:numPr>
        <w:ilvl w:val="3"/>
      </w:numPr>
      <w:ind w:left="862" w:hanging="862"/>
    </w:pPr>
    <w:rPr>
      <w:rFonts w:eastAsiaTheme="majorEastAsia"/>
      <w:lang w:bidi="en-US"/>
    </w:rPr>
  </w:style>
  <w:style w:type="character" w:customStyle="1" w:styleId="FourChar">
    <w:name w:val="Four Char"/>
    <w:basedOn w:val="Heading4Char"/>
    <w:link w:val="Four"/>
    <w:rsid w:val="00C912B6"/>
    <w:rPr>
      <w:rFonts w:ascii="Arial" w:eastAsiaTheme="majorEastAsia" w:hAnsi="Arial"/>
      <w:b/>
      <w:bCs/>
      <w:i/>
      <w:iCs/>
      <w:sz w:val="22"/>
      <w:szCs w:val="22"/>
      <w:lang w:eastAsia="en-US" w:bidi="en-US"/>
    </w:rPr>
  </w:style>
  <w:style w:type="paragraph" w:customStyle="1" w:styleId="Five">
    <w:name w:val="Five"/>
    <w:basedOn w:val="Heading5"/>
    <w:link w:val="FiveChar"/>
    <w:autoRedefine/>
    <w:qFormat/>
    <w:rsid w:val="00C912B6"/>
    <w:pPr>
      <w:keepLines/>
      <w:widowControl/>
      <w:numPr>
        <w:ilvl w:val="4"/>
      </w:numPr>
      <w:ind w:left="1009" w:hanging="1009"/>
    </w:pPr>
    <w:rPr>
      <w:rFonts w:eastAsiaTheme="majorEastAsia"/>
      <w:u w:val="single"/>
      <w:lang w:bidi="en-US"/>
    </w:rPr>
  </w:style>
  <w:style w:type="character" w:customStyle="1" w:styleId="FiveChar">
    <w:name w:val="Five Char"/>
    <w:basedOn w:val="Heading5Char"/>
    <w:link w:val="Five"/>
    <w:rsid w:val="00C912B6"/>
    <w:rPr>
      <w:rFonts w:ascii="Arial" w:eastAsiaTheme="majorEastAsia" w:hAnsi="Arial"/>
      <w:i/>
      <w:sz w:val="22"/>
      <w:szCs w:val="22"/>
      <w:u w:val="single"/>
      <w:lang w:eastAsia="en-US" w:bidi="en-US"/>
    </w:rPr>
  </w:style>
  <w:style w:type="table" w:customStyle="1" w:styleId="LightShading1">
    <w:name w:val="Light Shading1"/>
    <w:basedOn w:val="TableNormal"/>
    <w:uiPriority w:val="60"/>
    <w:rsid w:val="00C912B6"/>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C912B6"/>
    <w:rPr>
      <w:rFonts w:ascii="Arial" w:eastAsiaTheme="minorHAnsi" w:hAnsi="Arial" w:cs="Arial"/>
      <w:sz w:val="22"/>
      <w:szCs w:val="22"/>
      <w:lang w:val="en-AU" w:eastAsia="en-US"/>
    </w:rPr>
  </w:style>
  <w:style w:type="paragraph" w:styleId="EndnoteText">
    <w:name w:val="endnote text"/>
    <w:basedOn w:val="Normal"/>
    <w:link w:val="EndnoteTextChar"/>
    <w:rsid w:val="00C912B6"/>
    <w:rPr>
      <w:sz w:val="20"/>
      <w:szCs w:val="20"/>
    </w:rPr>
  </w:style>
  <w:style w:type="character" w:customStyle="1" w:styleId="EndnoteTextChar">
    <w:name w:val="Endnote Text Char"/>
    <w:basedOn w:val="DefaultParagraphFont"/>
    <w:link w:val="EndnoteText"/>
    <w:rsid w:val="00C912B6"/>
    <w:rPr>
      <w:rFonts w:ascii="Arial" w:hAnsi="Arial"/>
      <w:lang w:eastAsia="en-US" w:bidi="en-US"/>
    </w:rPr>
  </w:style>
  <w:style w:type="character" w:styleId="EndnoteReference">
    <w:name w:val="endnote reference"/>
    <w:basedOn w:val="DefaultParagraphFont"/>
    <w:rsid w:val="00C912B6"/>
    <w:rPr>
      <w:vertAlign w:val="superscript"/>
    </w:rPr>
  </w:style>
  <w:style w:type="character" w:customStyle="1" w:styleId="highlight">
    <w:name w:val="highlight"/>
    <w:basedOn w:val="DefaultParagraphFont"/>
    <w:rsid w:val="00C912B6"/>
  </w:style>
  <w:style w:type="character" w:styleId="PlaceholderText">
    <w:name w:val="Placeholder Text"/>
    <w:basedOn w:val="DefaultParagraphFont"/>
    <w:uiPriority w:val="99"/>
    <w:semiHidden/>
    <w:rsid w:val="00C912B6"/>
    <w:rPr>
      <w:color w:val="808080"/>
    </w:rPr>
  </w:style>
  <w:style w:type="table" w:styleId="TableColorful1">
    <w:name w:val="Table Colorful 1"/>
    <w:basedOn w:val="TableNormal"/>
    <w:rsid w:val="00C912B6"/>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Dashpoint">
    <w:name w:val="Dash point"/>
    <w:basedOn w:val="Normal"/>
    <w:link w:val="DashpointChar"/>
    <w:rsid w:val="00C912B6"/>
    <w:pPr>
      <w:ind w:left="1134" w:hanging="567"/>
    </w:pPr>
    <w:rPr>
      <w:rFonts w:ascii="Times New Roman" w:hAnsi="Times New Roman"/>
      <w:sz w:val="24"/>
      <w:lang w:bidi="ar-SA"/>
    </w:rPr>
  </w:style>
  <w:style w:type="character" w:customStyle="1" w:styleId="DashpointChar">
    <w:name w:val="Dash point Char"/>
    <w:basedOn w:val="DefaultParagraphFont"/>
    <w:link w:val="Dashpoint"/>
    <w:rsid w:val="00C912B6"/>
    <w:rPr>
      <w:rFonts w:ascii="Times New Roman" w:hAnsi="Times New Roman"/>
      <w:sz w:val="24"/>
      <w:szCs w:val="24"/>
      <w:lang w:eastAsia="en-US"/>
    </w:rPr>
  </w:style>
  <w:style w:type="character" w:customStyle="1" w:styleId="DefinitionChar">
    <w:name w:val="Definition Char"/>
    <w:basedOn w:val="DefaultParagraphFont"/>
    <w:link w:val="Definition"/>
    <w:uiPriority w:val="15"/>
    <w:rsid w:val="00C912B6"/>
    <w:rPr>
      <w:rFonts w:ascii="Arial" w:hAnsi="Arial"/>
      <w:sz w:val="22"/>
      <w:lang w:eastAsia="en-US" w:bidi="en-US"/>
    </w:rPr>
  </w:style>
  <w:style w:type="character" w:customStyle="1" w:styleId="SubclauseChar">
    <w:name w:val="Subclause Char"/>
    <w:basedOn w:val="DefaultParagraphFont"/>
    <w:link w:val="Subclause"/>
    <w:uiPriority w:val="11"/>
    <w:rsid w:val="00C912B6"/>
    <w:rPr>
      <w:rFonts w:ascii="Arial" w:hAnsi="Arial"/>
      <w:sz w:val="22"/>
      <w:lang w:eastAsia="en-US" w:bidi="en-US"/>
    </w:rPr>
  </w:style>
  <w:style w:type="character" w:customStyle="1" w:styleId="st1">
    <w:name w:val="st1"/>
    <w:basedOn w:val="DefaultParagraphFont"/>
    <w:rsid w:val="00C912B6"/>
  </w:style>
  <w:style w:type="paragraph" w:customStyle="1" w:styleId="FSCfooter1">
    <w:name w:val="FSCfooter"/>
    <w:basedOn w:val="Normal"/>
    <w:qFormat/>
    <w:rsid w:val="00C912B6"/>
    <w:pPr>
      <w:tabs>
        <w:tab w:val="center" w:pos="4536"/>
        <w:tab w:val="right" w:pos="9072"/>
      </w:tabs>
    </w:pPr>
    <w:rPr>
      <w:sz w:val="18"/>
      <w:szCs w:val="20"/>
    </w:rPr>
  </w:style>
  <w:style w:type="paragraph" w:customStyle="1" w:styleId="PartContents">
    <w:name w:val="Part Contents"/>
    <w:basedOn w:val="Normal"/>
    <w:rsid w:val="00C912B6"/>
    <w:pPr>
      <w:spacing w:line="240" w:lineRule="atLeast"/>
      <w:ind w:left="1120" w:hanging="560"/>
    </w:pPr>
    <w:rPr>
      <w:szCs w:val="20"/>
    </w:rPr>
  </w:style>
  <w:style w:type="paragraph" w:customStyle="1" w:styleId="PartHeading">
    <w:name w:val="Part Heading"/>
    <w:basedOn w:val="Normal"/>
    <w:rsid w:val="00C912B6"/>
    <w:pPr>
      <w:tabs>
        <w:tab w:val="left" w:pos="851"/>
      </w:tabs>
      <w:jc w:val="center"/>
    </w:pPr>
    <w:rPr>
      <w:b/>
      <w:i/>
      <w:sz w:val="36"/>
      <w:szCs w:val="20"/>
    </w:rPr>
  </w:style>
  <w:style w:type="numbering" w:customStyle="1" w:styleId="NoList1">
    <w:name w:val="No List1"/>
    <w:next w:val="NoList"/>
    <w:uiPriority w:val="99"/>
    <w:semiHidden/>
    <w:unhideWhenUsed/>
    <w:rsid w:val="00C912B6"/>
  </w:style>
  <w:style w:type="table" w:customStyle="1" w:styleId="TableGrid1">
    <w:name w:val="Table Grid1"/>
    <w:basedOn w:val="TableNormal"/>
    <w:next w:val="TableGrid"/>
    <w:uiPriority w:val="59"/>
    <w:rsid w:val="00C912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1">
    <w:name w:val="Style11"/>
    <w:basedOn w:val="TableNormal"/>
    <w:uiPriority w:val="99"/>
    <w:qFormat/>
    <w:rsid w:val="00C912B6"/>
    <w:rPr>
      <w:rFonts w:asciiTheme="minorHAnsi" w:eastAsiaTheme="minorHAnsi" w:hAnsiTheme="minorHAnsi" w:cstheme="minorBidi"/>
      <w:sz w:val="22"/>
      <w:szCs w:val="22"/>
      <w:lang w:val="en-AU" w:eastAsia="en-US"/>
    </w:rPr>
    <w:tblPr/>
  </w:style>
  <w:style w:type="table" w:customStyle="1" w:styleId="MediumList1-Accent31">
    <w:name w:val="Medium List 1 - Accent 31"/>
    <w:basedOn w:val="TableNormal"/>
    <w:next w:val="MediumList1-Accent3"/>
    <w:uiPriority w:val="65"/>
    <w:rsid w:val="00C912B6"/>
    <w:rPr>
      <w:rFonts w:ascii="Times New Roman" w:hAnsi="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1">
    <w:name w:val="Light List - Accent 111"/>
    <w:basedOn w:val="TableNormal"/>
    <w:uiPriority w:val="61"/>
    <w:rsid w:val="00C912B6"/>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1">
    <w:name w:val="Light List11"/>
    <w:basedOn w:val="TableNormal"/>
    <w:uiPriority w:val="61"/>
    <w:rsid w:val="00C912B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uiPriority w:val="63"/>
    <w:rsid w:val="00C912B6"/>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1">
    <w:name w:val="Light Shading11"/>
    <w:basedOn w:val="TableNormal"/>
    <w:uiPriority w:val="60"/>
    <w:rsid w:val="00C912B6"/>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olorful11">
    <w:name w:val="Table Colorful 11"/>
    <w:basedOn w:val="TableNormal"/>
    <w:next w:val="TableColorful1"/>
    <w:rsid w:val="00C912B6"/>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LineNumber">
    <w:name w:val="line number"/>
    <w:basedOn w:val="DefaultParagraphFont"/>
    <w:rsid w:val="00C912B6"/>
  </w:style>
  <w:style w:type="paragraph" w:styleId="Caption">
    <w:name w:val="caption"/>
    <w:basedOn w:val="Normal"/>
    <w:next w:val="Normal"/>
    <w:unhideWhenUsed/>
    <w:rsid w:val="00C912B6"/>
    <w:pPr>
      <w:spacing w:after="200"/>
    </w:pPr>
    <w:rPr>
      <w:b/>
      <w:bCs/>
      <w:color w:val="4F81BD" w:themeColor="accent1"/>
      <w:sz w:val="18"/>
      <w:szCs w:val="18"/>
    </w:rPr>
  </w:style>
  <w:style w:type="character" w:customStyle="1" w:styleId="ital1">
    <w:name w:val="ital1"/>
    <w:basedOn w:val="DefaultParagraphFont"/>
    <w:rsid w:val="00C912B6"/>
    <w:rPr>
      <w:b w:val="0"/>
      <w:bCs w:val="0"/>
      <w:i/>
      <w:iCs/>
      <w:smallCaps w:val="0"/>
    </w:rPr>
  </w:style>
  <w:style w:type="character" w:customStyle="1" w:styleId="subsm1">
    <w:name w:val="subsm1"/>
    <w:basedOn w:val="DefaultParagraphFont"/>
    <w:rsid w:val="00C912B6"/>
    <w:rPr>
      <w:i w:val="0"/>
      <w:iCs w:val="0"/>
      <w:sz w:val="15"/>
      <w:szCs w:val="15"/>
      <w:vertAlign w:val="subscript"/>
    </w:rPr>
  </w:style>
  <w:style w:type="table" w:customStyle="1" w:styleId="TableGrid2">
    <w:name w:val="Table Grid2"/>
    <w:basedOn w:val="TableNormal"/>
    <w:next w:val="TableGrid"/>
    <w:uiPriority w:val="59"/>
    <w:rsid w:val="008E0ABB"/>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55073"/>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E25ED"/>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4">
    <w:name w:val="Table Grid4"/>
    <w:basedOn w:val="TableNormal"/>
    <w:next w:val="TableGrid"/>
    <w:rsid w:val="008237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2">
    <w:name w:val="desc2"/>
    <w:basedOn w:val="Normal"/>
    <w:rsid w:val="00216C73"/>
    <w:pPr>
      <w:widowControl/>
    </w:pPr>
    <w:rPr>
      <w:rFonts w:ascii="Times New Roman" w:hAnsi="Times New Roman"/>
      <w:sz w:val="26"/>
      <w:szCs w:val="26"/>
      <w:lang w:eastAsia="en-GB" w:bidi="ar-SA"/>
    </w:rPr>
  </w:style>
  <w:style w:type="paragraph" w:customStyle="1" w:styleId="details1">
    <w:name w:val="details1"/>
    <w:basedOn w:val="Normal"/>
    <w:rsid w:val="00216C73"/>
    <w:pPr>
      <w:widowControl/>
    </w:pPr>
    <w:rPr>
      <w:rFonts w:ascii="Times New Roman" w:hAnsi="Times New Roman"/>
      <w:szCs w:val="22"/>
      <w:lang w:eastAsia="en-GB" w:bidi="ar-SA"/>
    </w:rPr>
  </w:style>
  <w:style w:type="character" w:customStyle="1" w:styleId="jrnl">
    <w:name w:val="jrnl"/>
    <w:basedOn w:val="DefaultParagraphFont"/>
    <w:rsid w:val="00216C73"/>
  </w:style>
  <w:style w:type="paragraph" w:customStyle="1" w:styleId="xl67">
    <w:name w:val="xl67"/>
    <w:basedOn w:val="Normal"/>
    <w:rsid w:val="00677FBB"/>
    <w:pPr>
      <w:widowControl/>
      <w:spacing w:before="100" w:beforeAutospacing="1" w:after="100" w:afterAutospacing="1"/>
      <w:textAlignment w:val="center"/>
    </w:pPr>
    <w:rPr>
      <w:rFonts w:cs="Arial"/>
      <w:sz w:val="24"/>
      <w:lang w:eastAsia="en-GB" w:bidi="ar-SA"/>
    </w:rPr>
  </w:style>
  <w:style w:type="paragraph" w:customStyle="1" w:styleId="xl68">
    <w:name w:val="xl68"/>
    <w:basedOn w:val="Normal"/>
    <w:rsid w:val="00677FBB"/>
    <w:pPr>
      <w:widowControl/>
      <w:spacing w:before="100" w:beforeAutospacing="1" w:after="100" w:afterAutospacing="1"/>
      <w:textAlignment w:val="center"/>
    </w:pPr>
    <w:rPr>
      <w:rFonts w:cs="Arial"/>
      <w:b/>
      <w:bCs/>
      <w:sz w:val="24"/>
      <w:lang w:eastAsia="en-GB" w:bidi="ar-SA"/>
    </w:rPr>
  </w:style>
  <w:style w:type="paragraph" w:customStyle="1" w:styleId="xl69">
    <w:name w:val="xl69"/>
    <w:basedOn w:val="Normal"/>
    <w:rsid w:val="00677FBB"/>
    <w:pPr>
      <w:widowControl/>
      <w:spacing w:before="100" w:beforeAutospacing="1" w:after="100" w:afterAutospacing="1"/>
      <w:textAlignment w:val="center"/>
    </w:pPr>
    <w:rPr>
      <w:rFonts w:cs="Arial"/>
      <w:b/>
      <w:bCs/>
      <w:sz w:val="24"/>
      <w:lang w:eastAsia="en-GB" w:bidi="ar-SA"/>
    </w:rPr>
  </w:style>
  <w:style w:type="paragraph" w:customStyle="1" w:styleId="xl70">
    <w:name w:val="xl70"/>
    <w:basedOn w:val="Normal"/>
    <w:rsid w:val="00677FBB"/>
    <w:pPr>
      <w:widowControl/>
      <w:shd w:val="clear" w:color="000000" w:fill="FFFFCC"/>
      <w:spacing w:before="100" w:beforeAutospacing="1" w:after="100" w:afterAutospacing="1"/>
      <w:jc w:val="center"/>
      <w:textAlignment w:val="center"/>
    </w:pPr>
    <w:rPr>
      <w:rFonts w:cs="Arial"/>
      <w:b/>
      <w:bCs/>
      <w:sz w:val="24"/>
      <w:lang w:eastAsia="en-GB" w:bidi="ar-SA"/>
    </w:rPr>
  </w:style>
  <w:style w:type="paragraph" w:customStyle="1" w:styleId="xl71">
    <w:name w:val="xl71"/>
    <w:basedOn w:val="Normal"/>
    <w:rsid w:val="00677FBB"/>
    <w:pPr>
      <w:widowControl/>
      <w:spacing w:before="100" w:beforeAutospacing="1" w:after="100" w:afterAutospacing="1"/>
      <w:textAlignment w:val="center"/>
    </w:pPr>
    <w:rPr>
      <w:rFonts w:cs="Arial"/>
      <w:sz w:val="24"/>
      <w:lang w:eastAsia="en-GB" w:bidi="ar-SA"/>
    </w:rPr>
  </w:style>
  <w:style w:type="paragraph" w:customStyle="1" w:styleId="xl72">
    <w:name w:val="xl72"/>
    <w:basedOn w:val="Normal"/>
    <w:rsid w:val="00677FBB"/>
    <w:pPr>
      <w:widowControl/>
      <w:shd w:val="clear" w:color="000000" w:fill="FFFFCC"/>
      <w:spacing w:before="100" w:beforeAutospacing="1" w:after="100" w:afterAutospacing="1"/>
      <w:jc w:val="center"/>
      <w:textAlignment w:val="center"/>
    </w:pPr>
    <w:rPr>
      <w:rFonts w:cs="Arial"/>
      <w:sz w:val="24"/>
      <w:lang w:eastAsia="en-GB" w:bidi="ar-SA"/>
    </w:rPr>
  </w:style>
  <w:style w:type="paragraph" w:customStyle="1" w:styleId="xl73">
    <w:name w:val="xl73"/>
    <w:basedOn w:val="Normal"/>
    <w:rsid w:val="00677FBB"/>
    <w:pPr>
      <w:widowControl/>
      <w:spacing w:before="100" w:beforeAutospacing="1" w:after="100" w:afterAutospacing="1"/>
      <w:textAlignment w:val="center"/>
    </w:pPr>
    <w:rPr>
      <w:rFonts w:cs="Arial"/>
      <w:color w:val="FF0000"/>
      <w:sz w:val="24"/>
      <w:lang w:eastAsia="en-GB" w:bidi="ar-SA"/>
    </w:rPr>
  </w:style>
  <w:style w:type="paragraph" w:customStyle="1" w:styleId="xl74">
    <w:name w:val="xl74"/>
    <w:basedOn w:val="Normal"/>
    <w:rsid w:val="00677FBB"/>
    <w:pPr>
      <w:widowControl/>
      <w:spacing w:before="100" w:beforeAutospacing="1" w:after="100" w:afterAutospacing="1"/>
      <w:textAlignment w:val="center"/>
    </w:pPr>
    <w:rPr>
      <w:rFonts w:cs="Arial"/>
      <w:b/>
      <w:bCs/>
      <w:sz w:val="24"/>
      <w:lang w:eastAsia="en-GB" w:bidi="ar-SA"/>
    </w:rPr>
  </w:style>
  <w:style w:type="paragraph" w:customStyle="1" w:styleId="xl75">
    <w:name w:val="xl75"/>
    <w:basedOn w:val="Normal"/>
    <w:rsid w:val="00677FBB"/>
    <w:pPr>
      <w:widowControl/>
      <w:shd w:val="clear" w:color="000000" w:fill="FFFFCC"/>
      <w:spacing w:before="100" w:beforeAutospacing="1" w:after="100" w:afterAutospacing="1"/>
      <w:jc w:val="center"/>
      <w:textAlignment w:val="center"/>
    </w:pPr>
    <w:rPr>
      <w:rFonts w:cs="Arial"/>
      <w:b/>
      <w:bCs/>
      <w:sz w:val="24"/>
      <w:lang w:eastAsia="en-GB" w:bidi="ar-SA"/>
    </w:rPr>
  </w:style>
  <w:style w:type="paragraph" w:customStyle="1" w:styleId="xl76">
    <w:name w:val="xl76"/>
    <w:basedOn w:val="Normal"/>
    <w:rsid w:val="00677FBB"/>
    <w:pPr>
      <w:widowControl/>
      <w:spacing w:before="100" w:beforeAutospacing="1" w:after="100" w:afterAutospacing="1"/>
      <w:jc w:val="center"/>
      <w:textAlignment w:val="center"/>
    </w:pPr>
    <w:rPr>
      <w:rFonts w:cs="Arial"/>
      <w:b/>
      <w:bCs/>
      <w:sz w:val="24"/>
      <w:lang w:eastAsia="en-GB" w:bidi="ar-SA"/>
    </w:rPr>
  </w:style>
  <w:style w:type="paragraph" w:customStyle="1" w:styleId="xl77">
    <w:name w:val="xl77"/>
    <w:basedOn w:val="Normal"/>
    <w:rsid w:val="00677FBB"/>
    <w:pPr>
      <w:widowControl/>
      <w:shd w:val="clear" w:color="000000" w:fill="FFFFCC"/>
      <w:spacing w:before="100" w:beforeAutospacing="1" w:after="100" w:afterAutospacing="1"/>
      <w:jc w:val="center"/>
      <w:textAlignment w:val="center"/>
    </w:pPr>
    <w:rPr>
      <w:rFonts w:cs="Arial"/>
      <w:sz w:val="24"/>
      <w:lang w:eastAsia="en-GB" w:bidi="ar-SA"/>
    </w:rPr>
  </w:style>
  <w:style w:type="paragraph" w:customStyle="1" w:styleId="xl78">
    <w:name w:val="xl78"/>
    <w:basedOn w:val="Normal"/>
    <w:rsid w:val="00677FBB"/>
    <w:pPr>
      <w:widowControl/>
      <w:shd w:val="clear" w:color="000000" w:fill="FFFFCC"/>
      <w:spacing w:before="100" w:beforeAutospacing="1" w:after="100" w:afterAutospacing="1"/>
      <w:textAlignment w:val="center"/>
    </w:pPr>
    <w:rPr>
      <w:rFonts w:cs="Arial"/>
      <w:sz w:val="24"/>
      <w:lang w:eastAsia="en-GB" w:bidi="ar-SA"/>
    </w:rPr>
  </w:style>
  <w:style w:type="paragraph" w:customStyle="1" w:styleId="xl79">
    <w:name w:val="xl79"/>
    <w:basedOn w:val="Normal"/>
    <w:rsid w:val="00677FBB"/>
    <w:pPr>
      <w:widowControl/>
      <w:spacing w:before="100" w:beforeAutospacing="1" w:after="100" w:afterAutospacing="1"/>
      <w:textAlignment w:val="center"/>
    </w:pPr>
    <w:rPr>
      <w:rFonts w:cs="Arial"/>
      <w:color w:val="FF0000"/>
      <w:sz w:val="24"/>
      <w:lang w:eastAsia="en-GB" w:bidi="ar-SA"/>
    </w:rPr>
  </w:style>
  <w:style w:type="table" w:styleId="LightGrid-Accent1">
    <w:name w:val="Light Grid Accent 1"/>
    <w:basedOn w:val="TableNormal"/>
    <w:uiPriority w:val="62"/>
    <w:rsid w:val="00677F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677F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677FB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5">
    <w:name w:val="Light Shading Accent 5"/>
    <w:basedOn w:val="TableNormal"/>
    <w:uiPriority w:val="60"/>
    <w:rsid w:val="00677FB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677F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2">
    <w:name w:val="No List2"/>
    <w:next w:val="NoList"/>
    <w:uiPriority w:val="99"/>
    <w:semiHidden/>
    <w:unhideWhenUsed/>
    <w:rsid w:val="00EC13A5"/>
  </w:style>
  <w:style w:type="table" w:customStyle="1" w:styleId="TableGrid5">
    <w:name w:val="Table Grid5"/>
    <w:basedOn w:val="TableNormal"/>
    <w:next w:val="TableGrid"/>
    <w:uiPriority w:val="59"/>
    <w:rsid w:val="00EC13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EC13A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Style12">
    <w:name w:val="Style12"/>
    <w:basedOn w:val="TableNormal"/>
    <w:uiPriority w:val="99"/>
    <w:qFormat/>
    <w:rsid w:val="00EC13A5"/>
    <w:rPr>
      <w:rFonts w:asciiTheme="minorHAnsi" w:eastAsiaTheme="minorHAnsi" w:hAnsiTheme="minorHAnsi" w:cstheme="minorBidi"/>
      <w:sz w:val="22"/>
      <w:szCs w:val="22"/>
      <w:lang w:val="en-AU" w:eastAsia="en-US"/>
    </w:rPr>
    <w:tblPr/>
  </w:style>
  <w:style w:type="table" w:customStyle="1" w:styleId="MediumList1-Accent32">
    <w:name w:val="Medium List 1 - Accent 32"/>
    <w:basedOn w:val="TableNormal"/>
    <w:next w:val="MediumList1-Accent3"/>
    <w:uiPriority w:val="65"/>
    <w:rsid w:val="00EC13A5"/>
    <w:rPr>
      <w:rFonts w:ascii="Times New Roman" w:hAnsi="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2">
    <w:name w:val="Light List - Accent 112"/>
    <w:basedOn w:val="TableNormal"/>
    <w:uiPriority w:val="61"/>
    <w:rsid w:val="00EC13A5"/>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2">
    <w:name w:val="Light List12"/>
    <w:basedOn w:val="TableNormal"/>
    <w:uiPriority w:val="61"/>
    <w:rsid w:val="00EC13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2">
    <w:name w:val="Medium Shading 1 - Accent 112"/>
    <w:basedOn w:val="TableNormal"/>
    <w:uiPriority w:val="63"/>
    <w:rsid w:val="00EC13A5"/>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2">
    <w:name w:val="Light Shading12"/>
    <w:basedOn w:val="TableNormal"/>
    <w:uiPriority w:val="60"/>
    <w:rsid w:val="00EC13A5"/>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olorful12">
    <w:name w:val="Table Colorful 12"/>
    <w:basedOn w:val="TableNormal"/>
    <w:next w:val="TableColorful1"/>
    <w:rsid w:val="00EC13A5"/>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EC13A5"/>
  </w:style>
  <w:style w:type="table" w:customStyle="1" w:styleId="TableGrid11">
    <w:name w:val="Table Grid11"/>
    <w:basedOn w:val="TableNormal"/>
    <w:next w:val="TableGrid"/>
    <w:uiPriority w:val="59"/>
    <w:rsid w:val="00EC13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11">
    <w:name w:val="Style111"/>
    <w:basedOn w:val="TableNormal"/>
    <w:uiPriority w:val="99"/>
    <w:qFormat/>
    <w:rsid w:val="00EC13A5"/>
    <w:rPr>
      <w:rFonts w:asciiTheme="minorHAnsi" w:eastAsiaTheme="minorHAnsi" w:hAnsiTheme="minorHAnsi" w:cstheme="minorBidi"/>
      <w:sz w:val="22"/>
      <w:szCs w:val="22"/>
      <w:lang w:val="en-AU" w:eastAsia="en-US"/>
    </w:rPr>
    <w:tblPr/>
  </w:style>
  <w:style w:type="table" w:customStyle="1" w:styleId="MediumList1-Accent311">
    <w:name w:val="Medium List 1 - Accent 311"/>
    <w:basedOn w:val="TableNormal"/>
    <w:next w:val="MediumList1-Accent3"/>
    <w:uiPriority w:val="65"/>
    <w:rsid w:val="00EC13A5"/>
    <w:rPr>
      <w:rFonts w:ascii="Times New Roman" w:hAnsi="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11">
    <w:name w:val="Light List - Accent 1111"/>
    <w:basedOn w:val="TableNormal"/>
    <w:uiPriority w:val="61"/>
    <w:rsid w:val="00EC13A5"/>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11">
    <w:name w:val="Light List111"/>
    <w:basedOn w:val="TableNormal"/>
    <w:uiPriority w:val="61"/>
    <w:rsid w:val="00EC13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1">
    <w:name w:val="Medium Shading 1 - Accent 1111"/>
    <w:basedOn w:val="TableNormal"/>
    <w:uiPriority w:val="63"/>
    <w:rsid w:val="00EC13A5"/>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11">
    <w:name w:val="Light Shading111"/>
    <w:basedOn w:val="TableNormal"/>
    <w:uiPriority w:val="60"/>
    <w:rsid w:val="00EC13A5"/>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olorful111">
    <w:name w:val="Table Colorful 111"/>
    <w:basedOn w:val="TableNormal"/>
    <w:next w:val="TableColorful1"/>
    <w:rsid w:val="00EC13A5"/>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59"/>
    <w:rsid w:val="00EC13A5"/>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C13A5"/>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
    <w:name w:val="Light List - Accent 12"/>
    <w:basedOn w:val="TableNormal"/>
    <w:next w:val="LightList-Accent1"/>
    <w:uiPriority w:val="61"/>
    <w:rsid w:val="00EC13A5"/>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41">
    <w:name w:val="Table Grid41"/>
    <w:basedOn w:val="TableNormal"/>
    <w:next w:val="TableGrid"/>
    <w:rsid w:val="00EC13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TableNormal"/>
    <w:next w:val="LightGrid-Accent1"/>
    <w:uiPriority w:val="62"/>
    <w:rsid w:val="00EC13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2">
    <w:name w:val="Medium Shading 1 - Accent 12"/>
    <w:basedOn w:val="TableNormal"/>
    <w:next w:val="MediumShading1-Accent1"/>
    <w:uiPriority w:val="63"/>
    <w:rsid w:val="00EC13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List1-Accent11">
    <w:name w:val="Medium List 1 - Accent 11"/>
    <w:basedOn w:val="TableNormal"/>
    <w:next w:val="MediumList1-Accent1"/>
    <w:uiPriority w:val="65"/>
    <w:rsid w:val="00EC13A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ghtShading-Accent51">
    <w:name w:val="Light Shading - Accent 51"/>
    <w:basedOn w:val="TableNormal"/>
    <w:next w:val="LightShading-Accent5"/>
    <w:uiPriority w:val="60"/>
    <w:rsid w:val="00EC13A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next w:val="LightShading-Accent1"/>
    <w:uiPriority w:val="60"/>
    <w:rsid w:val="00EC13A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element-citation">
    <w:name w:val="element-citation"/>
    <w:basedOn w:val="DefaultParagraphFont"/>
    <w:rsid w:val="00CA39EC"/>
  </w:style>
  <w:style w:type="character" w:customStyle="1" w:styleId="ref-journal">
    <w:name w:val="ref-journal"/>
    <w:basedOn w:val="DefaultParagraphFont"/>
    <w:rsid w:val="00CA39EC"/>
  </w:style>
  <w:style w:type="character" w:customStyle="1" w:styleId="ref-vol">
    <w:name w:val="ref-vol"/>
    <w:basedOn w:val="DefaultParagraphFont"/>
    <w:rsid w:val="00CA3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6412">
      <w:bodyDiv w:val="1"/>
      <w:marLeft w:val="0"/>
      <w:marRight w:val="0"/>
      <w:marTop w:val="0"/>
      <w:marBottom w:val="0"/>
      <w:divBdr>
        <w:top w:val="none" w:sz="0" w:space="0" w:color="auto"/>
        <w:left w:val="none" w:sz="0" w:space="0" w:color="auto"/>
        <w:bottom w:val="none" w:sz="0" w:space="0" w:color="auto"/>
        <w:right w:val="none" w:sz="0" w:space="0" w:color="auto"/>
      </w:divBdr>
    </w:div>
    <w:div w:id="495071745">
      <w:bodyDiv w:val="1"/>
      <w:marLeft w:val="0"/>
      <w:marRight w:val="0"/>
      <w:marTop w:val="0"/>
      <w:marBottom w:val="0"/>
      <w:divBdr>
        <w:top w:val="none" w:sz="0" w:space="0" w:color="auto"/>
        <w:left w:val="none" w:sz="0" w:space="0" w:color="auto"/>
        <w:bottom w:val="none" w:sz="0" w:space="0" w:color="auto"/>
        <w:right w:val="none" w:sz="0" w:space="0" w:color="auto"/>
      </w:divBdr>
    </w:div>
    <w:div w:id="744499460">
      <w:bodyDiv w:val="1"/>
      <w:marLeft w:val="0"/>
      <w:marRight w:val="0"/>
      <w:marTop w:val="0"/>
      <w:marBottom w:val="0"/>
      <w:divBdr>
        <w:top w:val="none" w:sz="0" w:space="0" w:color="auto"/>
        <w:left w:val="none" w:sz="0" w:space="0" w:color="auto"/>
        <w:bottom w:val="none" w:sz="0" w:space="0" w:color="auto"/>
        <w:right w:val="none" w:sz="0" w:space="0" w:color="auto"/>
      </w:divBdr>
    </w:div>
    <w:div w:id="766077089">
      <w:bodyDiv w:val="1"/>
      <w:marLeft w:val="0"/>
      <w:marRight w:val="0"/>
      <w:marTop w:val="0"/>
      <w:marBottom w:val="0"/>
      <w:divBdr>
        <w:top w:val="none" w:sz="0" w:space="0" w:color="auto"/>
        <w:left w:val="none" w:sz="0" w:space="0" w:color="auto"/>
        <w:bottom w:val="none" w:sz="0" w:space="0" w:color="auto"/>
        <w:right w:val="none" w:sz="0" w:space="0" w:color="auto"/>
      </w:divBdr>
    </w:div>
    <w:div w:id="1038512318">
      <w:bodyDiv w:val="1"/>
      <w:marLeft w:val="0"/>
      <w:marRight w:val="0"/>
      <w:marTop w:val="0"/>
      <w:marBottom w:val="0"/>
      <w:divBdr>
        <w:top w:val="none" w:sz="0" w:space="0" w:color="auto"/>
        <w:left w:val="none" w:sz="0" w:space="0" w:color="auto"/>
        <w:bottom w:val="none" w:sz="0" w:space="0" w:color="auto"/>
        <w:right w:val="none" w:sz="0" w:space="0" w:color="auto"/>
      </w:divBdr>
    </w:div>
    <w:div w:id="1096444306">
      <w:bodyDiv w:val="1"/>
      <w:marLeft w:val="0"/>
      <w:marRight w:val="0"/>
      <w:marTop w:val="0"/>
      <w:marBottom w:val="0"/>
      <w:divBdr>
        <w:top w:val="none" w:sz="0" w:space="0" w:color="auto"/>
        <w:left w:val="none" w:sz="0" w:space="0" w:color="auto"/>
        <w:bottom w:val="none" w:sz="0" w:space="0" w:color="auto"/>
        <w:right w:val="none" w:sz="0" w:space="0" w:color="auto"/>
      </w:divBdr>
    </w:div>
    <w:div w:id="1101950628">
      <w:bodyDiv w:val="1"/>
      <w:marLeft w:val="0"/>
      <w:marRight w:val="0"/>
      <w:marTop w:val="0"/>
      <w:marBottom w:val="0"/>
      <w:divBdr>
        <w:top w:val="none" w:sz="0" w:space="0" w:color="auto"/>
        <w:left w:val="none" w:sz="0" w:space="0" w:color="auto"/>
        <w:bottom w:val="none" w:sz="0" w:space="0" w:color="auto"/>
        <w:right w:val="none" w:sz="0" w:space="0" w:color="auto"/>
      </w:divBdr>
    </w:div>
    <w:div w:id="1392733404">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99425803">
      <w:bodyDiv w:val="1"/>
      <w:marLeft w:val="0"/>
      <w:marRight w:val="0"/>
      <w:marTop w:val="0"/>
      <w:marBottom w:val="0"/>
      <w:divBdr>
        <w:top w:val="none" w:sz="0" w:space="0" w:color="auto"/>
        <w:left w:val="none" w:sz="0" w:space="0" w:color="auto"/>
        <w:bottom w:val="none" w:sz="0" w:space="0" w:color="auto"/>
        <w:right w:val="none" w:sz="0" w:space="0" w:color="auto"/>
      </w:divBdr>
    </w:div>
    <w:div w:id="1764254004">
      <w:bodyDiv w:val="1"/>
      <w:marLeft w:val="0"/>
      <w:marRight w:val="0"/>
      <w:marTop w:val="0"/>
      <w:marBottom w:val="0"/>
      <w:divBdr>
        <w:top w:val="none" w:sz="0" w:space="0" w:color="auto"/>
        <w:left w:val="none" w:sz="0" w:space="0" w:color="auto"/>
        <w:bottom w:val="none" w:sz="0" w:space="0" w:color="auto"/>
        <w:right w:val="none" w:sz="0" w:space="0" w:color="auto"/>
      </w:divBdr>
    </w:div>
    <w:div w:id="1818956721">
      <w:bodyDiv w:val="1"/>
      <w:marLeft w:val="0"/>
      <w:marRight w:val="0"/>
      <w:marTop w:val="0"/>
      <w:marBottom w:val="0"/>
      <w:divBdr>
        <w:top w:val="none" w:sz="0" w:space="0" w:color="auto"/>
        <w:left w:val="none" w:sz="0" w:space="0" w:color="auto"/>
        <w:bottom w:val="none" w:sz="0" w:space="0" w:color="auto"/>
        <w:right w:val="none" w:sz="0" w:space="0" w:color="auto"/>
      </w:divBdr>
    </w:div>
    <w:div w:id="1973486535">
      <w:bodyDiv w:val="1"/>
      <w:marLeft w:val="0"/>
      <w:marRight w:val="0"/>
      <w:marTop w:val="0"/>
      <w:marBottom w:val="0"/>
      <w:divBdr>
        <w:top w:val="none" w:sz="0" w:space="0" w:color="auto"/>
        <w:left w:val="none" w:sz="0" w:space="0" w:color="auto"/>
        <w:bottom w:val="none" w:sz="0" w:space="0" w:color="auto"/>
        <w:right w:val="none" w:sz="0" w:space="0" w:color="auto"/>
      </w:divBdr>
    </w:div>
    <w:div w:id="20095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Poesen%20R%5BAuthor%5D&amp;cauthor=true&amp;cauthor_uid=26961998" TargetMode="External"/><Relationship Id="rId21" Type="http://schemas.openxmlformats.org/officeDocument/2006/relationships/footer" Target="footer3.xml"/><Relationship Id="rId42" Type="http://schemas.openxmlformats.org/officeDocument/2006/relationships/hyperlink" Target="https://admin-www.foodstandards.gov.au/science/exposure/Pages/protectinghighconsum4441.aspx" TargetMode="External"/><Relationship Id="rId63" Type="http://schemas.openxmlformats.org/officeDocument/2006/relationships/hyperlink" Target="https://www.ncbi.nlm.nih.gov/pubmed/?term=Tang%20M%5BAuthor%5D&amp;cauthor=true&amp;cauthor_uid=27083288" TargetMode="External"/><Relationship Id="rId84" Type="http://schemas.openxmlformats.org/officeDocument/2006/relationships/hyperlink" Target="https://www.ncbi.nlm.nih.gov/pubmed/?term=DiDonato%20JA%5BAuthor%5D&amp;cauthor=true&amp;cauthor_uid=23563705" TargetMode="External"/><Relationship Id="rId138" Type="http://schemas.openxmlformats.org/officeDocument/2006/relationships/hyperlink" Target="http://www.fao.org/ag/agn/jecfa-additives/search.html?lang=en" TargetMode="External"/><Relationship Id="rId107" Type="http://schemas.openxmlformats.org/officeDocument/2006/relationships/hyperlink" Target="https://www.ncbi.nlm.nih.gov/pubmed/?term=Odermatt%20J%5BAuthor%5D&amp;cauthor=true&amp;cauthor_uid=27567042" TargetMode="External"/><Relationship Id="rId11" Type="http://schemas.openxmlformats.org/officeDocument/2006/relationships/settings" Target="settings.xml"/><Relationship Id="rId32" Type="http://schemas.openxmlformats.org/officeDocument/2006/relationships/hyperlink" Target="https://www.ncbi.nlm.nih.gov/pubmed/?term=Clarke%20R%5BAuthor%5D&amp;cauthor=true&amp;cauthor_uid=10453810" TargetMode="External"/><Relationship Id="rId53" Type="http://schemas.openxmlformats.org/officeDocument/2006/relationships/hyperlink" Target="https://www.ncbi.nlm.nih.gov/pubmed/?term=Heianza%20Y%5BAuthor%5D&amp;cauthor=true&amp;cauthor_uid=28663251" TargetMode="External"/><Relationship Id="rId74" Type="http://schemas.openxmlformats.org/officeDocument/2006/relationships/hyperlink" Target="https://www.ncbi.nlm.nih.gov/pubmed/?term=Wang%20Z%5BAuthor%5D&amp;cauthor=true&amp;cauthor_uid=23563705" TargetMode="External"/><Relationship Id="rId128" Type="http://schemas.openxmlformats.org/officeDocument/2006/relationships/hyperlink" Target="https://www.ncbi.nlm.nih.gov/pubmed/?term=Schiattarella%20GG%5BAuthor%5D&amp;cauthor=true&amp;cauthor_uid=29020409" TargetMode="External"/><Relationship Id="rId149" Type="http://schemas.openxmlformats.org/officeDocument/2006/relationships/theme" Target="theme/theme1.xml"/><Relationship Id="rId5" Type="http://schemas.openxmlformats.org/officeDocument/2006/relationships/customXml" Target="../customXml/item5.xml"/><Relationship Id="rId95" Type="http://schemas.openxmlformats.org/officeDocument/2006/relationships/hyperlink" Target="https://www.ncbi.nlm.nih.gov/pubmed/?term=Hazen%20SL%5BAuthor%5D&amp;cauthor=true&amp;cauthor_uid=23563705" TargetMode="External"/><Relationship Id="rId90" Type="http://schemas.openxmlformats.org/officeDocument/2006/relationships/hyperlink" Target="https://www.ncbi.nlm.nih.gov/pubmed/?term=Brown%20JM%5BAuthor%5D&amp;cauthor=true&amp;cauthor_uid=23563705" TargetMode="External"/><Relationship Id="rId22" Type="http://schemas.openxmlformats.org/officeDocument/2006/relationships/image" Target="media/image2.gif"/><Relationship Id="rId27" Type="http://schemas.openxmlformats.org/officeDocument/2006/relationships/oleObject" Target="embeddings/oleObject2.bin"/><Relationship Id="rId43" Type="http://schemas.openxmlformats.org/officeDocument/2006/relationships/hyperlink" Target="https://www.ncbi.nlm.nih.gov/pubmed/?term=Guertin%20KA%5BAuthor%5D&amp;cauthor=true&amp;cauthor_uid=28077427" TargetMode="External"/><Relationship Id="rId48" Type="http://schemas.openxmlformats.org/officeDocument/2006/relationships/hyperlink" Target="https://www.ncbi.nlm.nih.gov/pubmed/?term=Goedert%20JJ%5BAuthor%5D&amp;cauthor=true&amp;cauthor_uid=28077427" TargetMode="External"/><Relationship Id="rId64" Type="http://schemas.openxmlformats.org/officeDocument/2006/relationships/hyperlink" Target="https://www.ncbi.nlm.nih.gov/pubmed/?term=Muirhead%20N%5BAuthor%5D&amp;cauthor=true&amp;cauthor_uid=27083288" TargetMode="External"/><Relationship Id="rId69" Type="http://schemas.openxmlformats.org/officeDocument/2006/relationships/hyperlink" Target="https://www.ncbi.nlm.nih.gov/pubmed/?term=Rigatto%20C%5BAuthor%5D&amp;cauthor=true&amp;cauthor_uid=27083288" TargetMode="External"/><Relationship Id="rId113" Type="http://schemas.openxmlformats.org/officeDocument/2006/relationships/hyperlink" Target="https://www.ncbi.nlm.nih.gov/pubmed/?term=Zimmerli%20W%5BAuthor%5D&amp;cauthor=true&amp;cauthor_uid=27567042" TargetMode="External"/><Relationship Id="rId118" Type="http://schemas.openxmlformats.org/officeDocument/2006/relationships/hyperlink" Target="https://www.ncbi.nlm.nih.gov/pubmed/?term=Evenepoel%20P%5BAuthor%5D&amp;cauthor=true&amp;cauthor_uid=26961998" TargetMode="External"/><Relationship Id="rId134" Type="http://schemas.openxmlformats.org/officeDocument/2006/relationships/hyperlink" Target="https://www.ncbi.nlm.nih.gov/pubmed/?term=Trimarco%20B%5BAuthor%5D&amp;cauthor=true&amp;cauthor_uid=29020409" TargetMode="External"/><Relationship Id="rId139" Type="http://schemas.openxmlformats.org/officeDocument/2006/relationships/hyperlink" Target="https://admin-www.foodstandards.gov.au/science/riskanalysis/Pages/default.aspx" TargetMode="External"/><Relationship Id="rId80" Type="http://schemas.openxmlformats.org/officeDocument/2006/relationships/hyperlink" Target="https://www.ncbi.nlm.nih.gov/pubmed/?term=Fu%20X%5BAuthor%5D&amp;cauthor=true&amp;cauthor_uid=23563705" TargetMode="External"/><Relationship Id="rId85" Type="http://schemas.openxmlformats.org/officeDocument/2006/relationships/hyperlink" Target="https://www.ncbi.nlm.nih.gov/pubmed/?term=Chen%20J%5BAuthor%5D&amp;cauthor=true&amp;cauthor_uid=23563705" TargetMode="External"/><Relationship Id="rId12" Type="http://schemas.openxmlformats.org/officeDocument/2006/relationships/webSettings" Target="webSettings.xml"/><Relationship Id="rId17" Type="http://schemas.openxmlformats.org/officeDocument/2006/relationships/header" Target="header2.xml"/><Relationship Id="rId33" Type="http://schemas.openxmlformats.org/officeDocument/2006/relationships/hyperlink" Target="https://www.ncbi.nlm.nih.gov/pubmed/?term=Shipley%20M%5BAuthor%5D&amp;cauthor=true&amp;cauthor_uid=10453810" TargetMode="External"/><Relationship Id="rId38" Type="http://schemas.openxmlformats.org/officeDocument/2006/relationships/hyperlink" Target="https://www.ncbi.nlm.nih.gov/pubmed/?term=Peto%20R%5BAuthor%5D&amp;cauthor=true&amp;cauthor_uid=10453810" TargetMode="External"/><Relationship Id="rId59" Type="http://schemas.openxmlformats.org/officeDocument/2006/relationships/hyperlink" Target="http://www.cochrane-handbook.org" TargetMode="External"/><Relationship Id="rId103" Type="http://schemas.openxmlformats.org/officeDocument/2006/relationships/hyperlink" Target="https://www.ncbi.nlm.nih.gov/pubmed/?term=Mondul+TMAO" TargetMode="External"/><Relationship Id="rId108" Type="http://schemas.openxmlformats.org/officeDocument/2006/relationships/hyperlink" Target="https://www.ncbi.nlm.nih.gov/pubmed/?term=Huber%20A%5BAuthor%5D&amp;cauthor=true&amp;cauthor_uid=27567042" TargetMode="External"/><Relationship Id="rId124" Type="http://schemas.openxmlformats.org/officeDocument/2006/relationships/hyperlink" Target="https://www.ncbi.nlm.nih.gov/pubmed/?term=Kuypers%20D%5BAuthor%5D&amp;cauthor=true&amp;cauthor_uid=26961998" TargetMode="External"/><Relationship Id="rId129" Type="http://schemas.openxmlformats.org/officeDocument/2006/relationships/hyperlink" Target="https://www.ncbi.nlm.nih.gov/pubmed/?term=Sannino%20A%5BAuthor%5D&amp;cauthor=true&amp;cauthor_uid=29020409" TargetMode="External"/><Relationship Id="rId54" Type="http://schemas.openxmlformats.org/officeDocument/2006/relationships/hyperlink" Target="https://www.ncbi.nlm.nih.gov/pubmed/?term=Ma%20W%5BAuthor%5D&amp;cauthor=true&amp;cauthor_uid=28663251" TargetMode="External"/><Relationship Id="rId70" Type="http://schemas.openxmlformats.org/officeDocument/2006/relationships/hyperlink" Target="https://www.ncbi.nlm.nih.gov/pubmed/?term=Levin%20A%5BAuthor%5D&amp;cauthor=true&amp;cauthor_uid=27083288" TargetMode="External"/><Relationship Id="rId75" Type="http://schemas.openxmlformats.org/officeDocument/2006/relationships/hyperlink" Target="https://www.ncbi.nlm.nih.gov/pubmed/?term=Levison%20BS%5BAuthor%5D&amp;cauthor=true&amp;cauthor_uid=23563705" TargetMode="External"/><Relationship Id="rId91" Type="http://schemas.openxmlformats.org/officeDocument/2006/relationships/hyperlink" Target="https://www.ncbi.nlm.nih.gov/pubmed/?term=Krauss%20RM%5BAuthor%5D&amp;cauthor=true&amp;cauthor_uid=23563705" TargetMode="External"/><Relationship Id="rId96" Type="http://schemas.openxmlformats.org/officeDocument/2006/relationships/hyperlink" Target="https://www.ncbi.nlm.nih.gov/pubmed/23563705" TargetMode="External"/><Relationship Id="rId140" Type="http://schemas.openxmlformats.org/officeDocument/2006/relationships/hyperlink" Target="https://admin-www.foodstandards.gov.au/science/exposure/documents/Principles%20_%20practices%20exposure%20assessment%202009.pdf" TargetMode="External"/><Relationship Id="rId145" Type="http://schemas.openxmlformats.org/officeDocument/2006/relationships/header" Target="header6.xml"/><Relationship Id="rId1" Type="http://schemas.openxmlformats.org/officeDocument/2006/relationships/customXml" Target="../customXml/item1.xml"/><Relationship Id="rId23" Type="http://schemas.openxmlformats.org/officeDocument/2006/relationships/image" Target="media/image3.emf"/><Relationship Id="rId28" Type="http://schemas.openxmlformats.org/officeDocument/2006/relationships/footer" Target="footer4.xml"/><Relationship Id="rId49" Type="http://schemas.openxmlformats.org/officeDocument/2006/relationships/hyperlink" Target="https://www.ncbi.nlm.nih.gov/pubmed/?term=Wang%20Z%5BAuthor%5D&amp;cauthor=true&amp;cauthor_uid=28077427" TargetMode="External"/><Relationship Id="rId114" Type="http://schemas.openxmlformats.org/officeDocument/2006/relationships/hyperlink" Target="https://www.ncbi.nlm.nih.gov/pubmed/?term=Mueller%20B%5BAuthor%5D&amp;cauthor=true&amp;cauthor_uid=27567042" TargetMode="External"/><Relationship Id="rId119" Type="http://schemas.openxmlformats.org/officeDocument/2006/relationships/hyperlink" Target="https://www.ncbi.nlm.nih.gov/pubmed/?term=de%20Loor%20H%5BAuthor%5D&amp;cauthor=true&amp;cauthor_uid=26961998" TargetMode="External"/><Relationship Id="rId44" Type="http://schemas.openxmlformats.org/officeDocument/2006/relationships/hyperlink" Target="https://www.ncbi.nlm.nih.gov/pubmed/?term=Li%20XS%5BAuthor%5D&amp;cauthor=true&amp;cauthor_uid=28077427" TargetMode="External"/><Relationship Id="rId60" Type="http://schemas.openxmlformats.org/officeDocument/2006/relationships/hyperlink" Target="https://www.ncbi.nlm.nih.gov/pubmed/?term=Kim%20RB%5BAuthor%5D&amp;cauthor=true&amp;cauthor_uid=27083288" TargetMode="External"/><Relationship Id="rId65" Type="http://schemas.openxmlformats.org/officeDocument/2006/relationships/hyperlink" Target="https://www.ncbi.nlm.nih.gov/pubmed/?term=Barrett%20B%5BAuthor%5D&amp;cauthor=true&amp;cauthor_uid=27083288" TargetMode="External"/><Relationship Id="rId81" Type="http://schemas.openxmlformats.org/officeDocument/2006/relationships/hyperlink" Target="https://www.ncbi.nlm.nih.gov/pubmed/?term=Wu%20Y%5BAuthor%5D&amp;cauthor=true&amp;cauthor_uid=23563705" TargetMode="External"/><Relationship Id="rId86" Type="http://schemas.openxmlformats.org/officeDocument/2006/relationships/hyperlink" Target="https://www.ncbi.nlm.nih.gov/pubmed/?term=Li%20H%5BAuthor%5D&amp;cauthor=true&amp;cauthor_uid=23563705" TargetMode="External"/><Relationship Id="rId130" Type="http://schemas.openxmlformats.org/officeDocument/2006/relationships/hyperlink" Target="https://www.ncbi.nlm.nih.gov/pubmed/?term=Toscano%20E%5BAuthor%5D&amp;cauthor=true&amp;cauthor_uid=29020409" TargetMode="External"/><Relationship Id="rId135" Type="http://schemas.openxmlformats.org/officeDocument/2006/relationships/hyperlink" Target="https://www.ncbi.nlm.nih.gov/pubmed/?term=Esposito%20G%5BAuthor%5D&amp;cauthor=true&amp;cauthor_uid=29020409" TargetMode="External"/><Relationship Id="rId13" Type="http://schemas.openxmlformats.org/officeDocument/2006/relationships/footnotes" Target="footnotes.xml"/><Relationship Id="rId18" Type="http://schemas.openxmlformats.org/officeDocument/2006/relationships/footer" Target="footer1.xml"/><Relationship Id="rId39" Type="http://schemas.openxmlformats.org/officeDocument/2006/relationships/hyperlink" Target="http://www.efsa.europa.eu/en/efsajournal/pub/2676" TargetMode="External"/><Relationship Id="rId109" Type="http://schemas.openxmlformats.org/officeDocument/2006/relationships/hyperlink" Target="https://www.ncbi.nlm.nih.gov/pubmed/?term=Christ-Crain%20M%5BAuthor%5D&amp;cauthor=true&amp;cauthor_uid=27567042" TargetMode="External"/><Relationship Id="rId34" Type="http://schemas.openxmlformats.org/officeDocument/2006/relationships/hyperlink" Target="https://www.ncbi.nlm.nih.gov/pubmed/?term=Lewington%20S%5BAuthor%5D&amp;cauthor=true&amp;cauthor_uid=10453810" TargetMode="External"/><Relationship Id="rId50" Type="http://schemas.openxmlformats.org/officeDocument/2006/relationships/hyperlink" Target="https://www.ncbi.nlm.nih.gov/pubmed/?term=Hazen%20SL%5BAuthor%5D&amp;cauthor=true&amp;cauthor_uid=28077427" TargetMode="External"/><Relationship Id="rId55" Type="http://schemas.openxmlformats.org/officeDocument/2006/relationships/hyperlink" Target="https://www.ncbi.nlm.nih.gov/pubmed/?term=Manson%20JE%5BAuthor%5D&amp;cauthor=true&amp;cauthor_uid=28663251" TargetMode="External"/><Relationship Id="rId76" Type="http://schemas.openxmlformats.org/officeDocument/2006/relationships/hyperlink" Target="https://www.ncbi.nlm.nih.gov/pubmed/?term=Buffa%20JA%5BAuthor%5D&amp;cauthor=true&amp;cauthor_uid=23563705" TargetMode="External"/><Relationship Id="rId97" Type="http://schemas.openxmlformats.org/officeDocument/2006/relationships/hyperlink" Target="https://www.ncbi.nlm.nih.gov/pubmed/?term=Mondul%20AM%5BAuthor%5D&amp;cauthor=true&amp;cauthor_uid=25904191" TargetMode="External"/><Relationship Id="rId104" Type="http://schemas.openxmlformats.org/officeDocument/2006/relationships/hyperlink" Target="https://www.ncbi.nlm.nih.gov/pubmed/?term=Ottiger%20M%5BAuthor%5D&amp;cauthor=true&amp;cauthor_uid=27567042" TargetMode="External"/><Relationship Id="rId120" Type="http://schemas.openxmlformats.org/officeDocument/2006/relationships/hyperlink" Target="https://www.ncbi.nlm.nih.gov/pubmed/?term=Bammens%20B%5BAuthor%5D&amp;cauthor=true&amp;cauthor_uid=26961998" TargetMode="External"/><Relationship Id="rId125" Type="http://schemas.openxmlformats.org/officeDocument/2006/relationships/hyperlink" Target="https://www.ncbi.nlm.nih.gov/pubmed/?term=Augustijns%20P%5BAuthor%5D&amp;cauthor=true&amp;cauthor_uid=26961998" TargetMode="External"/><Relationship Id="rId141" Type="http://schemas.openxmlformats.org/officeDocument/2006/relationships/hyperlink" Target="https://admin-www.foodstandards.gov.au/science/exposure/Pages/dietaryexposureandin4438.aspx" TargetMode="External"/><Relationship Id="rId146" Type="http://schemas.openxmlformats.org/officeDocument/2006/relationships/footer" Target="footer7.xml"/><Relationship Id="rId7" Type="http://schemas.openxmlformats.org/officeDocument/2006/relationships/customXml" Target="../customXml/item7.xml"/><Relationship Id="rId71" Type="http://schemas.openxmlformats.org/officeDocument/2006/relationships/hyperlink" Target="https://www.ncbi.nlm.nih.gov/pubmed/?term=CanPREDDICT%20Investigators%5BCorporate%20Author%5D" TargetMode="External"/><Relationship Id="rId92" Type="http://schemas.openxmlformats.org/officeDocument/2006/relationships/hyperlink" Target="https://www.ncbi.nlm.nih.gov/pubmed/?term=Tang%20WH%5BAuthor%5D&amp;cauthor=true&amp;cauthor_uid=23563705" TargetMode="External"/><Relationship Id="rId29" Type="http://schemas.openxmlformats.org/officeDocument/2006/relationships/footer" Target="footer5.xml"/><Relationship Id="rId24" Type="http://schemas.openxmlformats.org/officeDocument/2006/relationships/image" Target="media/image4.emf"/><Relationship Id="rId40" Type="http://schemas.openxmlformats.org/officeDocument/2006/relationships/hyperlink" Target="http://eur-lex.europa.eu/legal-content/EN/TXT/PDF/?uri=CELEX:32012R0231&amp;from=EN" TargetMode="External"/><Relationship Id="rId45" Type="http://schemas.openxmlformats.org/officeDocument/2006/relationships/hyperlink" Target="https://www.ncbi.nlm.nih.gov/pubmed/?term=Graubard%20BI%5BAuthor%5D&amp;cauthor=true&amp;cauthor_uid=28077427" TargetMode="External"/><Relationship Id="rId66" Type="http://schemas.openxmlformats.org/officeDocument/2006/relationships/hyperlink" Target="https://www.ncbi.nlm.nih.gov/pubmed/?term=Holmes%20DT%5BAuthor%5D&amp;cauthor=true&amp;cauthor_uid=27083288" TargetMode="External"/><Relationship Id="rId87" Type="http://schemas.openxmlformats.org/officeDocument/2006/relationships/hyperlink" Target="https://www.ncbi.nlm.nih.gov/pubmed/?term=Wu%20GD%5BAuthor%5D&amp;cauthor=true&amp;cauthor_uid=23563705" TargetMode="External"/><Relationship Id="rId110" Type="http://schemas.openxmlformats.org/officeDocument/2006/relationships/hyperlink" Target="https://www.ncbi.nlm.nih.gov/pubmed/?term=Henzen%20C%5BAuthor%5D&amp;cauthor=true&amp;cauthor_uid=27567042" TargetMode="External"/><Relationship Id="rId115" Type="http://schemas.openxmlformats.org/officeDocument/2006/relationships/hyperlink" Target="https://www.ncbi.nlm.nih.gov/pubmed/?term=Schuetz%20P%5BAuthor%5D&amp;cauthor=true&amp;cauthor_uid=27567042" TargetMode="External"/><Relationship Id="rId131" Type="http://schemas.openxmlformats.org/officeDocument/2006/relationships/hyperlink" Target="https://www.ncbi.nlm.nih.gov/pubmed/?term=Giugliano%20G%5BAuthor%5D&amp;cauthor=true&amp;cauthor_uid=29020409" TargetMode="External"/><Relationship Id="rId136" Type="http://schemas.openxmlformats.org/officeDocument/2006/relationships/hyperlink" Target="https://www.ncbi.nlm.nih.gov/pubmed/?term=Perrino%20C%5BAuthor%5D&amp;cauthor=true&amp;cauthor_uid=29020409" TargetMode="External"/><Relationship Id="rId61" Type="http://schemas.openxmlformats.org/officeDocument/2006/relationships/hyperlink" Target="https://www.ncbi.nlm.nih.gov/pubmed/?term=Morse%20BL%5BAuthor%5D&amp;cauthor=true&amp;cauthor_uid=27083288" TargetMode="External"/><Relationship Id="rId82" Type="http://schemas.openxmlformats.org/officeDocument/2006/relationships/hyperlink" Target="https://www.ncbi.nlm.nih.gov/pubmed/?term=Li%20L%5BAuthor%5D&amp;cauthor=true&amp;cauthor_uid=23563705" TargetMode="External"/><Relationship Id="rId19" Type="http://schemas.openxmlformats.org/officeDocument/2006/relationships/footer" Target="footer2.xml"/><Relationship Id="rId14" Type="http://schemas.openxmlformats.org/officeDocument/2006/relationships/endnotes" Target="endnotes.xml"/><Relationship Id="rId30" Type="http://schemas.openxmlformats.org/officeDocument/2006/relationships/image" Target="media/image6.png"/><Relationship Id="rId35" Type="http://schemas.openxmlformats.org/officeDocument/2006/relationships/hyperlink" Target="https://www.ncbi.nlm.nih.gov/pubmed/?term=Youngman%20L%5BAuthor%5D&amp;cauthor=true&amp;cauthor_uid=10453810" TargetMode="External"/><Relationship Id="rId56" Type="http://schemas.openxmlformats.org/officeDocument/2006/relationships/hyperlink" Target="https://www.ncbi.nlm.nih.gov/pubmed/?term=Rexrode%20KM%5BAuthor%5D&amp;cauthor=true&amp;cauthor_uid=28663251" TargetMode="External"/><Relationship Id="rId77" Type="http://schemas.openxmlformats.org/officeDocument/2006/relationships/hyperlink" Target="https://www.ncbi.nlm.nih.gov/pubmed/?term=Org%20E%5BAuthor%5D&amp;cauthor=true&amp;cauthor_uid=23563705" TargetMode="External"/><Relationship Id="rId100" Type="http://schemas.openxmlformats.org/officeDocument/2006/relationships/hyperlink" Target="https://www.ncbi.nlm.nih.gov/pubmed/?term=Karoly%20ED%5BAuthor%5D&amp;cauthor=true&amp;cauthor_uid=25904191" TargetMode="External"/><Relationship Id="rId105" Type="http://schemas.openxmlformats.org/officeDocument/2006/relationships/hyperlink" Target="https://www.ncbi.nlm.nih.gov/pubmed/?term=Nickler%20M%5BAuthor%5D&amp;cauthor=true&amp;cauthor_uid=27567042" TargetMode="External"/><Relationship Id="rId126" Type="http://schemas.openxmlformats.org/officeDocument/2006/relationships/hyperlink" Target="https://www.ncbi.nlm.nih.gov/pubmed/?term=Meijers%20B%5BAuthor%5D&amp;cauthor=true&amp;cauthor_uid=26961998" TargetMode="External"/><Relationship Id="rId147" Type="http://schemas.openxmlformats.org/officeDocument/2006/relationships/header" Target="header7.xml"/><Relationship Id="rId8" Type="http://schemas.openxmlformats.org/officeDocument/2006/relationships/customXml" Target="../customXml/item8.xml"/><Relationship Id="rId51" Type="http://schemas.openxmlformats.org/officeDocument/2006/relationships/hyperlink" Target="https://www.ncbi.nlm.nih.gov/pubmed/?term=Sinha%20R%5BAuthor%5D&amp;cauthor=true&amp;cauthor_uid=28077427" TargetMode="External"/><Relationship Id="rId72" Type="http://schemas.openxmlformats.org/officeDocument/2006/relationships/hyperlink" Target="https://www.ncbi.nlm.nih.gov/pubmed/27083288" TargetMode="External"/><Relationship Id="rId93" Type="http://schemas.openxmlformats.org/officeDocument/2006/relationships/hyperlink" Target="https://www.ncbi.nlm.nih.gov/pubmed/?term=Bushman%20FD%5BAuthor%5D&amp;cauthor=true&amp;cauthor_uid=23563705" TargetMode="External"/><Relationship Id="rId98" Type="http://schemas.openxmlformats.org/officeDocument/2006/relationships/hyperlink" Target="https://www.ncbi.nlm.nih.gov/pubmed/?term=Moore%20SC%5BAuthor%5D&amp;cauthor=true&amp;cauthor_uid=25904191" TargetMode="External"/><Relationship Id="rId121" Type="http://schemas.openxmlformats.org/officeDocument/2006/relationships/hyperlink" Target="https://www.ncbi.nlm.nih.gov/pubmed/?term=Claes%20K%5BAuthor%5D&amp;cauthor=true&amp;cauthor_uid=26961998" TargetMode="External"/><Relationship Id="rId142" Type="http://schemas.openxmlformats.org/officeDocument/2006/relationships/header" Target="header4.xml"/><Relationship Id="rId3" Type="http://schemas.openxmlformats.org/officeDocument/2006/relationships/customXml" Target="../customXml/item3.xml"/><Relationship Id="rId25" Type="http://schemas.openxmlformats.org/officeDocument/2006/relationships/oleObject" Target="embeddings/oleObject1.bin"/><Relationship Id="rId46" Type="http://schemas.openxmlformats.org/officeDocument/2006/relationships/hyperlink" Target="https://www.ncbi.nlm.nih.gov/pubmed/?term=Albanes%20D%5BAuthor%5D&amp;cauthor=true&amp;cauthor_uid=28077427" TargetMode="External"/><Relationship Id="rId67" Type="http://schemas.openxmlformats.org/officeDocument/2006/relationships/hyperlink" Target="https://www.ncbi.nlm.nih.gov/pubmed/?term=Madore%20F%5BAuthor%5D&amp;cauthor=true&amp;cauthor_uid=27083288" TargetMode="External"/><Relationship Id="rId116" Type="http://schemas.openxmlformats.org/officeDocument/2006/relationships/hyperlink" Target="https://www.ncbi.nlm.nih.gov/pubmed/?term=Ottinger+2016+TMAO" TargetMode="External"/><Relationship Id="rId137" Type="http://schemas.openxmlformats.org/officeDocument/2006/relationships/hyperlink" Target="https://www.ncbi.nlm.nih.gov/pubmed/29020409" TargetMode="External"/><Relationship Id="rId20" Type="http://schemas.openxmlformats.org/officeDocument/2006/relationships/header" Target="header3.xml"/><Relationship Id="rId41" Type="http://schemas.openxmlformats.org/officeDocument/2006/relationships/hyperlink" Target="https://admin-www.foodstandards.gov.au/science/exposure/documents/Principles%20_%20practices%20exposure%20assessment%202009.pdf" TargetMode="External"/><Relationship Id="rId62" Type="http://schemas.openxmlformats.org/officeDocument/2006/relationships/hyperlink" Target="https://www.ncbi.nlm.nih.gov/pubmed/?term=Djurdjev%20O%5BAuthor%5D&amp;cauthor=true&amp;cauthor_uid=27083288" TargetMode="External"/><Relationship Id="rId83" Type="http://schemas.openxmlformats.org/officeDocument/2006/relationships/hyperlink" Target="https://www.ncbi.nlm.nih.gov/pubmed/?term=Smith%20JD%5BAuthor%5D&amp;cauthor=true&amp;cauthor_uid=23563705" TargetMode="External"/><Relationship Id="rId88" Type="http://schemas.openxmlformats.org/officeDocument/2006/relationships/hyperlink" Target="https://www.ncbi.nlm.nih.gov/pubmed/?term=Lewis%20JD%5BAuthor%5D&amp;cauthor=true&amp;cauthor_uid=23563705" TargetMode="External"/><Relationship Id="rId111" Type="http://schemas.openxmlformats.org/officeDocument/2006/relationships/hyperlink" Target="https://www.ncbi.nlm.nih.gov/pubmed/?term=Hoess%20C%5BAuthor%5D&amp;cauthor=true&amp;cauthor_uid=27567042" TargetMode="External"/><Relationship Id="rId132" Type="http://schemas.openxmlformats.org/officeDocument/2006/relationships/hyperlink" Target="https://www.ncbi.nlm.nih.gov/pubmed/?term=Gargiulo%20G%5BAuthor%5D&amp;cauthor=true&amp;cauthor_uid=29020409" TargetMode="External"/><Relationship Id="rId15" Type="http://schemas.openxmlformats.org/officeDocument/2006/relationships/image" Target="media/image1.png"/><Relationship Id="rId36" Type="http://schemas.openxmlformats.org/officeDocument/2006/relationships/hyperlink" Target="https://www.ncbi.nlm.nih.gov/pubmed/?term=Collins%20R%5BAuthor%5D&amp;cauthor=true&amp;cauthor_uid=10453810" TargetMode="External"/><Relationship Id="rId57" Type="http://schemas.openxmlformats.org/officeDocument/2006/relationships/hyperlink" Target="https://www.ncbi.nlm.nih.gov/pubmed/?term=Qi%20L%5BAuthor%5D&amp;cauthor=true&amp;cauthor_uid=28663251" TargetMode="External"/><Relationship Id="rId106" Type="http://schemas.openxmlformats.org/officeDocument/2006/relationships/hyperlink" Target="https://www.ncbi.nlm.nih.gov/pubmed/?term=Steuer%20C%5BAuthor%5D&amp;cauthor=true&amp;cauthor_uid=27567042" TargetMode="External"/><Relationship Id="rId127" Type="http://schemas.openxmlformats.org/officeDocument/2006/relationships/hyperlink" Target="https://www.ncbi.nlm.nih.gov/pubmed/?term=Poesen+2016+TMAO" TargetMode="External"/><Relationship Id="rId10" Type="http://schemas.openxmlformats.org/officeDocument/2006/relationships/styles" Target="styles.xml"/><Relationship Id="rId31" Type="http://schemas.openxmlformats.org/officeDocument/2006/relationships/image" Target="media/image7.png"/><Relationship Id="rId52" Type="http://schemas.openxmlformats.org/officeDocument/2006/relationships/hyperlink" Target="https://www.ncbi.nlm.nih.gov/pubmed/?term=Guertin+2017+TMAO" TargetMode="External"/><Relationship Id="rId73" Type="http://schemas.openxmlformats.org/officeDocument/2006/relationships/hyperlink" Target="https://etd.ohiolink.edu/!etd.send_file?accession=case1369997123&amp;disposition=inlineKoeth" TargetMode="External"/><Relationship Id="rId78" Type="http://schemas.openxmlformats.org/officeDocument/2006/relationships/hyperlink" Target="https://www.ncbi.nlm.nih.gov/pubmed/?term=Sheehy%20BT%5BAuthor%5D&amp;cauthor=true&amp;cauthor_uid=23563705" TargetMode="External"/><Relationship Id="rId94" Type="http://schemas.openxmlformats.org/officeDocument/2006/relationships/hyperlink" Target="https://www.ncbi.nlm.nih.gov/pubmed/?term=Lusis%20AJ%5BAuthor%5D&amp;cauthor=true&amp;cauthor_uid=23563705" TargetMode="External"/><Relationship Id="rId99" Type="http://schemas.openxmlformats.org/officeDocument/2006/relationships/hyperlink" Target="https://www.ncbi.nlm.nih.gov/pubmed/?term=Weinstein%20SJ%5BAuthor%5D&amp;cauthor=true&amp;cauthor_uid=25904191" TargetMode="External"/><Relationship Id="rId101" Type="http://schemas.openxmlformats.org/officeDocument/2006/relationships/hyperlink" Target="https://www.ncbi.nlm.nih.gov/pubmed/?term=Sampson%20JN%5BAuthor%5D&amp;cauthor=true&amp;cauthor_uid=25904191" TargetMode="External"/><Relationship Id="rId122" Type="http://schemas.openxmlformats.org/officeDocument/2006/relationships/hyperlink" Target="https://www.ncbi.nlm.nih.gov/pubmed/?term=Sprangers%20B%5BAuthor%5D&amp;cauthor=true&amp;cauthor_uid=26961998" TargetMode="External"/><Relationship Id="rId143" Type="http://schemas.openxmlformats.org/officeDocument/2006/relationships/footer" Target="footer6.xml"/><Relationship Id="rId148" Type="http://schemas.openxmlformats.org/officeDocument/2006/relationships/fontTable" Target="fontTable.xml"/><Relationship Id="rId9" Type="http://schemas.openxmlformats.org/officeDocument/2006/relationships/numbering" Target="numbering.xml"/><Relationship Id="rId26" Type="http://schemas.openxmlformats.org/officeDocument/2006/relationships/image" Target="media/image5.emf"/><Relationship Id="rId47" Type="http://schemas.openxmlformats.org/officeDocument/2006/relationships/hyperlink" Target="https://www.ncbi.nlm.nih.gov/pubmed/?term=Weinstein%20SJ%5BAuthor%5D&amp;cauthor=true&amp;cauthor_uid=28077427" TargetMode="External"/><Relationship Id="rId68" Type="http://schemas.openxmlformats.org/officeDocument/2006/relationships/hyperlink" Target="https://www.ncbi.nlm.nih.gov/pubmed/?term=Clase%20CM%5BAuthor%5D&amp;cauthor=true&amp;cauthor_uid=27083288" TargetMode="External"/><Relationship Id="rId89" Type="http://schemas.openxmlformats.org/officeDocument/2006/relationships/hyperlink" Target="https://www.ncbi.nlm.nih.gov/pubmed/?term=Warrier%20M%5BAuthor%5D&amp;cauthor=true&amp;cauthor_uid=23563705" TargetMode="External"/><Relationship Id="rId112" Type="http://schemas.openxmlformats.org/officeDocument/2006/relationships/hyperlink" Target="https://www.ncbi.nlm.nih.gov/pubmed/?term=Thomann%20R%5BAuthor%5D&amp;cauthor=true&amp;cauthor_uid=27567042" TargetMode="External"/><Relationship Id="rId133" Type="http://schemas.openxmlformats.org/officeDocument/2006/relationships/hyperlink" Target="https://www.ncbi.nlm.nih.gov/pubmed/?term=Franzone%20A%5BAuthor%5D&amp;cauthor=true&amp;cauthor_uid=29020409" TargetMode="External"/><Relationship Id="rId16" Type="http://schemas.openxmlformats.org/officeDocument/2006/relationships/header" Target="header1.xml"/><Relationship Id="rId37" Type="http://schemas.openxmlformats.org/officeDocument/2006/relationships/hyperlink" Target="https://www.ncbi.nlm.nih.gov/pubmed/?term=Marmot%20M%5BAuthor%5D&amp;cauthor=true&amp;cauthor_uid=10453810" TargetMode="External"/><Relationship Id="rId58" Type="http://schemas.openxmlformats.org/officeDocument/2006/relationships/hyperlink" Target="https://www.ncbi.nlm.nih.gov/pubmed/28663251" TargetMode="External"/><Relationship Id="rId79" Type="http://schemas.openxmlformats.org/officeDocument/2006/relationships/hyperlink" Target="https://www.ncbi.nlm.nih.gov/pubmed/?term=Britt%20EB%5BAuthor%5D&amp;cauthor=true&amp;cauthor_uid=23563705" TargetMode="External"/><Relationship Id="rId102" Type="http://schemas.openxmlformats.org/officeDocument/2006/relationships/hyperlink" Target="https://www.ncbi.nlm.nih.gov/pubmed/?term=Albanes%20D%5BAuthor%5D&amp;cauthor=true&amp;cauthor_uid=25904191" TargetMode="External"/><Relationship Id="rId123" Type="http://schemas.openxmlformats.org/officeDocument/2006/relationships/hyperlink" Target="https://www.ncbi.nlm.nih.gov/pubmed/?term=Naesens%20M%5BAuthor%5D&amp;cauthor=true&amp;cauthor_uid=26961998" TargetMode="External"/><Relationship Id="rId144"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www.abs.gov.au/ausstats/abs@.nsf/Lookup/1A8F3DE217DE1057CA257B82001792F4?opendocument" TargetMode="External"/><Relationship Id="rId1" Type="http://schemas.openxmlformats.org/officeDocument/2006/relationships/hyperlink" Target="https://www.niddk.nih.gov/health-information/health-communication-programs/nkdep/lab-evaluation/gfr/estimating/Pages/estimat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2.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46A6BFCAFF41A48B1521F635017CDE6" ma:contentTypeVersion="45" ma:contentTypeDescription="FSANZ Record" ma:contentTypeScope="" ma:versionID="1ee5e3fb236b6854da1ca1a9d51ef239">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01df3bc849db87217bceafe434220394"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545C0-64B9-4FF0-AA40-0051A9F5494D}"/>
</file>

<file path=customXml/itemProps2.xml><?xml version="1.0" encoding="utf-8"?>
<ds:datastoreItem xmlns:ds="http://schemas.openxmlformats.org/officeDocument/2006/customXml" ds:itemID="{4772E591-A741-46E8-8A06-75B44835D95E}"/>
</file>

<file path=customXml/itemProps3.xml><?xml version="1.0" encoding="utf-8"?>
<ds:datastoreItem xmlns:ds="http://schemas.openxmlformats.org/officeDocument/2006/customXml" ds:itemID="{6331C52B-6978-482B-9246-F92B3C07F6D5}"/>
</file>

<file path=customXml/itemProps4.xml><?xml version="1.0" encoding="utf-8"?>
<ds:datastoreItem xmlns:ds="http://schemas.openxmlformats.org/officeDocument/2006/customXml" ds:itemID="{02C49287-B9A3-4C5C-921E-0DA4D2240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B70945-F408-458E-BF3F-FE6C7FEE6C44}"/>
</file>

<file path=customXml/itemProps6.xml><?xml version="1.0" encoding="utf-8"?>
<ds:datastoreItem xmlns:ds="http://schemas.openxmlformats.org/officeDocument/2006/customXml" ds:itemID="{8393041A-E1DF-4F19-A410-6E95AB934391}">
  <ds:schemaRefs>
    <ds:schemaRef ds:uri="http://schemas.microsoft.com/sharepoint/events"/>
  </ds:schemaRefs>
</ds:datastoreItem>
</file>

<file path=customXml/itemProps7.xml><?xml version="1.0" encoding="utf-8"?>
<ds:datastoreItem xmlns:ds="http://schemas.openxmlformats.org/officeDocument/2006/customXml" ds:itemID="{7A999696-C1EE-4489-AABB-E496B58FB454}"/>
</file>

<file path=customXml/itemProps8.xml><?xml version="1.0" encoding="utf-8"?>
<ds:datastoreItem xmlns:ds="http://schemas.openxmlformats.org/officeDocument/2006/customXml" ds:itemID="{571E20FE-CB14-46F7-B5CE-F543C9DFE4F1}"/>
</file>

<file path=docProps/app.xml><?xml version="1.0" encoding="utf-8"?>
<Properties xmlns="http://schemas.openxmlformats.org/officeDocument/2006/extended-properties" xmlns:vt="http://schemas.openxmlformats.org/officeDocument/2006/docPropsVTypes">
  <Template>Normal</Template>
  <TotalTime>714</TotalTime>
  <Pages>1</Pages>
  <Words>47957</Words>
  <Characters>273359</Characters>
  <Application>Microsoft Office Word</Application>
  <DocSecurity>0</DocSecurity>
  <Lines>2277</Lines>
  <Paragraphs>641</Paragraphs>
  <ScaleCrop>false</ScaleCrop>
  <HeadingPairs>
    <vt:vector size="2" baseType="variant">
      <vt:variant>
        <vt:lpstr>Title</vt:lpstr>
      </vt:variant>
      <vt:variant>
        <vt:i4>1</vt:i4>
      </vt:variant>
    </vt:vector>
  </HeadingPairs>
  <TitlesOfParts>
    <vt:vector size="1" baseType="lpstr">
      <vt:lpstr>A1102 L-Carnitine Supporting Document 1</vt:lpstr>
    </vt:vector>
  </TitlesOfParts>
  <Company>ANZFA</Company>
  <LinksUpToDate>false</LinksUpToDate>
  <CharactersWithSpaces>320675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A1102 L-Carnitine Supporting Document 1</dc:title>
  <dc:creator>Barry.Fields@foodstandards.gov.au</dc:creator>
  <cp:keywords/>
  <cp:lastModifiedBy>coughc</cp:lastModifiedBy>
  <cp:revision>64</cp:revision>
  <cp:lastPrinted>2019-03-19T06:53:00Z</cp:lastPrinted>
  <dcterms:created xsi:type="dcterms:W3CDTF">2018-12-18T23:26:00Z</dcterms:created>
  <dcterms:modified xsi:type="dcterms:W3CDTF">2019-05-09T03:14:00Z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BCS_">
    <vt:lpwstr>40;#FOOD STANDARDS:Evaluation|43bd8487-b9f6-4055-946c-a118d364275d</vt:lpwstr>
  </property>
  <property fmtid="{D5CDD505-2E9C-101B-9397-08002B2CF9AE}" pid="4" name="_dlc_DocIdItemGuid">
    <vt:lpwstr>ca960be5-40f9-483b-83b3-7267f10d1370</vt:lpwstr>
  </property>
  <property fmtid="{D5CDD505-2E9C-101B-9397-08002B2CF9AE}" pid="5" name="DisposalClass">
    <vt:lpwstr/>
  </property>
  <property fmtid="{D5CDD505-2E9C-101B-9397-08002B2CF9AE}" pid="6" name="SPPCopyMoveEvent">
    <vt:lpwstr>0</vt:lpwstr>
  </property>
  <property fmtid="{D5CDD505-2E9C-101B-9397-08002B2CF9AE}" pid="7" name="TitusGUID">
    <vt:lpwstr>ab826c0a-498f-434c-a8a6-e2d3aa634399</vt:lpwstr>
  </property>
  <property fmtid="{D5CDD505-2E9C-101B-9397-08002B2CF9AE}" pid="8" name="docIndexRef">
    <vt:lpwstr>6d2282a4-ec4d-4465-b444-a750cf7ad54e</vt:lpwstr>
  </property>
  <property fmtid="{D5CDD505-2E9C-101B-9397-08002B2CF9AE}" pid="9" name="bjSaver">
    <vt:lpwstr>4Fi894Zr/r/zbWnKMv9UrG6ucvTaVp2d</vt:lpwstr>
  </property>
  <property fmtid="{D5CDD505-2E9C-101B-9397-08002B2CF9AE}" pid="10" name="RecordPoint_WorkflowType">
    <vt:lpwstr>ActiveSubmitStub</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ActiveItemUniqueId">
    <vt:lpwstr>{7bc8df71-1e3c-4f03-9e60-fc8cc7ea0078}</vt:lpwstr>
  </property>
  <property fmtid="{D5CDD505-2E9C-101B-9397-08002B2CF9AE}" pid="15" name="RecordPoint_RecordNumberSubmitted">
    <vt:lpwstr>R0000110709</vt:lpwstr>
  </property>
  <property fmtid="{D5CDD505-2E9C-101B-9397-08002B2CF9AE}" pid="16" name="RecordPoint_SubmissionCompleted">
    <vt:lpwstr>2019-04-15T14:00:31.7485204+10:00</vt:lpwstr>
  </property>
  <property fmtid="{D5CDD505-2E9C-101B-9397-08002B2CF9AE}" pid="17"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8" name="bjDocumentLabelXML-0">
    <vt:lpwstr>ames.com/2008/01/sie/internal/label"&gt;&lt;element uid="dd6c74cc-0de9-4a0a-85ef-439e2ceecf74" value="" /&gt;&lt;/sisl&gt;</vt:lpwstr>
  </property>
  <property fmtid="{D5CDD505-2E9C-101B-9397-08002B2CF9AE}" pid="19" name="bjDocumentSecurityLabel">
    <vt:lpwstr>OFFICIAL</vt:lpwstr>
  </property>
  <property fmtid="{D5CDD505-2E9C-101B-9397-08002B2CF9AE}" pid="20" name="bjHeaderBothDocProperty">
    <vt:lpwstr>OFFICIAL_x000d_
 </vt:lpwstr>
  </property>
  <property fmtid="{D5CDD505-2E9C-101B-9397-08002B2CF9AE}" pid="21" name="bjHeaderFirstPageDocProperty">
    <vt:lpwstr>OFFICIAL_x000d_
 </vt:lpwstr>
  </property>
  <property fmtid="{D5CDD505-2E9C-101B-9397-08002B2CF9AE}" pid="22" name="bjHeaderEvenPageDocProperty">
    <vt:lpwstr>OFFICIAL_x000d_
 </vt:lpwstr>
  </property>
  <property fmtid="{D5CDD505-2E9C-101B-9397-08002B2CF9AE}" pid="23" name="bjFooterBothDocProperty">
    <vt:lpwstr>_x000d_
OFFICIAL </vt:lpwstr>
  </property>
  <property fmtid="{D5CDD505-2E9C-101B-9397-08002B2CF9AE}" pid="24" name="bjFooterFirstPageDocProperty">
    <vt:lpwstr>_x000d_
OFFICIAL </vt:lpwstr>
  </property>
  <property fmtid="{D5CDD505-2E9C-101B-9397-08002B2CF9AE}" pid="25" name="bjFooterEvenPageDocProperty">
    <vt:lpwstr>_x000d_
OFFICIAL </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ies>
</file>